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pStyle w:val="Title"/>
        <w:jc w:val="center"/>
      </w:pPr>
      <w:r>
        <w:t>IT Ticket Manager</w:t>
      </w:r>
    </w:p>
    <w:p>
      <w:pPr>
        <w:pStyle w:val="Subtitle"/>
        <w:jc w:val="center"/>
      </w:pPr>
      <w:r>
        <w:t>UML диаграммы и пояснение  |  Этап 3</w:t>
      </w:r>
    </w:p>
    <w:p>
      <w:pPr>
        <w:jc w:val="center"/>
      </w:pPr>
      <w:r>
        <w:rPr>
          <w:b/>
        </w:rPr>
        <w:t>Учебный проект настольного приложения</w:t>
      </w:r>
    </w:p>
    <w:p>
      <w:pPr>
        <w:spacing w:after="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7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Студент</w:t>
            </w:r>
          </w:p>
        </w:tc>
        <w:tc>
          <w:tcPr>
            <w:tcW w:type="dxa" w:w="57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Tcacenco Dmitrii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Группа</w:t>
            </w:r>
          </w:p>
        </w:tc>
        <w:tc>
          <w:tcPr>
            <w:tcW w:type="dxa" w:w="57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P2524r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Преподаватель</w:t>
            </w:r>
          </w:p>
        </w:tc>
        <w:tc>
          <w:tcPr>
            <w:tcW w:type="dxa" w:w="57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Natalia Gairunova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Основа</w:t>
            </w:r>
          </w:p>
        </w:tc>
        <w:tc>
          <w:tcPr>
            <w:tcW w:type="dxa" w:w="57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SRS этапа 2 и планирование этапа 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Статус</w:t>
            </w:r>
          </w:p>
        </w:tc>
        <w:tc>
          <w:tcPr>
            <w:tcW w:type="dxa" w:w="57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Проектная UML-модель</w:t>
            </w:r>
          </w:p>
        </w:tc>
      </w:tr>
    </w:tbl>
    <w:p>
      <w:pPr>
        <w:spacing w:after="20"/>
      </w:pPr>
    </w:p>
    <w:p>
      <w:pPr>
        <w:pStyle w:val="BodyText"/>
      </w:pPr>
      <w:r>
        <w:t>Документ содержит Use Case Diagram и Activity Diagram для IT Ticket Manager. Диаграммы согласованы со сценариями UC-01–UC-06, функциональными требованиями FR-001–FR-031 и бизнес-правилом: подтверждение решения является событием, а не отдельным статусом. Реальная SMTP-доставка не заявляется как реализованная.</w:t>
      </w:r>
    </w:p>
    <w:p>
      <w:pPr>
        <w:pStyle w:val="Heading1"/>
      </w:pPr>
      <w:r>
        <w:t>Состав материалов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604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Use Case Diagram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Роли и доступные действия пользователя и IT-техника.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Activity Diagram</w:t>
            </w:r>
          </w:p>
        </w:tc>
        <w:tc>
          <w:tcPr>
            <w:tcW w:type="dxa" w:w="604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Процесс от создания заявки до закрытия с альтернативной ветвью отказа.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PlantUML .puml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Исходники диаграмм для дальнейшего редактирования и рендера.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PNG и SVG</w:t>
            </w:r>
          </w:p>
        </w:tc>
        <w:tc>
          <w:tcPr>
            <w:tcW w:type="dxa" w:w="604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Растровое и векторное представления диаграмм.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Use Case Diagram</w:t>
      </w:r>
    </w:p>
    <w:p>
      <w:pPr>
        <w:pStyle w:val="BodyText"/>
      </w:pPr>
      <w:r>
        <w:t>Диаграмма вариантов использования показывает внешних акторов и доступные им действия в границах системы. Обе роли проходят авторизацию, но права после входа различаются.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Диаграмма вариантов использования IT Ticket Manager</w:t>
      </w:r>
    </w:p>
    <w:p>
      <w:pPr>
        <w:pStyle w:val="Heading2"/>
      </w:pPr>
      <w:r>
        <w:t>1.1 Согласование со сценариями и требованиями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Элемент диаграммы</w:t>
            </w:r>
          </w:p>
        </w:tc>
        <w:tc>
          <w:tcPr>
            <w:tcW w:type="dxa" w:w="302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Сценарии SRS</w:t>
            </w:r>
          </w:p>
        </w:tc>
        <w:tc>
          <w:tcPr>
            <w:tcW w:type="dxa" w:w="237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Требования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Авторизоваться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Общее предусловие UC-01–UC-06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FR-001–006</w:t>
            </w:r>
          </w:p>
        </w:tc>
      </w:tr>
      <w:tr>
        <w:tc>
          <w:tcPr>
            <w:tcW w:type="dxa" w:w="32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Создать заявку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UC-01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FR-007–011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Очередь и приём в работу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UC-02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FR-012–018</w:t>
            </w:r>
          </w:p>
        </w:tc>
      </w:tr>
      <w:tr>
        <w:tc>
          <w:tcPr>
            <w:tcW w:type="dxa" w:w="32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Результат решения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UC-03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FR-018, FR-024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Подтверждение или отказ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UC-04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FR-019–020</w:t>
            </w:r>
          </w:p>
        </w:tc>
      </w:tr>
      <w:tr>
        <w:tc>
          <w:tcPr>
            <w:tcW w:type="dxa" w:w="32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Закрытие заявки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UC-05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FR-021–022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История и комментарии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UC-06 и карточка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FR-016, FR-023, FR-026–028</w:t>
            </w:r>
          </w:p>
        </w:tc>
      </w:tr>
      <w:tr>
        <w:tc>
          <w:tcPr>
            <w:tcW w:type="dxa" w:w="32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Email-события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UC-01–UC-05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FR-029–031</w:t>
            </w:r>
          </w:p>
        </w:tc>
      </w:tr>
    </w:tbl>
    <w:p>
      <w:pPr>
        <w:spacing w:after="20"/>
      </w:pPr>
    </w:p>
    <w:p>
      <w:pPr>
        <w:pStyle w:val="BodyText"/>
      </w:pPr>
      <w:r>
        <w:t>В диаграмму не добавлена административная роль: SRS определяет обязательными только пользователя и техника. Email-события показаны как проектируемая интеграционная граница, а не как самостоятельная роль с подтверждённой доставкой.</w:t>
      </w:r>
    </w:p>
    <w:p>
      <w:r>
        <w:br w:type="page"/>
      </w:r>
    </w:p>
    <w:p>
      <w:pPr>
        <w:pStyle w:val="Heading1"/>
      </w:pPr>
      <w:r>
        <w:t>2. Activity Diagram</w:t>
      </w:r>
    </w:p>
    <w:p>
      <w:pPr>
        <w:pStyle w:val="BodyText"/>
      </w:pPr>
      <w:r>
        <w:t>Диаграмма активности описывает основной поток обработки одной заявки и ответственность участников. Дорожки разделяют действия пользователя, системы и IT-техника.</w:t>
      </w:r>
    </w:p>
    <w:p>
      <w:r>
        <w:drawing>
          <wp:inline xmlns:a="http://schemas.openxmlformats.org/drawingml/2006/main" xmlns:pic="http://schemas.openxmlformats.org/drawingml/2006/picture">
            <wp:extent cx="5989320" cy="5427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27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Диаграмма активности с дорожками ответственности</w:t>
      </w:r>
    </w:p>
    <w:p>
      <w:pPr>
        <w:pStyle w:val="Heading2"/>
      </w:pPr>
      <w:r>
        <w:t>2.1 Основной поток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9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1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type="dxa" w:w="568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Пользователь</w:t>
            </w:r>
          </w:p>
        </w:tc>
        <w:tc>
          <w:tcPr>
            <w:tcW w:type="dxa" w:w="56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Заполняет и отправляет заявку.</w:t>
            </w:r>
          </w:p>
        </w:tc>
      </w:tr>
      <w:tr>
        <w:tc>
          <w:tcPr>
            <w:tcW w:type="dxa" w:w="7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Система</w:t>
            </w:r>
          </w:p>
        </w:tc>
        <w:tc>
          <w:tcPr>
            <w:tcW w:type="dxa" w:w="56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Проверяет данные и регистрирует статус «Открыта».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IT-техник</w:t>
            </w:r>
          </w:p>
        </w:tc>
        <w:tc>
          <w:tcPr>
            <w:tcW w:type="dxa" w:w="56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Принимает заявку в работу и указывает результат.</w:t>
            </w:r>
          </w:p>
        </w:tc>
      </w:tr>
      <w:tr>
        <w:tc>
          <w:tcPr>
            <w:tcW w:type="dxa" w:w="7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Система</w:t>
            </w:r>
          </w:p>
        </w:tc>
        <w:tc>
          <w:tcPr>
            <w:tcW w:type="dxa" w:w="56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Переводит заявку в «Решена» и создаёт email-событие.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Пользователь</w:t>
            </w:r>
          </w:p>
        </w:tc>
        <w:tc>
          <w:tcPr>
            <w:tcW w:type="dxa" w:w="56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Проверяет результат.</w:t>
            </w:r>
          </w:p>
        </w:tc>
      </w:tr>
      <w:tr>
        <w:tc>
          <w:tcPr>
            <w:tcW w:type="dxa" w:w="7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IT-техник</w:t>
            </w:r>
          </w:p>
        </w:tc>
        <w:tc>
          <w:tcPr>
            <w:tcW w:type="dxa" w:w="56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Закрывает заявку после подтверждения автора.</w:t>
            </w:r>
          </w:p>
        </w:tc>
      </w:tr>
    </w:tbl>
    <w:p>
      <w:pPr>
        <w:spacing w:after="20"/>
      </w:pPr>
    </w:p>
    <w:p>
      <w:pPr>
        <w:pStyle w:val="Heading2"/>
      </w:pPr>
      <w:r>
        <w:t>2.2 Альтернативные ветви</w:t>
      </w:r>
    </w:p>
    <w:p>
      <w:pPr>
        <w:pStyle w:val="ListBullet"/>
      </w:pPr>
      <w:r>
        <w:t>Ошибка заполнения: система не создаёт заявку, сообщает о проблемах и возвращает пользователя к исправлению данных.</w:t>
      </w:r>
    </w:p>
    <w:p>
      <w:pPr>
        <w:pStyle w:val="ListBullet"/>
      </w:pPr>
      <w:r>
        <w:t>Отказ автора: пользователь указывает причину, система сохраняет событие отказа и возвращает заявку в «В работе».</w:t>
      </w:r>
    </w:p>
    <w:p>
      <w:pPr>
        <w:pStyle w:val="ListBullet"/>
      </w:pPr>
      <w:r>
        <w:t>Повторная обработка: техник уточняет описание и повторно выполняет решение.</w:t>
      </w:r>
    </w:p>
    <w:p>
      <w:pPr>
        <w:pStyle w:val="ListBullet"/>
      </w:pPr>
      <w:r>
        <w:t>Подтверждение решения: фиксируется в истории как событие; отдельный статус «Подтверждена» не вводится.</w:t>
      </w:r>
    </w:p>
    <w:p>
      <w:pPr>
        <w:pStyle w:val="Heading1"/>
      </w:pPr>
      <w:r>
        <w:t>3. Проверка соответствия SRS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Правило / требование</w:t>
            </w:r>
          </w:p>
        </w:tc>
        <w:tc>
          <w:tcPr>
            <w:tcW w:type="dxa" w:w="4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Отражение в диаграммах</w:t>
            </w:r>
          </w:p>
        </w:tc>
        <w:tc>
          <w:tcPr>
            <w:tcW w:type="dxa" w:w="14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Две роли: пользователь и техник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Акторы Use Case и три дорожки Activity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Согласовано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UC-01–UC-06</w:t>
            </w:r>
          </w:p>
        </w:tc>
        <w:tc>
          <w:tcPr>
            <w:tcW w:type="dxa" w:w="46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Use Case содержит все шесть сценариев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Согласовано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FR-001–031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Таблица трассировки связывает действия и FR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Согласовано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Подтверждение не является статусом</w:t>
            </w:r>
          </w:p>
        </w:tc>
        <w:tc>
          <w:tcPr>
            <w:tcW w:type="dxa" w:w="46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Событие подтверждения в Activity и пояснительная заметка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Согласовано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Закрытие только после подтверждения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Предусловие явно указано в Use Case и Activity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Согласовано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Отказ возвращает в работу</w:t>
            </w:r>
          </w:p>
        </w:tc>
        <w:tc>
          <w:tcPr>
            <w:tcW w:type="dxa" w:w="46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Альтернативная ветвь Activity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Согласовано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Email проектируется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Подписи email-событий без утверждения SMTP-доставки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Согласовано</w:t>
            </w:r>
          </w:p>
        </w:tc>
      </w:tr>
    </w:tbl>
    <w:p>
      <w:pPr>
        <w:spacing w:after="20"/>
      </w:pPr>
    </w:p>
    <w:p>
      <w:pPr>
        <w:pStyle w:val="Heading1"/>
      </w:pPr>
      <w:r>
        <w:t>4. Артефакты и воспроизводимость</w:t>
      </w:r>
    </w:p>
    <w:p>
      <w:pPr>
        <w:pStyle w:val="BodyText"/>
      </w:pPr>
      <w:r>
        <w:t>Исходные файлы PlantUML находятся рядом с изображениями. Они используют стандартные конструкции actor, usecase, rectangle, swimlanes, if/then/else и start/stop и предназначены для рендера в PlantUML-совместимом инструменте. SVG является векторным представлением для отчёта, PNG — готовым изображением для вставки в текстовый документ.</w:t>
      </w:r>
    </w:p>
    <w:p>
      <w:pPr>
        <w:pStyle w:val="Heading1"/>
      </w:pPr>
      <w:r>
        <w:t>5. Вывод</w:t>
      </w:r>
    </w:p>
    <w:p>
      <w:pPr>
        <w:pStyle w:val="BodyText"/>
      </w:pPr>
      <w:r>
        <w:t>Этап 3 подготовлен как согласованный комплект UML-материалов. Use Case фиксирует границы функциональности и права двух ролей. Activity показывает полный жизненный цикл заявки, контроль корректности данных, решение, подтверждение, возврат в работу и закрытие. Диаграммы не вводят функций, статусов или интеграций, отсутствующих в SRS.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Tcacenco Dmitrii  •  P2524r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IT Ticket Manager  |  Этап 3  |  UML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