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8CF" w:rsidRDefault="003948CF" w:rsidP="00B349B5">
      <w:pPr>
        <w:spacing w:line="360" w:lineRule="auto"/>
        <w:ind w:firstLine="709"/>
        <w:jc w:val="center"/>
        <w:rPr>
          <w:rFonts w:ascii="Times New Roman" w:hAnsi="Times New Roman" w:cs="Times New Roman"/>
          <w:b/>
          <w:bCs/>
          <w:sz w:val="24"/>
          <w:szCs w:val="24"/>
        </w:rPr>
      </w:pPr>
      <w:r w:rsidRPr="00AC26C7">
        <w:rPr>
          <w:rFonts w:ascii="Times New Roman" w:hAnsi="Times New Roman" w:cs="Times New Roman"/>
          <w:b/>
          <w:bCs/>
          <w:sz w:val="24"/>
          <w:szCs w:val="24"/>
        </w:rPr>
        <w:t>Le compte de résultats</w:t>
      </w:r>
    </w:p>
    <w:p w:rsidR="00B349B5" w:rsidRDefault="00B349B5" w:rsidP="00B349B5">
      <w:pPr>
        <w:spacing w:line="360" w:lineRule="auto"/>
        <w:ind w:firstLine="709"/>
        <w:jc w:val="center"/>
        <w:rPr>
          <w:rFonts w:ascii="Times New Roman" w:hAnsi="Times New Roman" w:cs="Times New Roman"/>
          <w:b/>
          <w:bCs/>
          <w:sz w:val="24"/>
          <w:szCs w:val="24"/>
        </w:rPr>
      </w:pPr>
    </w:p>
    <w:p w:rsidR="00B349B5" w:rsidRDefault="003948CF" w:rsidP="00B349B5">
      <w:pPr>
        <w:spacing w:line="360" w:lineRule="auto"/>
        <w:ind w:firstLine="709"/>
        <w:jc w:val="both"/>
        <w:rPr>
          <w:rFonts w:ascii="Times New Roman" w:hAnsi="Times New Roman" w:cs="Times New Roman"/>
          <w:sz w:val="24"/>
          <w:szCs w:val="24"/>
        </w:rPr>
      </w:pPr>
      <w:r w:rsidRPr="00AC26C7">
        <w:rPr>
          <w:rFonts w:ascii="Times New Roman" w:hAnsi="Times New Roman" w:cs="Times New Roman"/>
          <w:sz w:val="24"/>
          <w:szCs w:val="24"/>
        </w:rPr>
        <w:t>Le compte de résultats est un état récapitulatif des charges et des produits réalisés par l’entité</w:t>
      </w:r>
      <w:r w:rsidR="00AC26C7" w:rsidRPr="00AC26C7">
        <w:rPr>
          <w:rFonts w:ascii="Times New Roman" w:hAnsi="Times New Roman" w:cs="Times New Roman"/>
          <w:sz w:val="24"/>
          <w:szCs w:val="24"/>
        </w:rPr>
        <w:t xml:space="preserve"> au cours de l’exercice. Il ne tient pas compte de la date d’encaissement ou de décaissement. Il fait apparaitre, par différence, le résultat net de l’exercice : bénéfice/profit ou perte.</w:t>
      </w:r>
    </w:p>
    <w:p w:rsidR="00230FE2" w:rsidRDefault="00230FE2" w:rsidP="006F23C0">
      <w:pPr>
        <w:pStyle w:val="Paragraphedeliste"/>
        <w:numPr>
          <w:ilvl w:val="0"/>
          <w:numId w:val="12"/>
        </w:numPr>
        <w:spacing w:line="360" w:lineRule="auto"/>
        <w:ind w:left="0"/>
        <w:jc w:val="both"/>
        <w:rPr>
          <w:rFonts w:ascii="Times New Roman" w:hAnsi="Times New Roman" w:cs="Times New Roman"/>
          <w:b/>
          <w:bCs/>
          <w:sz w:val="24"/>
          <w:szCs w:val="24"/>
        </w:rPr>
      </w:pPr>
      <w:r w:rsidRPr="006F23C0">
        <w:rPr>
          <w:rFonts w:ascii="Times New Roman" w:hAnsi="Times New Roman" w:cs="Times New Roman"/>
          <w:b/>
          <w:bCs/>
          <w:sz w:val="24"/>
          <w:szCs w:val="24"/>
        </w:rPr>
        <w:t>Hypothèses de modélisation :</w:t>
      </w:r>
    </w:p>
    <w:p w:rsidR="006F23C0" w:rsidRPr="006F23C0" w:rsidRDefault="006F23C0" w:rsidP="006F23C0">
      <w:pPr>
        <w:pStyle w:val="Paragraphedeliste"/>
        <w:spacing w:line="360" w:lineRule="auto"/>
        <w:ind w:left="0"/>
        <w:jc w:val="both"/>
        <w:rPr>
          <w:rFonts w:ascii="Times New Roman" w:hAnsi="Times New Roman" w:cs="Times New Roman"/>
          <w:b/>
          <w:bCs/>
          <w:sz w:val="24"/>
          <w:szCs w:val="24"/>
        </w:rPr>
      </w:pPr>
    </w:p>
    <w:p w:rsidR="0013665C" w:rsidRDefault="00484923"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Prix de vente de l’électricité : </w:t>
      </w:r>
    </w:p>
    <w:p w:rsidR="0013665C" w:rsidRDefault="00B81C99" w:rsidP="0013665C">
      <w:pPr>
        <w:pStyle w:val="Paragraphedeliste"/>
        <w:numPr>
          <w:ilvl w:val="0"/>
          <w:numId w:val="15"/>
        </w:numPr>
        <w:spacing w:before="12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 xml:space="preserve">Prix moyen </w:t>
      </w:r>
      <w:r w:rsidR="00484923">
        <w:rPr>
          <w:rFonts w:ascii="Times New Roman" w:hAnsi="Times New Roman" w:cs="Times New Roman"/>
          <w:bCs/>
          <w:sz w:val="24"/>
          <w:szCs w:val="24"/>
        </w:rPr>
        <w:t xml:space="preserve"> </w:t>
      </w:r>
      <w:r>
        <w:rPr>
          <w:rFonts w:ascii="Times New Roman" w:hAnsi="Times New Roman" w:cs="Times New Roman"/>
          <w:bCs/>
          <w:sz w:val="24"/>
          <w:szCs w:val="24"/>
        </w:rPr>
        <w:t xml:space="preserve">3.554 </w:t>
      </w:r>
      <w:r w:rsidR="00104D65">
        <w:rPr>
          <w:rFonts w:ascii="Times New Roman" w:hAnsi="Times New Roman" w:cs="Times New Roman"/>
          <w:bCs/>
          <w:sz w:val="24"/>
          <w:szCs w:val="24"/>
        </w:rPr>
        <w:t xml:space="preserve">DA </w:t>
      </w:r>
      <w:r w:rsidR="0013665C">
        <w:rPr>
          <w:rFonts w:ascii="Times New Roman" w:hAnsi="Times New Roman" w:cs="Times New Roman"/>
          <w:bCs/>
          <w:sz w:val="24"/>
          <w:szCs w:val="24"/>
        </w:rPr>
        <w:t>de 201</w:t>
      </w:r>
      <w:r>
        <w:rPr>
          <w:rFonts w:ascii="Times New Roman" w:hAnsi="Times New Roman" w:cs="Times New Roman"/>
          <w:bCs/>
          <w:sz w:val="24"/>
          <w:szCs w:val="24"/>
        </w:rPr>
        <w:t>4</w:t>
      </w:r>
      <w:r w:rsidR="0013665C">
        <w:rPr>
          <w:rFonts w:ascii="Times New Roman" w:hAnsi="Times New Roman" w:cs="Times New Roman"/>
          <w:bCs/>
          <w:sz w:val="24"/>
          <w:szCs w:val="24"/>
        </w:rPr>
        <w:t xml:space="preserve"> à 2017 ;</w:t>
      </w:r>
    </w:p>
    <w:p w:rsidR="00F67EF2" w:rsidRDefault="00484923"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Prix de vente du gaz : </w:t>
      </w:r>
    </w:p>
    <w:p w:rsidR="00F67EF2" w:rsidRDefault="00B81C99" w:rsidP="00F67EF2">
      <w:pPr>
        <w:pStyle w:val="Paragraphedeliste"/>
        <w:numPr>
          <w:ilvl w:val="0"/>
          <w:numId w:val="15"/>
        </w:numPr>
        <w:spacing w:before="12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Prix moyen 0.298</w:t>
      </w:r>
      <w:r w:rsidR="00104D65">
        <w:rPr>
          <w:rFonts w:ascii="Times New Roman" w:hAnsi="Times New Roman" w:cs="Times New Roman"/>
          <w:bCs/>
          <w:sz w:val="24"/>
          <w:szCs w:val="24"/>
        </w:rPr>
        <w:t xml:space="preserve"> DA</w:t>
      </w:r>
      <w:r w:rsidR="00484923">
        <w:rPr>
          <w:rFonts w:ascii="Times New Roman" w:hAnsi="Times New Roman" w:cs="Times New Roman"/>
          <w:bCs/>
          <w:sz w:val="24"/>
          <w:szCs w:val="24"/>
        </w:rPr>
        <w:t xml:space="preserve"> de 201</w:t>
      </w:r>
      <w:r>
        <w:rPr>
          <w:rFonts w:ascii="Times New Roman" w:hAnsi="Times New Roman" w:cs="Times New Roman"/>
          <w:bCs/>
          <w:sz w:val="24"/>
          <w:szCs w:val="24"/>
        </w:rPr>
        <w:t>4</w:t>
      </w:r>
      <w:r w:rsidR="00484923">
        <w:rPr>
          <w:rFonts w:ascii="Times New Roman" w:hAnsi="Times New Roman" w:cs="Times New Roman"/>
          <w:bCs/>
          <w:sz w:val="24"/>
          <w:szCs w:val="24"/>
        </w:rPr>
        <w:t xml:space="preserve"> à 2017 ;</w:t>
      </w:r>
    </w:p>
    <w:p w:rsidR="00230FE2" w:rsidRPr="00230FE2" w:rsidRDefault="00484923"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Prix d’achat</w:t>
      </w:r>
      <w:r w:rsidR="00230FE2" w:rsidRPr="00230FE2">
        <w:rPr>
          <w:rFonts w:ascii="Times New Roman" w:hAnsi="Times New Roman" w:cs="Times New Roman"/>
          <w:bCs/>
          <w:sz w:val="24"/>
          <w:szCs w:val="24"/>
        </w:rPr>
        <w:t xml:space="preserve"> à SPE 1.725</w:t>
      </w:r>
      <w:r w:rsidR="00104D65">
        <w:rPr>
          <w:rFonts w:ascii="Times New Roman" w:hAnsi="Times New Roman" w:cs="Times New Roman"/>
          <w:bCs/>
          <w:sz w:val="24"/>
          <w:szCs w:val="24"/>
        </w:rPr>
        <w:t xml:space="preserve"> DA</w:t>
      </w:r>
      <w:r w:rsidR="00230FE2" w:rsidRPr="00230FE2">
        <w:rPr>
          <w:rFonts w:ascii="Times New Roman" w:hAnsi="Times New Roman" w:cs="Times New Roman"/>
          <w:bCs/>
          <w:sz w:val="24"/>
          <w:szCs w:val="24"/>
        </w:rPr>
        <w:t xml:space="preserve"> de 2012 à 2017 ;</w:t>
      </w:r>
    </w:p>
    <w:p w:rsidR="00230FE2" w:rsidRPr="00230FE2" w:rsidRDefault="006F23C0"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Évolution des prix d’achat</w:t>
      </w:r>
      <w:r w:rsidR="00230FE2" w:rsidRPr="00230FE2">
        <w:rPr>
          <w:rFonts w:ascii="Times New Roman" w:hAnsi="Times New Roman" w:cs="Times New Roman"/>
          <w:bCs/>
          <w:sz w:val="24"/>
          <w:szCs w:val="24"/>
        </w:rPr>
        <w:t xml:space="preserve"> </w:t>
      </w:r>
      <w:r w:rsidR="00484923">
        <w:rPr>
          <w:rFonts w:ascii="Times New Roman" w:hAnsi="Times New Roman" w:cs="Times New Roman"/>
          <w:bCs/>
          <w:sz w:val="24"/>
          <w:szCs w:val="24"/>
        </w:rPr>
        <w:t xml:space="preserve">de l’électricité </w:t>
      </w:r>
      <w:r>
        <w:rPr>
          <w:rFonts w:ascii="Times New Roman" w:hAnsi="Times New Roman" w:cs="Times New Roman"/>
          <w:bCs/>
          <w:sz w:val="24"/>
          <w:szCs w:val="24"/>
        </w:rPr>
        <w:t>aux tiers</w:t>
      </w:r>
      <w:r w:rsidR="00230FE2" w:rsidRPr="00230FE2">
        <w:rPr>
          <w:rFonts w:ascii="Times New Roman" w:hAnsi="Times New Roman" w:cs="Times New Roman"/>
          <w:bCs/>
          <w:sz w:val="24"/>
          <w:szCs w:val="24"/>
        </w:rPr>
        <w:t xml:space="preserve"> de 6.7% annuellement</w:t>
      </w:r>
      <w:r w:rsidR="00B81C99">
        <w:rPr>
          <w:rFonts w:ascii="Times New Roman" w:hAnsi="Times New Roman" w:cs="Times New Roman"/>
          <w:bCs/>
          <w:sz w:val="24"/>
          <w:szCs w:val="24"/>
        </w:rPr>
        <w:t> (</w:t>
      </w:r>
      <w:r w:rsidR="00484923">
        <w:rPr>
          <w:rFonts w:ascii="Times New Roman" w:hAnsi="Times New Roman" w:cs="Times New Roman"/>
          <w:bCs/>
          <w:sz w:val="24"/>
          <w:szCs w:val="24"/>
        </w:rPr>
        <w:t>TE</w:t>
      </w:r>
      <w:r>
        <w:rPr>
          <w:rFonts w:ascii="Times New Roman" w:hAnsi="Times New Roman" w:cs="Times New Roman"/>
          <w:bCs/>
          <w:sz w:val="24"/>
          <w:szCs w:val="24"/>
        </w:rPr>
        <w:t xml:space="preserve"> 2012/2011</w:t>
      </w:r>
      <w:r w:rsidR="00B81C99">
        <w:rPr>
          <w:rFonts w:ascii="Times New Roman" w:hAnsi="Times New Roman" w:cs="Times New Roman"/>
          <w:bCs/>
          <w:sz w:val="24"/>
          <w:szCs w:val="24"/>
        </w:rPr>
        <w:t>)</w:t>
      </w:r>
      <w:r w:rsidR="00230FE2" w:rsidRPr="00230FE2">
        <w:rPr>
          <w:rFonts w:ascii="Times New Roman" w:hAnsi="Times New Roman" w:cs="Times New Roman"/>
          <w:bCs/>
          <w:sz w:val="24"/>
          <w:szCs w:val="24"/>
        </w:rPr>
        <w:t> ;</w:t>
      </w:r>
    </w:p>
    <w:p w:rsidR="00230FE2" w:rsidRDefault="006F23C0"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Achat Gaz pour IPP </w:t>
      </w:r>
      <w:r w:rsidR="003C2E2B">
        <w:rPr>
          <w:rFonts w:ascii="Times New Roman" w:hAnsi="Times New Roman" w:cs="Times New Roman"/>
          <w:bCs/>
          <w:sz w:val="24"/>
          <w:szCs w:val="24"/>
        </w:rPr>
        <w:t xml:space="preserve">: </w:t>
      </w:r>
      <w:r w:rsidR="003C2E2B" w:rsidRPr="00230FE2">
        <w:rPr>
          <w:rFonts w:ascii="Times New Roman" w:hAnsi="Times New Roman" w:cs="Times New Roman"/>
          <w:bCs/>
          <w:sz w:val="24"/>
          <w:szCs w:val="24"/>
        </w:rPr>
        <w:t>9</w:t>
      </w:r>
      <w:r w:rsidR="00230FE2" w:rsidRPr="00230FE2">
        <w:rPr>
          <w:rFonts w:ascii="Times New Roman" w:hAnsi="Times New Roman" w:cs="Times New Roman"/>
          <w:bCs/>
          <w:sz w:val="24"/>
          <w:szCs w:val="24"/>
        </w:rPr>
        <w:t xml:space="preserve"> 254.00 MTH de 2013 à 2017 ;</w:t>
      </w:r>
    </w:p>
    <w:p w:rsidR="006F23C0" w:rsidRPr="00230FE2" w:rsidRDefault="006F23C0"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Maitrise des coûts </w:t>
      </w:r>
      <w:r w:rsidR="003C2E2B">
        <w:rPr>
          <w:rFonts w:ascii="Times New Roman" w:hAnsi="Times New Roman" w:cs="Times New Roman"/>
          <w:bCs/>
          <w:sz w:val="24"/>
          <w:szCs w:val="24"/>
        </w:rPr>
        <w:t>de la consommation</w:t>
      </w:r>
      <w:r>
        <w:rPr>
          <w:rFonts w:ascii="Times New Roman" w:hAnsi="Times New Roman" w:cs="Times New Roman"/>
          <w:bCs/>
          <w:sz w:val="24"/>
          <w:szCs w:val="24"/>
        </w:rPr>
        <w:t xml:space="preserve"> des matières et matériels ;</w:t>
      </w:r>
    </w:p>
    <w:p w:rsidR="00230FE2" w:rsidRPr="00230FE2" w:rsidRDefault="00D52803" w:rsidP="00D52803">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Maintient du c</w:t>
      </w:r>
      <w:r w:rsidR="00230FE2" w:rsidRPr="00230FE2">
        <w:rPr>
          <w:rFonts w:ascii="Times New Roman" w:hAnsi="Times New Roman" w:cs="Times New Roman"/>
          <w:bCs/>
          <w:sz w:val="24"/>
          <w:szCs w:val="24"/>
        </w:rPr>
        <w:t>o</w:t>
      </w:r>
      <w:r w:rsidR="006F23C0">
        <w:rPr>
          <w:rFonts w:ascii="Times New Roman" w:hAnsi="Times New Roman" w:cs="Times New Roman"/>
          <w:bCs/>
          <w:sz w:val="24"/>
          <w:szCs w:val="24"/>
        </w:rPr>
        <w:t>û</w:t>
      </w:r>
      <w:r w:rsidR="00230FE2" w:rsidRPr="00230FE2">
        <w:rPr>
          <w:rFonts w:ascii="Times New Roman" w:hAnsi="Times New Roman" w:cs="Times New Roman"/>
          <w:bCs/>
          <w:sz w:val="24"/>
          <w:szCs w:val="24"/>
        </w:rPr>
        <w:t xml:space="preserve">t de transit Électricité (GRTE) : 0.66 DA </w:t>
      </w:r>
    </w:p>
    <w:p w:rsidR="00230FE2" w:rsidRPr="00230FE2" w:rsidRDefault="00D52803" w:rsidP="00D52803">
      <w:pPr>
        <w:pStyle w:val="Paragraphedeliste"/>
        <w:numPr>
          <w:ilvl w:val="0"/>
          <w:numId w:val="11"/>
        </w:numPr>
        <w:spacing w:before="120" w:line="360" w:lineRule="auto"/>
        <w:ind w:left="0" w:firstLine="567"/>
        <w:contextualSpacing w:val="0"/>
        <w:jc w:val="both"/>
        <w:rPr>
          <w:rFonts w:ascii="Times New Roman" w:hAnsi="Times New Roman" w:cs="Times New Roman"/>
          <w:bCs/>
          <w:sz w:val="24"/>
          <w:szCs w:val="24"/>
        </w:rPr>
      </w:pPr>
      <w:r>
        <w:rPr>
          <w:rFonts w:ascii="Times New Roman" w:hAnsi="Times New Roman" w:cs="Times New Roman"/>
          <w:bCs/>
          <w:sz w:val="24"/>
          <w:szCs w:val="24"/>
        </w:rPr>
        <w:t>Maintient du c</w:t>
      </w:r>
      <w:r w:rsidR="00230FE2" w:rsidRPr="00230FE2">
        <w:rPr>
          <w:rFonts w:ascii="Times New Roman" w:hAnsi="Times New Roman" w:cs="Times New Roman"/>
          <w:bCs/>
          <w:sz w:val="24"/>
          <w:szCs w:val="24"/>
        </w:rPr>
        <w:t>o</w:t>
      </w:r>
      <w:r w:rsidR="006F23C0">
        <w:rPr>
          <w:rFonts w:ascii="Times New Roman" w:hAnsi="Times New Roman" w:cs="Times New Roman"/>
          <w:bCs/>
          <w:sz w:val="24"/>
          <w:szCs w:val="24"/>
        </w:rPr>
        <w:t>û</w:t>
      </w:r>
      <w:r w:rsidR="00230FE2" w:rsidRPr="00230FE2">
        <w:rPr>
          <w:rFonts w:ascii="Times New Roman" w:hAnsi="Times New Roman" w:cs="Times New Roman"/>
          <w:bCs/>
          <w:sz w:val="24"/>
          <w:szCs w:val="24"/>
        </w:rPr>
        <w:t>t de transit Gaz (GRTE) :0.04 DA</w:t>
      </w:r>
      <w:r w:rsidR="006F23C0">
        <w:rPr>
          <w:rFonts w:ascii="Times New Roman" w:hAnsi="Times New Roman" w:cs="Times New Roman"/>
          <w:bCs/>
          <w:sz w:val="24"/>
          <w:szCs w:val="24"/>
        </w:rPr>
        <w:t>.</w:t>
      </w:r>
    </w:p>
    <w:p w:rsidR="00B77744" w:rsidRPr="006F23C0" w:rsidRDefault="00B77744" w:rsidP="006F23C0">
      <w:pPr>
        <w:pStyle w:val="Paragraphedeliste"/>
        <w:numPr>
          <w:ilvl w:val="0"/>
          <w:numId w:val="12"/>
        </w:numPr>
        <w:spacing w:before="120" w:line="360" w:lineRule="auto"/>
        <w:ind w:left="0"/>
        <w:contextualSpacing w:val="0"/>
        <w:jc w:val="both"/>
        <w:rPr>
          <w:rFonts w:ascii="Times New Roman" w:hAnsi="Times New Roman" w:cs="Times New Roman"/>
          <w:sz w:val="24"/>
          <w:szCs w:val="24"/>
        </w:rPr>
      </w:pPr>
      <w:r w:rsidRPr="006F23C0">
        <w:rPr>
          <w:rFonts w:ascii="Times New Roman" w:hAnsi="Times New Roman" w:cs="Times New Roman"/>
          <w:b/>
          <w:bCs/>
          <w:sz w:val="24"/>
          <w:szCs w:val="24"/>
        </w:rPr>
        <w:t>Résultat de l’exercice 2012 à 2017</w:t>
      </w:r>
      <w:r w:rsidRPr="006F23C0">
        <w:rPr>
          <w:rFonts w:ascii="Times New Roman" w:hAnsi="Times New Roman" w:cs="Times New Roman"/>
          <w:sz w:val="24"/>
          <w:szCs w:val="24"/>
        </w:rPr>
        <w:t> :</w:t>
      </w:r>
    </w:p>
    <w:p w:rsidR="000D30FB" w:rsidRDefault="00B77744" w:rsidP="000D30FB">
      <w:pPr>
        <w:spacing w:line="360" w:lineRule="auto"/>
        <w:ind w:firstLine="709"/>
        <w:jc w:val="both"/>
        <w:rPr>
          <w:rFonts w:ascii="Times New Roman" w:hAnsi="Times New Roman" w:cs="Times New Roman"/>
          <w:sz w:val="24"/>
          <w:szCs w:val="24"/>
        </w:rPr>
      </w:pPr>
      <w:r w:rsidRPr="00B77744">
        <w:rPr>
          <w:rFonts w:ascii="Times New Roman" w:hAnsi="Times New Roman" w:cs="Times New Roman"/>
          <w:sz w:val="24"/>
          <w:szCs w:val="24"/>
        </w:rPr>
        <w:t>Le tableau des comptes de résultats</w:t>
      </w:r>
      <w:r w:rsidR="006F23C0">
        <w:rPr>
          <w:rFonts w:ascii="Times New Roman" w:hAnsi="Times New Roman" w:cs="Times New Roman"/>
          <w:sz w:val="24"/>
          <w:szCs w:val="24"/>
        </w:rPr>
        <w:t xml:space="preserve"> (2012-2017)</w:t>
      </w:r>
      <w:r w:rsidRPr="00B77744">
        <w:rPr>
          <w:rFonts w:ascii="Times New Roman" w:hAnsi="Times New Roman" w:cs="Times New Roman"/>
          <w:sz w:val="24"/>
          <w:szCs w:val="24"/>
        </w:rPr>
        <w:t xml:space="preserve"> de la SDA fait ressortir </w:t>
      </w:r>
      <w:r w:rsidR="00887D57">
        <w:rPr>
          <w:rFonts w:ascii="Times New Roman" w:hAnsi="Times New Roman" w:cs="Times New Roman"/>
          <w:sz w:val="24"/>
          <w:szCs w:val="24"/>
        </w:rPr>
        <w:t>des</w:t>
      </w:r>
      <w:r w:rsidRPr="00B77744">
        <w:rPr>
          <w:rFonts w:ascii="Times New Roman" w:hAnsi="Times New Roman" w:cs="Times New Roman"/>
          <w:sz w:val="24"/>
          <w:szCs w:val="24"/>
        </w:rPr>
        <w:t xml:space="preserve"> résultat</w:t>
      </w:r>
      <w:r w:rsidR="00887D57">
        <w:rPr>
          <w:rFonts w:ascii="Times New Roman" w:hAnsi="Times New Roman" w:cs="Times New Roman"/>
          <w:sz w:val="24"/>
          <w:szCs w:val="24"/>
        </w:rPr>
        <w:t>s</w:t>
      </w:r>
      <w:r w:rsidRPr="00B77744">
        <w:rPr>
          <w:rFonts w:ascii="Times New Roman" w:hAnsi="Times New Roman" w:cs="Times New Roman"/>
          <w:sz w:val="24"/>
          <w:szCs w:val="24"/>
        </w:rPr>
        <w:t xml:space="preserve"> </w:t>
      </w:r>
      <w:r w:rsidR="00887D57" w:rsidRPr="00B77744">
        <w:rPr>
          <w:rFonts w:ascii="Times New Roman" w:hAnsi="Times New Roman" w:cs="Times New Roman"/>
          <w:sz w:val="24"/>
          <w:szCs w:val="24"/>
        </w:rPr>
        <w:t xml:space="preserve">nets déficitaires </w:t>
      </w:r>
      <w:r w:rsidR="00887D57">
        <w:rPr>
          <w:rFonts w:ascii="Times New Roman" w:hAnsi="Times New Roman" w:cs="Times New Roman"/>
          <w:sz w:val="24"/>
          <w:szCs w:val="24"/>
        </w:rPr>
        <w:t>qui</w:t>
      </w:r>
      <w:r w:rsidRPr="00B77744">
        <w:rPr>
          <w:rFonts w:ascii="Times New Roman" w:hAnsi="Times New Roman" w:cs="Times New Roman"/>
          <w:sz w:val="24"/>
          <w:szCs w:val="24"/>
        </w:rPr>
        <w:t xml:space="preserve"> </w:t>
      </w:r>
      <w:r w:rsidR="000D30FB">
        <w:rPr>
          <w:rFonts w:ascii="Times New Roman" w:hAnsi="Times New Roman" w:cs="Times New Roman"/>
          <w:sz w:val="24"/>
          <w:szCs w:val="24"/>
        </w:rPr>
        <w:t xml:space="preserve">se présentent comme suit : </w:t>
      </w:r>
    </w:p>
    <w:p w:rsidR="000D30FB" w:rsidRDefault="000D30FB" w:rsidP="00B349B5">
      <w:pPr>
        <w:spacing w:line="360" w:lineRule="auto"/>
        <w:jc w:val="both"/>
        <w:rPr>
          <w:rFonts w:ascii="Times New Roman" w:hAnsi="Times New Roman" w:cs="Times New Roman"/>
          <w:noProof/>
          <w:sz w:val="24"/>
          <w:szCs w:val="24"/>
          <w:lang w:eastAsia="fr-FR"/>
        </w:rPr>
      </w:pPr>
    </w:p>
    <w:p w:rsidR="00977453" w:rsidRDefault="00977453" w:rsidP="00B349B5">
      <w:pPr>
        <w:spacing w:line="360" w:lineRule="auto"/>
        <w:jc w:val="both"/>
        <w:rPr>
          <w:rFonts w:ascii="Times New Roman" w:hAnsi="Times New Roman" w:cs="Times New Roman"/>
          <w:noProof/>
          <w:sz w:val="24"/>
          <w:szCs w:val="24"/>
          <w:lang w:eastAsia="fr-FR"/>
        </w:rPr>
      </w:pPr>
    </w:p>
    <w:p w:rsidR="00977453" w:rsidRDefault="00977453" w:rsidP="00B349B5">
      <w:pPr>
        <w:spacing w:line="360" w:lineRule="auto"/>
        <w:jc w:val="both"/>
        <w:rPr>
          <w:rFonts w:ascii="Times New Roman" w:hAnsi="Times New Roman" w:cs="Times New Roman"/>
          <w:noProof/>
          <w:sz w:val="24"/>
          <w:szCs w:val="24"/>
          <w:lang w:eastAsia="fr-FR"/>
        </w:rPr>
      </w:pPr>
    </w:p>
    <w:p w:rsidR="00977453" w:rsidRDefault="00B81C99" w:rsidP="00B349B5">
      <w:pPr>
        <w:spacing w:line="360" w:lineRule="auto"/>
        <w:jc w:val="both"/>
        <w:rPr>
          <w:rFonts w:ascii="Times New Roman" w:hAnsi="Times New Roman" w:cs="Times New Roman"/>
          <w:sz w:val="24"/>
          <w:szCs w:val="24"/>
        </w:rPr>
      </w:pPr>
      <w:r w:rsidRPr="00B81C99">
        <w:rPr>
          <w:rFonts w:ascii="Times New Roman" w:hAnsi="Times New Roman" w:cs="Times New Roman"/>
          <w:sz w:val="24"/>
          <w:szCs w:val="24"/>
        </w:rPr>
        <w:lastRenderedPageBreak/>
        <w:drawing>
          <wp:inline distT="0" distB="0" distL="0" distR="0">
            <wp:extent cx="5759450" cy="3137510"/>
            <wp:effectExtent l="19050" t="0" r="12700" b="5740"/>
            <wp:docPr id="3"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349B5" w:rsidRDefault="00B349B5" w:rsidP="000D30FB">
      <w:pPr>
        <w:spacing w:line="360" w:lineRule="auto"/>
        <w:ind w:firstLine="709"/>
        <w:jc w:val="both"/>
        <w:rPr>
          <w:rFonts w:ascii="Times New Roman" w:hAnsi="Times New Roman" w:cs="Times New Roman"/>
          <w:sz w:val="24"/>
          <w:szCs w:val="24"/>
        </w:rPr>
      </w:pPr>
    </w:p>
    <w:p w:rsidR="00B77744" w:rsidRPr="00B77744" w:rsidRDefault="000D30FB" w:rsidP="000D30F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Ces résultats déficitaire</w:t>
      </w:r>
      <w:r w:rsidR="00B349B5">
        <w:rPr>
          <w:rFonts w:ascii="Times New Roman" w:hAnsi="Times New Roman" w:cs="Times New Roman"/>
          <w:sz w:val="24"/>
          <w:szCs w:val="24"/>
        </w:rPr>
        <w:t>s</w:t>
      </w:r>
      <w:r>
        <w:rPr>
          <w:rFonts w:ascii="Times New Roman" w:hAnsi="Times New Roman" w:cs="Times New Roman"/>
          <w:sz w:val="24"/>
          <w:szCs w:val="24"/>
        </w:rPr>
        <w:t xml:space="preserve"> </w:t>
      </w:r>
      <w:r w:rsidR="00B77744" w:rsidRPr="00B77744">
        <w:rPr>
          <w:rFonts w:ascii="Times New Roman" w:hAnsi="Times New Roman" w:cs="Times New Roman"/>
          <w:sz w:val="24"/>
          <w:szCs w:val="24"/>
        </w:rPr>
        <w:t>s’explique</w:t>
      </w:r>
      <w:r>
        <w:rPr>
          <w:rFonts w:ascii="Times New Roman" w:hAnsi="Times New Roman" w:cs="Times New Roman"/>
          <w:sz w:val="24"/>
          <w:szCs w:val="24"/>
        </w:rPr>
        <w:t>nt</w:t>
      </w:r>
      <w:r w:rsidR="00B77744" w:rsidRPr="00B77744">
        <w:rPr>
          <w:rFonts w:ascii="Times New Roman" w:hAnsi="Times New Roman" w:cs="Times New Roman"/>
          <w:sz w:val="24"/>
          <w:szCs w:val="24"/>
        </w:rPr>
        <w:t xml:space="preserve"> principalement par :</w:t>
      </w:r>
    </w:p>
    <w:p w:rsidR="00B77744" w:rsidRPr="00B349B5" w:rsidRDefault="00B77744" w:rsidP="006F23C0">
      <w:pPr>
        <w:pStyle w:val="Paragraphedeliste"/>
        <w:numPr>
          <w:ilvl w:val="0"/>
          <w:numId w:val="3"/>
        </w:numPr>
        <w:tabs>
          <w:tab w:val="left" w:pos="142"/>
        </w:tabs>
        <w:spacing w:before="120" w:after="120" w:line="360" w:lineRule="auto"/>
        <w:ind w:left="709"/>
        <w:jc w:val="both"/>
        <w:rPr>
          <w:rFonts w:ascii="Times New Roman" w:hAnsi="Times New Roman" w:cs="Times New Roman"/>
          <w:b/>
          <w:bCs/>
          <w:sz w:val="24"/>
          <w:szCs w:val="24"/>
        </w:rPr>
      </w:pPr>
      <w:r w:rsidRPr="00B349B5">
        <w:rPr>
          <w:rFonts w:ascii="Times New Roman" w:hAnsi="Times New Roman" w:cs="Times New Roman"/>
          <w:sz w:val="24"/>
          <w:szCs w:val="24"/>
        </w:rPr>
        <w:t>Taux de perte d’énergie</w:t>
      </w:r>
      <w:r w:rsidR="00887D57" w:rsidRPr="00B349B5">
        <w:rPr>
          <w:rFonts w:ascii="Times New Roman" w:hAnsi="Times New Roman" w:cs="Times New Roman"/>
          <w:sz w:val="24"/>
          <w:szCs w:val="24"/>
        </w:rPr>
        <w:t> :</w:t>
      </w:r>
    </w:p>
    <w:p w:rsidR="00B77744" w:rsidRPr="00B349B5" w:rsidRDefault="00B77744" w:rsidP="006F23C0">
      <w:pPr>
        <w:pStyle w:val="Paragraphedeliste"/>
        <w:spacing w:before="120" w:after="120" w:line="360" w:lineRule="auto"/>
        <w:ind w:left="709"/>
        <w:jc w:val="both"/>
        <w:rPr>
          <w:rFonts w:ascii="Times New Roman" w:hAnsi="Times New Roman" w:cs="Times New Roman"/>
          <w:b/>
          <w:bCs/>
          <w:sz w:val="24"/>
          <w:szCs w:val="24"/>
        </w:rPr>
      </w:pPr>
      <w:r w:rsidRPr="00B349B5">
        <w:rPr>
          <w:rFonts w:ascii="Times New Roman" w:hAnsi="Times New Roman" w:cs="Times New Roman"/>
          <w:b/>
          <w:bCs/>
          <w:sz w:val="24"/>
          <w:szCs w:val="24"/>
        </w:rPr>
        <w:t xml:space="preserve">Déficit des pertes </w:t>
      </w:r>
      <w:r w:rsidR="00B81C99" w:rsidRPr="00B349B5">
        <w:rPr>
          <w:rFonts w:ascii="Times New Roman" w:hAnsi="Times New Roman" w:cs="Times New Roman"/>
          <w:b/>
          <w:bCs/>
          <w:sz w:val="24"/>
          <w:szCs w:val="24"/>
        </w:rPr>
        <w:t>Électricité</w:t>
      </w:r>
      <w:r w:rsidRPr="00B349B5">
        <w:rPr>
          <w:rFonts w:ascii="Times New Roman" w:hAnsi="Times New Roman" w:cs="Times New Roman"/>
          <w:b/>
          <w:bCs/>
          <w:sz w:val="24"/>
          <w:szCs w:val="24"/>
        </w:rPr>
        <w:t> :</w:t>
      </w:r>
    </w:p>
    <w:tbl>
      <w:tblPr>
        <w:tblW w:w="6064" w:type="dxa"/>
        <w:tblInd w:w="910" w:type="dxa"/>
        <w:tblCellMar>
          <w:left w:w="70" w:type="dxa"/>
          <w:right w:w="70" w:type="dxa"/>
        </w:tblCellMar>
        <w:tblLook w:val="04A0"/>
      </w:tblPr>
      <w:tblGrid>
        <w:gridCol w:w="2144"/>
        <w:gridCol w:w="920"/>
        <w:gridCol w:w="1000"/>
        <w:gridCol w:w="1000"/>
        <w:gridCol w:w="1040"/>
      </w:tblGrid>
      <w:tr w:rsidR="00887D57" w:rsidRPr="00B349B5" w:rsidTr="00B349B5">
        <w:trPr>
          <w:trHeight w:val="375"/>
        </w:trPr>
        <w:tc>
          <w:tcPr>
            <w:tcW w:w="2144" w:type="dxa"/>
            <w:tcBorders>
              <w:top w:val="nil"/>
              <w:left w:val="nil"/>
              <w:bottom w:val="nil"/>
              <w:right w:val="single" w:sz="4" w:space="0" w:color="auto"/>
            </w:tcBorders>
            <w:shd w:val="clear" w:color="000000" w:fill="FFFFFF"/>
            <w:noWrap/>
            <w:vAlign w:val="bottom"/>
            <w:hideMark/>
          </w:tcPr>
          <w:p w:rsidR="00887D57" w:rsidRPr="00B349B5" w:rsidRDefault="00887D57" w:rsidP="006F23C0">
            <w:pPr>
              <w:spacing w:after="0" w:line="240" w:lineRule="auto"/>
              <w:jc w:val="both"/>
              <w:rPr>
                <w:rFonts w:ascii="Times New Roman" w:eastAsia="Times New Roman" w:hAnsi="Times New Roman" w:cs="Times New Roman"/>
                <w:color w:val="FF0000"/>
                <w:sz w:val="24"/>
                <w:szCs w:val="24"/>
                <w:lang w:eastAsia="fr-FR"/>
              </w:rPr>
            </w:pPr>
            <w:r w:rsidRPr="00B349B5">
              <w:rPr>
                <w:rFonts w:ascii="Times New Roman" w:eastAsia="Times New Roman" w:hAnsi="Times New Roman" w:cs="Times New Roman"/>
                <w:color w:val="FF0000"/>
                <w:sz w:val="24"/>
                <w:szCs w:val="24"/>
                <w:lang w:eastAsia="fr-FR"/>
              </w:rPr>
              <w:t> </w:t>
            </w:r>
          </w:p>
        </w:tc>
        <w:tc>
          <w:tcPr>
            <w:tcW w:w="8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2014</w:t>
            </w:r>
          </w:p>
        </w:tc>
        <w:tc>
          <w:tcPr>
            <w:tcW w:w="10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2015</w:t>
            </w:r>
          </w:p>
        </w:tc>
        <w:tc>
          <w:tcPr>
            <w:tcW w:w="10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2016</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2017</w:t>
            </w:r>
          </w:p>
        </w:tc>
      </w:tr>
      <w:tr w:rsidR="00C37488" w:rsidRPr="00B349B5" w:rsidTr="00C37488">
        <w:trPr>
          <w:trHeight w:val="375"/>
        </w:trPr>
        <w:tc>
          <w:tcPr>
            <w:tcW w:w="214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 xml:space="preserve">ACHAT MT/BT </w:t>
            </w:r>
          </w:p>
        </w:tc>
        <w:tc>
          <w:tcPr>
            <w:tcW w:w="88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7 708</w:t>
            </w:r>
          </w:p>
        </w:tc>
        <w:tc>
          <w:tcPr>
            <w:tcW w:w="100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8 039</w:t>
            </w:r>
          </w:p>
        </w:tc>
        <w:tc>
          <w:tcPr>
            <w:tcW w:w="100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8 526</w:t>
            </w:r>
          </w:p>
        </w:tc>
        <w:tc>
          <w:tcPr>
            <w:tcW w:w="104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9 025</w:t>
            </w:r>
          </w:p>
        </w:tc>
      </w:tr>
      <w:tr w:rsidR="00C37488" w:rsidRPr="00B349B5" w:rsidTr="00C37488">
        <w:trPr>
          <w:trHeight w:val="375"/>
        </w:trPr>
        <w:tc>
          <w:tcPr>
            <w:tcW w:w="2144"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PERTE</w:t>
            </w:r>
          </w:p>
        </w:tc>
        <w:tc>
          <w:tcPr>
            <w:tcW w:w="88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1 388</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1 286</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1 343</w:t>
            </w:r>
          </w:p>
        </w:tc>
        <w:tc>
          <w:tcPr>
            <w:tcW w:w="104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1 399</w:t>
            </w:r>
          </w:p>
        </w:tc>
      </w:tr>
      <w:tr w:rsidR="00C37488" w:rsidRPr="00B349B5" w:rsidTr="00C37488">
        <w:trPr>
          <w:trHeight w:val="375"/>
        </w:trPr>
        <w:tc>
          <w:tcPr>
            <w:tcW w:w="2144"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TAUX PERTE</w:t>
            </w:r>
          </w:p>
        </w:tc>
        <w:tc>
          <w:tcPr>
            <w:tcW w:w="88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18,01%</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15,99%</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15,75%</w:t>
            </w:r>
          </w:p>
        </w:tc>
        <w:tc>
          <w:tcPr>
            <w:tcW w:w="104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15,50%</w:t>
            </w:r>
          </w:p>
        </w:tc>
      </w:tr>
    </w:tbl>
    <w:p w:rsidR="00B77744" w:rsidRPr="00B349B5" w:rsidRDefault="00B77744" w:rsidP="006F23C0">
      <w:pPr>
        <w:pStyle w:val="Paragraphedeliste"/>
        <w:spacing w:before="120" w:after="120" w:line="360" w:lineRule="auto"/>
        <w:ind w:left="709"/>
        <w:jc w:val="both"/>
        <w:rPr>
          <w:rFonts w:ascii="Times New Roman" w:hAnsi="Times New Roman" w:cs="Times New Roman"/>
          <w:b/>
          <w:bCs/>
          <w:sz w:val="24"/>
          <w:szCs w:val="24"/>
        </w:rPr>
      </w:pPr>
    </w:p>
    <w:p w:rsidR="00B77744" w:rsidRPr="00B349B5" w:rsidRDefault="00B77744" w:rsidP="006F23C0">
      <w:pPr>
        <w:pStyle w:val="Paragraphedeliste"/>
        <w:spacing w:before="120" w:after="120" w:line="360" w:lineRule="auto"/>
        <w:ind w:left="709"/>
        <w:jc w:val="both"/>
        <w:rPr>
          <w:rFonts w:ascii="Times New Roman" w:hAnsi="Times New Roman" w:cs="Times New Roman"/>
          <w:sz w:val="24"/>
          <w:szCs w:val="24"/>
        </w:rPr>
      </w:pPr>
      <w:r w:rsidRPr="00B349B5">
        <w:rPr>
          <w:rFonts w:ascii="Times New Roman" w:hAnsi="Times New Roman" w:cs="Times New Roman"/>
          <w:b/>
          <w:bCs/>
          <w:sz w:val="24"/>
          <w:szCs w:val="24"/>
        </w:rPr>
        <w:t>Déficit des pertes Gaz</w:t>
      </w:r>
      <w:r w:rsidRPr="00B349B5">
        <w:rPr>
          <w:rFonts w:ascii="Times New Roman" w:hAnsi="Times New Roman" w:cs="Times New Roman"/>
          <w:sz w:val="24"/>
          <w:szCs w:val="24"/>
        </w:rPr>
        <w:t> </w:t>
      </w:r>
    </w:p>
    <w:tbl>
      <w:tblPr>
        <w:tblW w:w="6006" w:type="dxa"/>
        <w:tblInd w:w="1061" w:type="dxa"/>
        <w:tblCellMar>
          <w:left w:w="70" w:type="dxa"/>
          <w:right w:w="70" w:type="dxa"/>
        </w:tblCellMar>
        <w:tblLook w:val="04A0"/>
      </w:tblPr>
      <w:tblGrid>
        <w:gridCol w:w="1986"/>
        <w:gridCol w:w="851"/>
        <w:gridCol w:w="949"/>
        <w:gridCol w:w="1180"/>
        <w:gridCol w:w="1040"/>
      </w:tblGrid>
      <w:tr w:rsidR="00887D57" w:rsidRPr="00B349B5" w:rsidTr="00B349B5">
        <w:trPr>
          <w:trHeight w:val="375"/>
        </w:trPr>
        <w:tc>
          <w:tcPr>
            <w:tcW w:w="1986" w:type="dxa"/>
            <w:tcBorders>
              <w:top w:val="nil"/>
              <w:left w:val="nil"/>
              <w:bottom w:val="nil"/>
              <w:right w:val="nil"/>
            </w:tcBorders>
            <w:shd w:val="clear" w:color="000000" w:fill="FFFFFF"/>
            <w:noWrap/>
            <w:vAlign w:val="bottom"/>
            <w:hideMark/>
          </w:tcPr>
          <w:p w:rsidR="00887D57" w:rsidRPr="00B349B5" w:rsidRDefault="00887D57" w:rsidP="006F23C0">
            <w:pPr>
              <w:spacing w:after="0" w:line="240" w:lineRule="auto"/>
              <w:jc w:val="both"/>
              <w:rPr>
                <w:rFonts w:ascii="Times New Roman" w:eastAsia="Times New Roman" w:hAnsi="Times New Roman" w:cs="Times New Roman"/>
                <w:color w:val="FF0000"/>
                <w:sz w:val="24"/>
                <w:szCs w:val="24"/>
                <w:lang w:eastAsia="fr-FR"/>
              </w:rPr>
            </w:pPr>
            <w:r w:rsidRPr="00B349B5">
              <w:rPr>
                <w:rFonts w:ascii="Times New Roman" w:eastAsia="Times New Roman" w:hAnsi="Times New Roman" w:cs="Times New Roman"/>
                <w:color w:val="FF0000"/>
                <w:sz w:val="24"/>
                <w:szCs w:val="24"/>
                <w:lang w:eastAsia="fr-FR"/>
              </w:rPr>
              <w:t> </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2014</w:t>
            </w:r>
          </w:p>
        </w:tc>
        <w:tc>
          <w:tcPr>
            <w:tcW w:w="949" w:type="dxa"/>
            <w:tcBorders>
              <w:top w:val="single" w:sz="4" w:space="0" w:color="auto"/>
              <w:left w:val="nil"/>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2015</w:t>
            </w:r>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2016</w:t>
            </w:r>
          </w:p>
        </w:tc>
        <w:tc>
          <w:tcPr>
            <w:tcW w:w="1040" w:type="dxa"/>
            <w:tcBorders>
              <w:top w:val="single" w:sz="4" w:space="0" w:color="auto"/>
              <w:left w:val="nil"/>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2017</w:t>
            </w:r>
          </w:p>
        </w:tc>
      </w:tr>
      <w:tr w:rsidR="00C37488" w:rsidRPr="00B349B5" w:rsidTr="00B349B5">
        <w:trPr>
          <w:trHeight w:val="375"/>
        </w:trPr>
        <w:tc>
          <w:tcPr>
            <w:tcW w:w="198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 xml:space="preserve">ACHAT MP/BP </w:t>
            </w:r>
          </w:p>
        </w:tc>
        <w:tc>
          <w:tcPr>
            <w:tcW w:w="851"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10 143</w:t>
            </w:r>
          </w:p>
        </w:tc>
        <w:tc>
          <w:tcPr>
            <w:tcW w:w="949"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10 414</w:t>
            </w:r>
          </w:p>
        </w:tc>
        <w:tc>
          <w:tcPr>
            <w:tcW w:w="118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10 700</w:t>
            </w:r>
          </w:p>
        </w:tc>
        <w:tc>
          <w:tcPr>
            <w:tcW w:w="104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11 005</w:t>
            </w:r>
          </w:p>
        </w:tc>
      </w:tr>
      <w:tr w:rsidR="00C37488" w:rsidRPr="00B349B5" w:rsidTr="00B349B5">
        <w:trPr>
          <w:trHeight w:val="375"/>
        </w:trPr>
        <w:tc>
          <w:tcPr>
            <w:tcW w:w="1986"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color w:val="000000"/>
                <w:sz w:val="24"/>
                <w:szCs w:val="24"/>
                <w:lang w:eastAsia="fr-FR"/>
              </w:rPr>
            </w:pPr>
            <w:r w:rsidRPr="00B349B5">
              <w:rPr>
                <w:rFonts w:ascii="Times New Roman" w:eastAsia="Times New Roman" w:hAnsi="Times New Roman" w:cs="Times New Roman"/>
                <w:color w:val="000000"/>
                <w:sz w:val="24"/>
                <w:szCs w:val="24"/>
                <w:lang w:eastAsia="fr-FR"/>
              </w:rPr>
              <w:t>PERTE</w:t>
            </w:r>
          </w:p>
        </w:tc>
        <w:tc>
          <w:tcPr>
            <w:tcW w:w="851"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710</w:t>
            </w:r>
          </w:p>
        </w:tc>
        <w:tc>
          <w:tcPr>
            <w:tcW w:w="949"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625</w:t>
            </w:r>
          </w:p>
        </w:tc>
        <w:tc>
          <w:tcPr>
            <w:tcW w:w="118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583</w:t>
            </w:r>
          </w:p>
        </w:tc>
        <w:tc>
          <w:tcPr>
            <w:tcW w:w="104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440</w:t>
            </w:r>
          </w:p>
        </w:tc>
      </w:tr>
      <w:tr w:rsidR="00C37488" w:rsidRPr="00B349B5" w:rsidTr="00B349B5">
        <w:trPr>
          <w:trHeight w:val="375"/>
        </w:trPr>
        <w:tc>
          <w:tcPr>
            <w:tcW w:w="1986"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color w:val="000000"/>
                <w:sz w:val="24"/>
                <w:szCs w:val="24"/>
                <w:lang w:eastAsia="fr-FR"/>
              </w:rPr>
            </w:pPr>
            <w:r w:rsidRPr="00B349B5">
              <w:rPr>
                <w:rFonts w:ascii="Times New Roman" w:eastAsia="Times New Roman" w:hAnsi="Times New Roman" w:cs="Times New Roman"/>
                <w:color w:val="000000"/>
                <w:sz w:val="24"/>
                <w:szCs w:val="24"/>
                <w:lang w:eastAsia="fr-FR"/>
              </w:rPr>
              <w:t>TAUX PERTE</w:t>
            </w:r>
          </w:p>
        </w:tc>
        <w:tc>
          <w:tcPr>
            <w:tcW w:w="851"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7,00%</w:t>
            </w:r>
          </w:p>
        </w:tc>
        <w:tc>
          <w:tcPr>
            <w:tcW w:w="949"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6,00%</w:t>
            </w:r>
          </w:p>
        </w:tc>
        <w:tc>
          <w:tcPr>
            <w:tcW w:w="118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5,45%</w:t>
            </w:r>
          </w:p>
        </w:tc>
        <w:tc>
          <w:tcPr>
            <w:tcW w:w="104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4,00%</w:t>
            </w:r>
          </w:p>
        </w:tc>
      </w:tr>
    </w:tbl>
    <w:p w:rsidR="00FF3B68" w:rsidRPr="00B349B5" w:rsidRDefault="00FF3B68" w:rsidP="006F23C0">
      <w:pPr>
        <w:pStyle w:val="Paragraphedeliste"/>
        <w:spacing w:before="120" w:after="120" w:line="360" w:lineRule="auto"/>
        <w:ind w:left="709"/>
        <w:jc w:val="both"/>
        <w:rPr>
          <w:rFonts w:ascii="Times New Roman" w:hAnsi="Times New Roman" w:cs="Times New Roman"/>
          <w:sz w:val="24"/>
          <w:szCs w:val="24"/>
        </w:rPr>
      </w:pPr>
    </w:p>
    <w:p w:rsidR="00887D57" w:rsidRPr="00887D57" w:rsidRDefault="00FF3B68" w:rsidP="006F23C0">
      <w:pPr>
        <w:pStyle w:val="Paragraphedeliste"/>
        <w:numPr>
          <w:ilvl w:val="0"/>
          <w:numId w:val="2"/>
        </w:numPr>
        <w:spacing w:before="120" w:after="120" w:line="360" w:lineRule="auto"/>
        <w:ind w:left="426" w:hanging="357"/>
        <w:jc w:val="both"/>
        <w:rPr>
          <w:sz w:val="24"/>
          <w:szCs w:val="24"/>
        </w:rPr>
      </w:pPr>
      <w:r w:rsidRPr="00B349B5">
        <w:rPr>
          <w:rFonts w:ascii="Times New Roman" w:hAnsi="Times New Roman" w:cs="Times New Roman"/>
          <w:sz w:val="24"/>
          <w:szCs w:val="24"/>
        </w:rPr>
        <w:t xml:space="preserve">Faible croissance de la production de </w:t>
      </w:r>
      <w:r w:rsidR="00887D57" w:rsidRPr="00B349B5">
        <w:rPr>
          <w:rFonts w:ascii="Times New Roman" w:hAnsi="Times New Roman" w:cs="Times New Roman"/>
          <w:sz w:val="24"/>
          <w:szCs w:val="24"/>
        </w:rPr>
        <w:t>l’exercice</w:t>
      </w:r>
      <w:r w:rsidR="00103565">
        <w:rPr>
          <w:rFonts w:ascii="Times New Roman" w:hAnsi="Times New Roman" w:cs="Times New Roman"/>
          <w:sz w:val="24"/>
          <w:szCs w:val="24"/>
        </w:rPr>
        <w:t xml:space="preserve"> avec le maintien des prix de vente de l’électricité et du gaz</w:t>
      </w:r>
      <w:r w:rsidR="00887D57" w:rsidRPr="00B349B5">
        <w:rPr>
          <w:rFonts w:ascii="Times New Roman" w:hAnsi="Times New Roman" w:cs="Times New Roman"/>
          <w:sz w:val="24"/>
          <w:szCs w:val="24"/>
        </w:rPr>
        <w:t xml:space="preserve">, </w:t>
      </w:r>
      <w:r w:rsidRPr="00B349B5">
        <w:rPr>
          <w:rFonts w:ascii="Times New Roman" w:hAnsi="Times New Roman" w:cs="Times New Roman"/>
          <w:sz w:val="24"/>
          <w:szCs w:val="24"/>
        </w:rPr>
        <w:t>avec une augmentat</w:t>
      </w:r>
      <w:r w:rsidR="00887D57" w:rsidRPr="00B349B5">
        <w:rPr>
          <w:rFonts w:ascii="Times New Roman" w:hAnsi="Times New Roman" w:cs="Times New Roman"/>
          <w:sz w:val="24"/>
          <w:szCs w:val="24"/>
        </w:rPr>
        <w:t>ion du niveau des consommations</w:t>
      </w:r>
      <w:r>
        <w:rPr>
          <w:sz w:val="24"/>
          <w:szCs w:val="24"/>
        </w:rPr>
        <w:t>.</w:t>
      </w:r>
    </w:p>
    <w:p w:rsidR="00FF3B68" w:rsidRDefault="00FF3B68" w:rsidP="00104D65">
      <w:pPr>
        <w:pStyle w:val="Paragraphedeliste"/>
        <w:numPr>
          <w:ilvl w:val="0"/>
          <w:numId w:val="2"/>
        </w:numPr>
        <w:spacing w:after="0" w:line="360" w:lineRule="auto"/>
        <w:ind w:left="425" w:hanging="357"/>
        <w:jc w:val="both"/>
        <w:rPr>
          <w:rFonts w:ascii="Times New Roman" w:hAnsi="Times New Roman" w:cs="Times New Roman"/>
          <w:sz w:val="24"/>
          <w:szCs w:val="24"/>
        </w:rPr>
      </w:pPr>
      <w:r w:rsidRPr="00B349B5">
        <w:rPr>
          <w:rFonts w:ascii="Times New Roman" w:hAnsi="Times New Roman" w:cs="Times New Roman"/>
          <w:sz w:val="24"/>
          <w:szCs w:val="24"/>
        </w:rPr>
        <w:lastRenderedPageBreak/>
        <w:t>Augmentation des charges du personnel liée principalement au recrutement du personnel</w:t>
      </w:r>
      <w:r w:rsidR="00887D57" w:rsidRPr="00B349B5">
        <w:rPr>
          <w:rFonts w:ascii="Times New Roman" w:hAnsi="Times New Roman" w:cs="Times New Roman"/>
          <w:sz w:val="24"/>
          <w:szCs w:val="24"/>
        </w:rPr>
        <w:t>.</w:t>
      </w:r>
      <w:r w:rsidRPr="00B349B5">
        <w:rPr>
          <w:rFonts w:ascii="Times New Roman" w:hAnsi="Times New Roman" w:cs="Times New Roman"/>
          <w:sz w:val="24"/>
          <w:szCs w:val="24"/>
        </w:rPr>
        <w:t xml:space="preserve"> </w:t>
      </w:r>
    </w:p>
    <w:p w:rsidR="00104D65" w:rsidRPr="00B349B5" w:rsidRDefault="00104D65" w:rsidP="00104D65">
      <w:pPr>
        <w:pStyle w:val="Paragraphedeliste"/>
        <w:spacing w:after="0" w:line="360" w:lineRule="auto"/>
        <w:ind w:left="425"/>
        <w:jc w:val="both"/>
        <w:rPr>
          <w:rFonts w:ascii="Times New Roman" w:hAnsi="Times New Roman" w:cs="Times New Roman"/>
          <w:sz w:val="24"/>
          <w:szCs w:val="24"/>
        </w:rPr>
      </w:pPr>
    </w:p>
    <w:p w:rsidR="00887D57" w:rsidRPr="00B349B5" w:rsidRDefault="00887D57" w:rsidP="00104D65">
      <w:pPr>
        <w:pStyle w:val="Paragraphedeliste"/>
        <w:numPr>
          <w:ilvl w:val="0"/>
          <w:numId w:val="12"/>
        </w:numPr>
        <w:spacing w:after="0" w:line="360" w:lineRule="auto"/>
        <w:ind w:left="426"/>
        <w:jc w:val="both"/>
        <w:rPr>
          <w:rFonts w:ascii="Times New Roman" w:hAnsi="Times New Roman" w:cs="Times New Roman"/>
          <w:b/>
          <w:sz w:val="24"/>
          <w:szCs w:val="24"/>
          <w:u w:val="single"/>
        </w:rPr>
      </w:pPr>
      <w:r w:rsidRPr="00B349B5">
        <w:rPr>
          <w:rFonts w:ascii="Times New Roman" w:hAnsi="Times New Roman" w:cs="Times New Roman"/>
          <w:b/>
          <w:sz w:val="24"/>
          <w:szCs w:val="24"/>
          <w:u w:val="single"/>
        </w:rPr>
        <w:t>Évolution du chiffre d’affaires :</w:t>
      </w:r>
    </w:p>
    <w:p w:rsidR="00887D57" w:rsidRDefault="00887D57" w:rsidP="006F23C0">
      <w:pPr>
        <w:pStyle w:val="Paragraphedeliste"/>
        <w:spacing w:after="0"/>
        <w:ind w:left="928"/>
        <w:jc w:val="both"/>
        <w:rPr>
          <w:b/>
          <w:u w:val="single"/>
        </w:rPr>
      </w:pPr>
    </w:p>
    <w:p w:rsidR="00887D57" w:rsidRDefault="00B81C99" w:rsidP="00A6565E">
      <w:pPr>
        <w:pStyle w:val="Paragraphedeliste"/>
        <w:spacing w:after="0"/>
        <w:ind w:left="0"/>
        <w:jc w:val="both"/>
        <w:rPr>
          <w:b/>
          <w:u w:val="single"/>
        </w:rPr>
      </w:pPr>
      <w:r w:rsidRPr="00B81C99">
        <w:rPr>
          <w:b/>
          <w:u w:val="single"/>
        </w:rPr>
        <w:drawing>
          <wp:inline distT="0" distB="0" distL="0" distR="0">
            <wp:extent cx="5759450" cy="2471922"/>
            <wp:effectExtent l="19050" t="0" r="12700" b="4578"/>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7D57" w:rsidRDefault="00887D57" w:rsidP="006F23C0">
      <w:pPr>
        <w:pStyle w:val="Paragraphedeliste"/>
        <w:spacing w:after="0"/>
        <w:ind w:left="0"/>
        <w:jc w:val="both"/>
        <w:rPr>
          <w:b/>
          <w:u w:val="single"/>
        </w:rPr>
      </w:pPr>
    </w:p>
    <w:p w:rsidR="00887D57" w:rsidRDefault="00887D57" w:rsidP="006F23C0">
      <w:pPr>
        <w:pStyle w:val="Paragraphedeliste"/>
        <w:spacing w:after="0"/>
        <w:ind w:left="928"/>
        <w:jc w:val="both"/>
        <w:rPr>
          <w:b/>
          <w:u w:val="single"/>
        </w:rPr>
      </w:pPr>
    </w:p>
    <w:p w:rsidR="00887D57" w:rsidRDefault="00887D57" w:rsidP="006F23C0">
      <w:pPr>
        <w:pStyle w:val="Paragraphedeliste"/>
        <w:spacing w:after="0"/>
        <w:ind w:left="928"/>
        <w:jc w:val="both"/>
        <w:rPr>
          <w:b/>
          <w:u w:val="single"/>
        </w:rPr>
      </w:pPr>
    </w:p>
    <w:p w:rsidR="00887D57" w:rsidRDefault="005B784A" w:rsidP="00B349B5">
      <w:pPr>
        <w:pStyle w:val="Paragraphedeliste"/>
        <w:spacing w:after="0" w:line="360" w:lineRule="auto"/>
        <w:ind w:left="0" w:firstLine="709"/>
        <w:jc w:val="both"/>
        <w:rPr>
          <w:rFonts w:ascii="Times New Roman" w:hAnsi="Times New Roman" w:cs="Times New Roman"/>
          <w:sz w:val="24"/>
          <w:szCs w:val="24"/>
        </w:rPr>
      </w:pPr>
      <w:r w:rsidRPr="005B784A">
        <w:rPr>
          <w:rFonts w:ascii="Times New Roman" w:hAnsi="Times New Roman" w:cs="Times New Roman"/>
          <w:sz w:val="24"/>
          <w:szCs w:val="24"/>
        </w:rPr>
        <w:t>Le chiffre d’</w:t>
      </w:r>
      <w:r w:rsidR="00103565">
        <w:rPr>
          <w:rFonts w:ascii="Times New Roman" w:hAnsi="Times New Roman" w:cs="Times New Roman"/>
          <w:sz w:val="24"/>
          <w:szCs w:val="24"/>
        </w:rPr>
        <w:t xml:space="preserve">affaire </w:t>
      </w:r>
      <w:r w:rsidR="00104D65">
        <w:rPr>
          <w:rFonts w:ascii="Times New Roman" w:hAnsi="Times New Roman" w:cs="Times New Roman"/>
          <w:sz w:val="24"/>
          <w:szCs w:val="24"/>
        </w:rPr>
        <w:t xml:space="preserve">de la SDA </w:t>
      </w:r>
      <w:r w:rsidR="00A6565E">
        <w:rPr>
          <w:rFonts w:ascii="Times New Roman" w:hAnsi="Times New Roman" w:cs="Times New Roman"/>
          <w:sz w:val="24"/>
          <w:szCs w:val="24"/>
        </w:rPr>
        <w:t>évoluera en moyenne de 6</w:t>
      </w:r>
      <w:r w:rsidRPr="005B784A">
        <w:rPr>
          <w:rFonts w:ascii="Times New Roman" w:hAnsi="Times New Roman" w:cs="Times New Roman"/>
          <w:sz w:val="24"/>
          <w:szCs w:val="24"/>
        </w:rPr>
        <w:t xml:space="preserve">% annuellement à partir de </w:t>
      </w:r>
      <w:r w:rsidR="00103565">
        <w:rPr>
          <w:rFonts w:ascii="Times New Roman" w:hAnsi="Times New Roman" w:cs="Times New Roman"/>
          <w:sz w:val="24"/>
          <w:szCs w:val="24"/>
        </w:rPr>
        <w:t>l’exercice 2012, cette évolution est expliquée par l’évolution des ventes de l’électricité et du gaz :</w:t>
      </w:r>
    </w:p>
    <w:p w:rsidR="00FF6AD2" w:rsidRDefault="00FF6AD2" w:rsidP="00B349B5">
      <w:pPr>
        <w:pStyle w:val="Paragraphedeliste"/>
        <w:spacing w:after="0" w:line="360" w:lineRule="auto"/>
        <w:ind w:left="0" w:firstLine="709"/>
        <w:jc w:val="both"/>
        <w:rPr>
          <w:rFonts w:ascii="Times New Roman" w:hAnsi="Times New Roman" w:cs="Times New Roman"/>
          <w:sz w:val="24"/>
          <w:szCs w:val="24"/>
        </w:rPr>
      </w:pPr>
    </w:p>
    <w:p w:rsidR="00103565" w:rsidRDefault="00103565" w:rsidP="00B349B5">
      <w:pPr>
        <w:pStyle w:val="Paragraphedeliste"/>
        <w:spacing w:after="0" w:line="360" w:lineRule="auto"/>
        <w:ind w:left="0" w:firstLine="709"/>
        <w:jc w:val="both"/>
        <w:rPr>
          <w:rFonts w:ascii="Times New Roman" w:hAnsi="Times New Roman" w:cs="Times New Roman"/>
          <w:sz w:val="24"/>
          <w:szCs w:val="24"/>
        </w:rPr>
      </w:pPr>
    </w:p>
    <w:tbl>
      <w:tblPr>
        <w:tblStyle w:val="Listemoyenne21"/>
        <w:tblW w:w="10666" w:type="dxa"/>
        <w:tblInd w:w="-459" w:type="dxa"/>
        <w:tblLook w:val="04A0"/>
      </w:tblPr>
      <w:tblGrid>
        <w:gridCol w:w="2835"/>
        <w:gridCol w:w="1276"/>
        <w:gridCol w:w="1134"/>
        <w:gridCol w:w="1417"/>
        <w:gridCol w:w="1418"/>
        <w:gridCol w:w="1417"/>
        <w:gridCol w:w="1169"/>
      </w:tblGrid>
      <w:tr w:rsidR="00104D65" w:rsidRPr="00103565" w:rsidTr="00104D65">
        <w:trPr>
          <w:cnfStyle w:val="100000000000"/>
          <w:trHeight w:val="300"/>
        </w:trPr>
        <w:tc>
          <w:tcPr>
            <w:cnfStyle w:val="001000000100"/>
            <w:tcW w:w="2835" w:type="dxa"/>
            <w:noWrap/>
            <w:hideMark/>
          </w:tcPr>
          <w:p w:rsidR="00103565" w:rsidRPr="00104D65" w:rsidRDefault="00103565" w:rsidP="00103565">
            <w:pPr>
              <w:rPr>
                <w:rFonts w:ascii="Times New Roman" w:eastAsia="Times New Roman" w:hAnsi="Times New Roman" w:cs="Times New Roman"/>
                <w:color w:val="auto"/>
                <w:lang w:eastAsia="fr-FR"/>
              </w:rPr>
            </w:pPr>
          </w:p>
        </w:tc>
        <w:tc>
          <w:tcPr>
            <w:tcW w:w="1276"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2 012</w:t>
            </w:r>
          </w:p>
        </w:tc>
        <w:tc>
          <w:tcPr>
            <w:tcW w:w="1134"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2 013</w:t>
            </w:r>
          </w:p>
        </w:tc>
        <w:tc>
          <w:tcPr>
            <w:tcW w:w="1417"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2 014</w:t>
            </w:r>
          </w:p>
        </w:tc>
        <w:tc>
          <w:tcPr>
            <w:tcW w:w="1418"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2 015</w:t>
            </w:r>
          </w:p>
        </w:tc>
        <w:tc>
          <w:tcPr>
            <w:tcW w:w="1417"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2 016</w:t>
            </w:r>
          </w:p>
        </w:tc>
        <w:tc>
          <w:tcPr>
            <w:tcW w:w="1169"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2 017</w:t>
            </w:r>
          </w:p>
        </w:tc>
      </w:tr>
      <w:tr w:rsidR="00B81C99" w:rsidRPr="00103565" w:rsidTr="0013665C">
        <w:trPr>
          <w:cnfStyle w:val="000000100000"/>
          <w:trHeight w:val="315"/>
        </w:trPr>
        <w:tc>
          <w:tcPr>
            <w:cnfStyle w:val="001000000000"/>
            <w:tcW w:w="2835" w:type="dxa"/>
            <w:tcBorders>
              <w:top w:val="single" w:sz="24" w:space="0" w:color="000000" w:themeColor="text1"/>
              <w:bottom w:val="single" w:sz="8" w:space="0" w:color="000000" w:themeColor="text1"/>
            </w:tcBorders>
            <w:noWrap/>
            <w:hideMark/>
          </w:tcPr>
          <w:p w:rsidR="00B81C99" w:rsidRPr="00104D65" w:rsidRDefault="00B81C99" w:rsidP="00A6565E">
            <w:pPr>
              <w:rPr>
                <w:rFonts w:ascii="Times New Roman" w:eastAsia="Times New Roman" w:hAnsi="Times New Roman" w:cs="Times New Roman"/>
                <w:b/>
                <w:bCs/>
                <w:color w:val="auto"/>
                <w:sz w:val="24"/>
                <w:szCs w:val="24"/>
                <w:lang w:eastAsia="fr-FR"/>
              </w:rPr>
            </w:pPr>
            <w:r w:rsidRPr="00104D65">
              <w:rPr>
                <w:rFonts w:ascii="Times New Roman" w:eastAsia="Times New Roman" w:hAnsi="Times New Roman" w:cs="Times New Roman"/>
                <w:b/>
                <w:bCs/>
                <w:color w:val="auto"/>
                <w:sz w:val="24"/>
                <w:szCs w:val="24"/>
                <w:lang w:eastAsia="fr-FR"/>
              </w:rPr>
              <w:t xml:space="preserve">VENTE ELEC </w:t>
            </w:r>
          </w:p>
        </w:tc>
        <w:tc>
          <w:tcPr>
            <w:tcW w:w="1276"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21 722</w:t>
            </w:r>
          </w:p>
        </w:tc>
        <w:tc>
          <w:tcPr>
            <w:tcW w:w="1134"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23 123</w:t>
            </w:r>
          </w:p>
        </w:tc>
        <w:tc>
          <w:tcPr>
            <w:tcW w:w="1417"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24 556</w:t>
            </w:r>
          </w:p>
        </w:tc>
        <w:tc>
          <w:tcPr>
            <w:tcW w:w="1418"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26 203</w:t>
            </w:r>
          </w:p>
        </w:tc>
        <w:tc>
          <w:tcPr>
            <w:tcW w:w="1417"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27 855</w:t>
            </w:r>
          </w:p>
        </w:tc>
        <w:tc>
          <w:tcPr>
            <w:tcW w:w="1169"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29 534</w:t>
            </w:r>
          </w:p>
        </w:tc>
      </w:tr>
      <w:tr w:rsidR="00B81C99" w:rsidRPr="00103565" w:rsidTr="0013665C">
        <w:trPr>
          <w:trHeight w:val="315"/>
        </w:trPr>
        <w:tc>
          <w:tcPr>
            <w:cnfStyle w:val="001000000000"/>
            <w:tcW w:w="2835" w:type="dxa"/>
            <w:tcBorders>
              <w:top w:val="single" w:sz="8" w:space="0" w:color="000000" w:themeColor="text1"/>
              <w:bottom w:val="single" w:sz="8" w:space="0" w:color="000000" w:themeColor="text1"/>
            </w:tcBorders>
            <w:noWrap/>
            <w:hideMark/>
          </w:tcPr>
          <w:p w:rsidR="00B81C99" w:rsidRPr="00104D65" w:rsidRDefault="00B81C99" w:rsidP="00A6565E">
            <w:pPr>
              <w:rPr>
                <w:rFonts w:ascii="Times New Roman" w:eastAsia="Times New Roman" w:hAnsi="Times New Roman" w:cs="Times New Roman"/>
                <w:b/>
                <w:bCs/>
                <w:color w:val="auto"/>
                <w:sz w:val="24"/>
                <w:szCs w:val="24"/>
                <w:lang w:eastAsia="fr-FR"/>
              </w:rPr>
            </w:pPr>
            <w:r w:rsidRPr="00104D65">
              <w:rPr>
                <w:rFonts w:ascii="Times New Roman" w:eastAsia="Times New Roman" w:hAnsi="Times New Roman" w:cs="Times New Roman"/>
                <w:b/>
                <w:bCs/>
                <w:color w:val="auto"/>
                <w:sz w:val="24"/>
                <w:szCs w:val="24"/>
                <w:lang w:eastAsia="fr-FR"/>
              </w:rPr>
              <w:t>VENTE GAZ</w:t>
            </w:r>
          </w:p>
        </w:tc>
        <w:tc>
          <w:tcPr>
            <w:tcW w:w="1276"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3 086</w:t>
            </w:r>
          </w:p>
        </w:tc>
        <w:tc>
          <w:tcPr>
            <w:tcW w:w="1134"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3 158</w:t>
            </w:r>
          </w:p>
        </w:tc>
        <w:tc>
          <w:tcPr>
            <w:tcW w:w="1417"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3 322</w:t>
            </w:r>
          </w:p>
        </w:tc>
        <w:tc>
          <w:tcPr>
            <w:tcW w:w="1418"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3 464</w:t>
            </w:r>
          </w:p>
        </w:tc>
        <w:tc>
          <w:tcPr>
            <w:tcW w:w="1417"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3 609</w:t>
            </w:r>
          </w:p>
        </w:tc>
        <w:tc>
          <w:tcPr>
            <w:tcW w:w="1169"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3 769</w:t>
            </w:r>
          </w:p>
        </w:tc>
      </w:tr>
    </w:tbl>
    <w:p w:rsidR="00103565" w:rsidRDefault="00103565" w:rsidP="00B349B5">
      <w:pPr>
        <w:pStyle w:val="Paragraphedeliste"/>
        <w:spacing w:after="0" w:line="360" w:lineRule="auto"/>
        <w:ind w:left="0" w:firstLine="709"/>
        <w:jc w:val="both"/>
        <w:rPr>
          <w:rFonts w:ascii="Times New Roman" w:hAnsi="Times New Roman" w:cs="Times New Roman"/>
          <w:sz w:val="24"/>
          <w:szCs w:val="24"/>
        </w:rPr>
      </w:pPr>
    </w:p>
    <w:p w:rsidR="00887D57" w:rsidRDefault="00887D57" w:rsidP="00D52803">
      <w:pPr>
        <w:spacing w:after="0"/>
        <w:jc w:val="both"/>
        <w:rPr>
          <w:b/>
          <w:u w:val="single"/>
        </w:rPr>
      </w:pPr>
    </w:p>
    <w:p w:rsidR="00FF6AD2" w:rsidRPr="00D52803" w:rsidRDefault="00FF6AD2" w:rsidP="00D52803">
      <w:pPr>
        <w:spacing w:after="0"/>
        <w:jc w:val="both"/>
        <w:rPr>
          <w:b/>
          <w:u w:val="single"/>
        </w:rPr>
      </w:pPr>
    </w:p>
    <w:p w:rsidR="00887D57" w:rsidRDefault="003C2E2B" w:rsidP="003C2E2B">
      <w:pPr>
        <w:pStyle w:val="Paragraphedeliste"/>
        <w:numPr>
          <w:ilvl w:val="0"/>
          <w:numId w:val="2"/>
        </w:num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Évolution de la</w:t>
      </w:r>
      <w:r w:rsidR="00887D57" w:rsidRPr="00D52803">
        <w:rPr>
          <w:rFonts w:ascii="Times New Roman" w:hAnsi="Times New Roman" w:cs="Times New Roman"/>
          <w:b/>
          <w:sz w:val="24"/>
          <w:szCs w:val="24"/>
          <w:u w:val="single"/>
        </w:rPr>
        <w:t xml:space="preserve"> </w:t>
      </w:r>
      <w:r w:rsidR="00E41401" w:rsidRPr="00D52803">
        <w:rPr>
          <w:rFonts w:ascii="Times New Roman" w:hAnsi="Times New Roman" w:cs="Times New Roman"/>
          <w:b/>
          <w:sz w:val="24"/>
          <w:szCs w:val="24"/>
          <w:u w:val="single"/>
        </w:rPr>
        <w:t>consommation de l’exercice</w:t>
      </w:r>
      <w:r w:rsidR="00887D57" w:rsidRPr="00D52803">
        <w:rPr>
          <w:rFonts w:ascii="Times New Roman" w:hAnsi="Times New Roman" w:cs="Times New Roman"/>
          <w:b/>
          <w:sz w:val="24"/>
          <w:szCs w:val="24"/>
          <w:u w:val="single"/>
        </w:rPr>
        <w:t> :</w:t>
      </w:r>
    </w:p>
    <w:p w:rsidR="00D52803" w:rsidRPr="00D52803" w:rsidRDefault="00D52803" w:rsidP="00D52803">
      <w:pPr>
        <w:pStyle w:val="Paragraphedeliste"/>
        <w:spacing w:after="0"/>
        <w:ind w:left="928"/>
        <w:jc w:val="both"/>
        <w:rPr>
          <w:rFonts w:ascii="Times New Roman" w:hAnsi="Times New Roman" w:cs="Times New Roman"/>
          <w:b/>
          <w:sz w:val="24"/>
          <w:szCs w:val="24"/>
          <w:u w:val="single"/>
        </w:rPr>
      </w:pPr>
    </w:p>
    <w:p w:rsidR="00887D57" w:rsidRDefault="00887D57" w:rsidP="006F23C0">
      <w:pPr>
        <w:pStyle w:val="Paragraphedeliste"/>
        <w:spacing w:after="0"/>
        <w:ind w:left="928"/>
        <w:jc w:val="both"/>
        <w:rPr>
          <w:b/>
          <w:u w:val="single"/>
        </w:rPr>
      </w:pPr>
    </w:p>
    <w:p w:rsidR="00166E0B" w:rsidRDefault="001933B2" w:rsidP="00D52803">
      <w:pPr>
        <w:pStyle w:val="Paragraphedeliste"/>
        <w:spacing w:before="120" w:after="120" w:line="360" w:lineRule="auto"/>
        <w:ind w:left="0"/>
        <w:jc w:val="both"/>
        <w:rPr>
          <w:sz w:val="24"/>
          <w:szCs w:val="24"/>
        </w:rPr>
      </w:pPr>
      <w:r w:rsidRPr="001933B2">
        <w:rPr>
          <w:noProof/>
          <w:sz w:val="24"/>
          <w:szCs w:val="24"/>
          <w:lang w:eastAsia="fr-FR" w:bidi="ar-SA"/>
        </w:rPr>
        <w:lastRenderedPageBreak/>
        <w:drawing>
          <wp:inline distT="0" distB="0" distL="0" distR="0">
            <wp:extent cx="5759450" cy="2664802"/>
            <wp:effectExtent l="19050" t="0" r="12700" b="2198"/>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784A" w:rsidRDefault="005B784A" w:rsidP="006F23C0">
      <w:pPr>
        <w:pStyle w:val="Paragraphedeliste"/>
        <w:spacing w:before="240" w:after="240" w:line="360" w:lineRule="auto"/>
        <w:ind w:left="714"/>
        <w:jc w:val="both"/>
        <w:rPr>
          <w:b/>
          <w:bCs/>
          <w:noProof/>
          <w:u w:val="single"/>
          <w:lang w:eastAsia="fr-FR"/>
        </w:rPr>
      </w:pPr>
    </w:p>
    <w:p w:rsidR="00771665" w:rsidRDefault="00771665" w:rsidP="006F23C0">
      <w:pPr>
        <w:pStyle w:val="Paragraphedeliste"/>
        <w:spacing w:before="240" w:after="240" w:line="360" w:lineRule="auto"/>
        <w:ind w:left="714"/>
        <w:jc w:val="both"/>
        <w:rPr>
          <w:b/>
          <w:bCs/>
          <w:noProof/>
          <w:u w:val="single"/>
          <w:lang w:eastAsia="fr-FR"/>
        </w:rPr>
      </w:pPr>
    </w:p>
    <w:p w:rsidR="007176BD" w:rsidRPr="00104D65" w:rsidRDefault="00771665" w:rsidP="007176BD">
      <w:pPr>
        <w:pStyle w:val="Paragraphedeliste"/>
        <w:numPr>
          <w:ilvl w:val="0"/>
          <w:numId w:val="7"/>
        </w:numPr>
        <w:spacing w:before="120" w:after="120" w:line="360" w:lineRule="auto"/>
        <w:jc w:val="both"/>
        <w:rPr>
          <w:rFonts w:ascii="Times New Roman" w:hAnsi="Times New Roman" w:cs="Times New Roman"/>
          <w:sz w:val="24"/>
          <w:szCs w:val="24"/>
        </w:rPr>
      </w:pPr>
      <w:r w:rsidRPr="00104D65">
        <w:rPr>
          <w:rFonts w:ascii="Times New Roman" w:hAnsi="Times New Roman" w:cs="Times New Roman"/>
          <w:sz w:val="24"/>
          <w:szCs w:val="24"/>
        </w:rPr>
        <w:t>Le niveau global des consommations va augmenter de 9% annuellement</w:t>
      </w:r>
      <w:r w:rsidR="003C2E2B" w:rsidRPr="00104D65">
        <w:rPr>
          <w:rFonts w:ascii="Times New Roman" w:hAnsi="Times New Roman" w:cs="Times New Roman"/>
          <w:sz w:val="24"/>
          <w:szCs w:val="24"/>
        </w:rPr>
        <w:t>,</w:t>
      </w:r>
      <w:r w:rsidRPr="00104D65">
        <w:rPr>
          <w:rFonts w:ascii="Times New Roman" w:hAnsi="Times New Roman" w:cs="Times New Roman"/>
          <w:sz w:val="24"/>
          <w:szCs w:val="24"/>
        </w:rPr>
        <w:t xml:space="preserve"> </w:t>
      </w:r>
      <w:r w:rsidR="007176BD" w:rsidRPr="00104D65">
        <w:rPr>
          <w:rFonts w:ascii="Times New Roman" w:hAnsi="Times New Roman" w:cs="Times New Roman"/>
          <w:sz w:val="24"/>
          <w:szCs w:val="24"/>
        </w:rPr>
        <w:t>cette évolution s’explique essentiellement par l’augmentation des achats de gaz et d’électricité :</w:t>
      </w:r>
    </w:p>
    <w:p w:rsidR="00771665" w:rsidRDefault="00771665" w:rsidP="00771665">
      <w:pPr>
        <w:pStyle w:val="Paragraphedeliste"/>
        <w:spacing w:before="240" w:after="240" w:line="360" w:lineRule="auto"/>
        <w:ind w:left="714"/>
        <w:jc w:val="both"/>
        <w:rPr>
          <w:b/>
          <w:bCs/>
          <w:noProof/>
          <w:u w:val="single"/>
          <w:lang w:eastAsia="fr-FR"/>
        </w:rPr>
      </w:pPr>
    </w:p>
    <w:p w:rsidR="00166E0B" w:rsidRDefault="00166E0B" w:rsidP="006F23C0">
      <w:pPr>
        <w:pStyle w:val="Paragraphedeliste"/>
        <w:numPr>
          <w:ilvl w:val="0"/>
          <w:numId w:val="8"/>
        </w:numPr>
        <w:spacing w:before="240" w:after="240" w:line="360" w:lineRule="auto"/>
        <w:ind w:left="714" w:hanging="357"/>
        <w:jc w:val="both"/>
        <w:rPr>
          <w:b/>
          <w:bCs/>
          <w:noProof/>
          <w:u w:val="single"/>
          <w:lang w:eastAsia="fr-FR"/>
        </w:rPr>
      </w:pPr>
      <w:r w:rsidRPr="009E681F">
        <w:rPr>
          <w:b/>
          <w:bCs/>
          <w:noProof/>
          <w:u w:val="single"/>
          <w:lang w:eastAsia="fr-FR"/>
        </w:rPr>
        <w:t>Détail des achats:</w:t>
      </w:r>
    </w:p>
    <w:p w:rsidR="00166E0B" w:rsidRPr="0044587E" w:rsidRDefault="00166E0B" w:rsidP="006F23C0">
      <w:pPr>
        <w:pStyle w:val="Paragraphedeliste"/>
        <w:spacing w:before="240" w:after="240" w:line="360" w:lineRule="auto"/>
        <w:ind w:left="714"/>
        <w:jc w:val="both"/>
        <w:rPr>
          <w:b/>
          <w:bCs/>
          <w:noProof/>
          <w:u w:val="single"/>
          <w:lang w:eastAsia="fr-FR"/>
        </w:rPr>
      </w:pPr>
    </w:p>
    <w:p w:rsidR="00166E0B" w:rsidRDefault="00166E0B" w:rsidP="00771665">
      <w:pPr>
        <w:pStyle w:val="Paragraphedeliste"/>
        <w:numPr>
          <w:ilvl w:val="0"/>
          <w:numId w:val="13"/>
        </w:numPr>
        <w:spacing w:before="240" w:after="240" w:line="360" w:lineRule="auto"/>
        <w:jc w:val="both"/>
        <w:rPr>
          <w:b/>
          <w:bCs/>
          <w:noProof/>
          <w:lang w:eastAsia="fr-FR"/>
        </w:rPr>
      </w:pPr>
      <w:r>
        <w:rPr>
          <w:b/>
          <w:bCs/>
          <w:noProof/>
          <w:lang w:eastAsia="fr-FR"/>
        </w:rPr>
        <w:t>ELECTRICITE:</w:t>
      </w:r>
    </w:p>
    <w:p w:rsidR="00464C4F" w:rsidRPr="00C27143" w:rsidRDefault="00464C4F" w:rsidP="00771665">
      <w:pPr>
        <w:spacing w:before="120" w:after="120" w:line="360" w:lineRule="auto"/>
        <w:jc w:val="right"/>
        <w:rPr>
          <w:rFonts w:ascii="Times New Roman" w:hAnsi="Times New Roman" w:cs="Times New Roman"/>
          <w:b/>
          <w:bCs/>
          <w:noProof/>
          <w:lang w:eastAsia="fr-FR"/>
        </w:rPr>
      </w:pPr>
      <w:r w:rsidRPr="00784108">
        <w:rPr>
          <w:rFonts w:ascii="Times New Roman" w:hAnsi="Times New Roman" w:cs="Times New Roman"/>
          <w:b/>
          <w:bCs/>
          <w:sz w:val="24"/>
          <w:szCs w:val="24"/>
          <w:u w:val="single"/>
        </w:rPr>
        <w:t>Unité</w:t>
      </w:r>
      <w:r w:rsidRPr="00C27143">
        <w:rPr>
          <w:rFonts w:ascii="Times New Roman" w:hAnsi="Times New Roman" w:cs="Times New Roman"/>
          <w:sz w:val="24"/>
          <w:szCs w:val="24"/>
        </w:rPr>
        <w:t> : MDA</w:t>
      </w:r>
    </w:p>
    <w:tbl>
      <w:tblPr>
        <w:tblpPr w:leftFromText="141" w:rightFromText="141" w:vertAnchor="text" w:horzAnchor="margin" w:tblpXSpec="center" w:tblpY="303"/>
        <w:tblW w:w="10130" w:type="dxa"/>
        <w:tblCellMar>
          <w:left w:w="70" w:type="dxa"/>
          <w:right w:w="70" w:type="dxa"/>
        </w:tblCellMar>
        <w:tblLook w:val="04A0"/>
      </w:tblPr>
      <w:tblGrid>
        <w:gridCol w:w="1771"/>
        <w:gridCol w:w="1276"/>
        <w:gridCol w:w="1331"/>
        <w:gridCol w:w="1504"/>
        <w:gridCol w:w="1276"/>
        <w:gridCol w:w="1701"/>
        <w:gridCol w:w="1271"/>
      </w:tblGrid>
      <w:tr w:rsidR="00166E0B" w:rsidRPr="00CB3388" w:rsidTr="007B362B">
        <w:trPr>
          <w:trHeight w:val="774"/>
        </w:trPr>
        <w:tc>
          <w:tcPr>
            <w:tcW w:w="1771" w:type="dxa"/>
            <w:tcBorders>
              <w:top w:val="nil"/>
              <w:left w:val="single" w:sz="8" w:space="0" w:color="FE8637"/>
              <w:right w:val="single" w:sz="8" w:space="0" w:color="FE8637"/>
            </w:tcBorders>
            <w:shd w:val="clear" w:color="000000" w:fill="7598D9"/>
            <w:noWrap/>
            <w:vAlign w:val="center"/>
            <w:hideMark/>
          </w:tcPr>
          <w:p w:rsidR="00166E0B" w:rsidRPr="00166E0B" w:rsidRDefault="00166E0B" w:rsidP="00771665">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 xml:space="preserve">Achat </w:t>
            </w:r>
            <w:r w:rsidR="00D5307B" w:rsidRPr="00166E0B">
              <w:rPr>
                <w:rFonts w:ascii="Times New Roman" w:eastAsia="Times New Roman" w:hAnsi="Times New Roman" w:cs="Times New Roman"/>
                <w:b/>
                <w:bCs/>
                <w:color w:val="FFFFFF"/>
                <w:sz w:val="24"/>
                <w:szCs w:val="24"/>
                <w:lang w:eastAsia="fr-FR"/>
              </w:rPr>
              <w:t>Électricité</w:t>
            </w:r>
          </w:p>
        </w:tc>
        <w:tc>
          <w:tcPr>
            <w:tcW w:w="1276"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2012</w:t>
            </w:r>
          </w:p>
        </w:tc>
        <w:tc>
          <w:tcPr>
            <w:tcW w:w="1331"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2013</w:t>
            </w:r>
          </w:p>
        </w:tc>
        <w:tc>
          <w:tcPr>
            <w:tcW w:w="1504"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2014</w:t>
            </w:r>
          </w:p>
        </w:tc>
        <w:tc>
          <w:tcPr>
            <w:tcW w:w="1276"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2015</w:t>
            </w:r>
          </w:p>
        </w:tc>
        <w:tc>
          <w:tcPr>
            <w:tcW w:w="1701" w:type="dxa"/>
            <w:tcBorders>
              <w:top w:val="single" w:sz="8" w:space="0" w:color="FE8637"/>
              <w:left w:val="nil"/>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2016</w:t>
            </w:r>
          </w:p>
        </w:tc>
        <w:tc>
          <w:tcPr>
            <w:tcW w:w="1271"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2017</w:t>
            </w:r>
          </w:p>
        </w:tc>
      </w:tr>
      <w:tr w:rsidR="007B362B" w:rsidRPr="00CB3388" w:rsidTr="007B362B">
        <w:trPr>
          <w:trHeight w:val="731"/>
        </w:trPr>
        <w:tc>
          <w:tcPr>
            <w:tcW w:w="1771" w:type="dxa"/>
            <w:tcBorders>
              <w:top w:val="nil"/>
              <w:left w:val="single" w:sz="8" w:space="0" w:color="FE8637"/>
              <w:bottom w:val="single" w:sz="8" w:space="0" w:color="FE8637"/>
              <w:right w:val="single" w:sz="8" w:space="0" w:color="FE8637"/>
            </w:tcBorders>
            <w:shd w:val="clear" w:color="auto" w:fill="auto"/>
            <w:noWrap/>
            <w:vAlign w:val="center"/>
            <w:hideMark/>
          </w:tcPr>
          <w:p w:rsidR="007B362B" w:rsidRPr="00464C4F" w:rsidRDefault="007B362B" w:rsidP="007B362B">
            <w:pPr>
              <w:spacing w:after="0" w:line="240" w:lineRule="auto"/>
              <w:jc w:val="both"/>
              <w:rPr>
                <w:rFonts w:ascii="Times New Roman" w:eastAsia="Times New Roman" w:hAnsi="Times New Roman" w:cs="Times New Roman"/>
                <w:b/>
                <w:bCs/>
                <w:color w:val="000000"/>
                <w:sz w:val="24"/>
                <w:szCs w:val="24"/>
                <w:lang w:eastAsia="fr-FR"/>
              </w:rPr>
            </w:pPr>
            <w:r w:rsidRPr="00464C4F">
              <w:rPr>
                <w:rFonts w:ascii="Times New Roman" w:eastAsia="Times New Roman" w:hAnsi="Times New Roman" w:cs="Times New Roman"/>
                <w:b/>
                <w:bCs/>
                <w:color w:val="000000"/>
                <w:sz w:val="24"/>
                <w:szCs w:val="24"/>
                <w:lang w:eastAsia="fr-FR"/>
              </w:rPr>
              <w:t>Achat à SPE</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6 960</w:t>
            </w:r>
          </w:p>
        </w:tc>
        <w:tc>
          <w:tcPr>
            <w:tcW w:w="133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5 131</w:t>
            </w:r>
          </w:p>
        </w:tc>
        <w:tc>
          <w:tcPr>
            <w:tcW w:w="1504"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5 152,70   </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5 376,86   </w:t>
            </w:r>
          </w:p>
        </w:tc>
        <w:tc>
          <w:tcPr>
            <w:tcW w:w="170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5 698,85   </w:t>
            </w:r>
          </w:p>
        </w:tc>
        <w:tc>
          <w:tcPr>
            <w:tcW w:w="127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6 029,23   </w:t>
            </w:r>
          </w:p>
        </w:tc>
      </w:tr>
      <w:tr w:rsidR="007B362B" w:rsidRPr="00CB3388" w:rsidTr="007B362B">
        <w:trPr>
          <w:trHeight w:val="625"/>
        </w:trPr>
        <w:tc>
          <w:tcPr>
            <w:tcW w:w="1771" w:type="dxa"/>
            <w:tcBorders>
              <w:top w:val="nil"/>
              <w:left w:val="single" w:sz="8" w:space="0" w:color="FE8637"/>
              <w:bottom w:val="single" w:sz="8" w:space="0" w:color="FE8637"/>
              <w:right w:val="single" w:sz="8" w:space="0" w:color="FE8637"/>
            </w:tcBorders>
            <w:shd w:val="clear" w:color="auto" w:fill="auto"/>
            <w:noWrap/>
            <w:vAlign w:val="center"/>
            <w:hideMark/>
          </w:tcPr>
          <w:p w:rsidR="007B362B" w:rsidRPr="00464C4F" w:rsidRDefault="007B362B" w:rsidP="007B362B">
            <w:pPr>
              <w:spacing w:after="0" w:line="240" w:lineRule="auto"/>
              <w:jc w:val="both"/>
              <w:rPr>
                <w:rFonts w:ascii="Times New Roman" w:eastAsia="Times New Roman" w:hAnsi="Times New Roman" w:cs="Times New Roman"/>
                <w:b/>
                <w:bCs/>
                <w:color w:val="000000"/>
                <w:sz w:val="24"/>
                <w:szCs w:val="24"/>
                <w:lang w:eastAsia="fr-FR"/>
              </w:rPr>
            </w:pPr>
            <w:r w:rsidRPr="00464C4F">
              <w:rPr>
                <w:rFonts w:ascii="Times New Roman" w:eastAsia="Times New Roman" w:hAnsi="Times New Roman" w:cs="Times New Roman"/>
                <w:b/>
                <w:bCs/>
                <w:color w:val="000000"/>
                <w:sz w:val="24"/>
                <w:szCs w:val="24"/>
                <w:lang w:eastAsia="fr-FR"/>
              </w:rPr>
              <w:t>Achat aux tiers</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8 284</w:t>
            </w:r>
          </w:p>
        </w:tc>
        <w:tc>
          <w:tcPr>
            <w:tcW w:w="133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11 830</w:t>
            </w:r>
          </w:p>
        </w:tc>
        <w:tc>
          <w:tcPr>
            <w:tcW w:w="1504"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12 373,11   </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13 742,60   </w:t>
            </w:r>
          </w:p>
        </w:tc>
        <w:tc>
          <w:tcPr>
            <w:tcW w:w="170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15 564,01   </w:t>
            </w:r>
          </w:p>
        </w:tc>
        <w:tc>
          <w:tcPr>
            <w:tcW w:w="127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17 522,64   </w:t>
            </w:r>
          </w:p>
        </w:tc>
      </w:tr>
    </w:tbl>
    <w:p w:rsidR="00166E0B" w:rsidRDefault="00166E0B" w:rsidP="006F23C0">
      <w:pPr>
        <w:pStyle w:val="Paragraphedeliste"/>
        <w:spacing w:before="240" w:after="240" w:line="360" w:lineRule="auto"/>
        <w:ind w:left="714"/>
        <w:jc w:val="both"/>
        <w:rPr>
          <w:b/>
          <w:bCs/>
          <w:noProof/>
          <w:lang w:eastAsia="fr-FR"/>
        </w:rPr>
      </w:pPr>
    </w:p>
    <w:p w:rsidR="007B362B" w:rsidRDefault="007B362B" w:rsidP="006F23C0">
      <w:pPr>
        <w:pStyle w:val="Paragraphedeliste"/>
        <w:spacing w:before="240" w:after="240" w:line="360" w:lineRule="auto"/>
        <w:ind w:left="714"/>
        <w:jc w:val="both"/>
        <w:rPr>
          <w:b/>
          <w:bCs/>
          <w:noProof/>
          <w:lang w:eastAsia="fr-FR"/>
        </w:rPr>
      </w:pPr>
    </w:p>
    <w:p w:rsidR="007B362B" w:rsidRDefault="007B362B" w:rsidP="006F23C0">
      <w:pPr>
        <w:pStyle w:val="Paragraphedeliste"/>
        <w:spacing w:before="240" w:after="240" w:line="360" w:lineRule="auto"/>
        <w:ind w:left="714"/>
        <w:jc w:val="both"/>
        <w:rPr>
          <w:b/>
          <w:bCs/>
          <w:noProof/>
          <w:lang w:eastAsia="fr-FR"/>
        </w:rPr>
      </w:pPr>
    </w:p>
    <w:p w:rsidR="00977453" w:rsidRDefault="00977453" w:rsidP="006F23C0">
      <w:pPr>
        <w:pStyle w:val="Paragraphedeliste"/>
        <w:spacing w:before="240" w:after="240" w:line="360" w:lineRule="auto"/>
        <w:ind w:left="714"/>
        <w:jc w:val="both"/>
        <w:rPr>
          <w:b/>
          <w:bCs/>
          <w:noProof/>
          <w:lang w:eastAsia="fr-FR"/>
        </w:rPr>
      </w:pPr>
    </w:p>
    <w:p w:rsidR="00FF6AD2" w:rsidRDefault="00FF6AD2" w:rsidP="006F23C0">
      <w:pPr>
        <w:pStyle w:val="Paragraphedeliste"/>
        <w:spacing w:before="240" w:after="240" w:line="360" w:lineRule="auto"/>
        <w:ind w:left="714"/>
        <w:jc w:val="both"/>
        <w:rPr>
          <w:b/>
          <w:bCs/>
          <w:noProof/>
          <w:lang w:eastAsia="fr-FR"/>
        </w:rPr>
      </w:pPr>
    </w:p>
    <w:p w:rsidR="00FF6AD2" w:rsidRDefault="00FF6AD2" w:rsidP="006F23C0">
      <w:pPr>
        <w:pStyle w:val="Paragraphedeliste"/>
        <w:spacing w:before="240" w:after="240" w:line="360" w:lineRule="auto"/>
        <w:ind w:left="714"/>
        <w:jc w:val="both"/>
        <w:rPr>
          <w:b/>
          <w:bCs/>
          <w:noProof/>
          <w:lang w:eastAsia="fr-FR"/>
        </w:rPr>
      </w:pPr>
    </w:p>
    <w:p w:rsidR="00DD2BC9" w:rsidRPr="00DD2BC9" w:rsidRDefault="00DD2BC9" w:rsidP="00771665">
      <w:pPr>
        <w:pStyle w:val="Paragraphedeliste"/>
        <w:numPr>
          <w:ilvl w:val="0"/>
          <w:numId w:val="13"/>
        </w:numPr>
        <w:spacing w:after="0" w:line="240" w:lineRule="auto"/>
        <w:jc w:val="both"/>
        <w:rPr>
          <w:b/>
          <w:bCs/>
          <w:noProof/>
          <w:lang w:eastAsia="fr-FR"/>
        </w:rPr>
      </w:pPr>
      <w:r w:rsidRPr="00DD2BC9">
        <w:rPr>
          <w:b/>
          <w:bCs/>
          <w:noProof/>
          <w:lang w:eastAsia="fr-FR"/>
        </w:rPr>
        <w:lastRenderedPageBreak/>
        <w:t>GAZ</w:t>
      </w:r>
    </w:p>
    <w:p w:rsidR="00C27143" w:rsidRPr="00C27143" w:rsidRDefault="00C27143" w:rsidP="00771665">
      <w:pPr>
        <w:pStyle w:val="Paragraphedeliste"/>
        <w:spacing w:before="120" w:after="120" w:line="360" w:lineRule="auto"/>
        <w:jc w:val="right"/>
        <w:rPr>
          <w:rFonts w:ascii="Times New Roman" w:hAnsi="Times New Roman" w:cs="Times New Roman"/>
          <w:b/>
          <w:bCs/>
          <w:noProof/>
          <w:lang w:eastAsia="fr-FR"/>
        </w:rPr>
      </w:pPr>
      <w:r w:rsidRPr="00784108">
        <w:rPr>
          <w:rFonts w:ascii="Times New Roman" w:hAnsi="Times New Roman" w:cs="Times New Roman"/>
          <w:b/>
          <w:bCs/>
          <w:sz w:val="24"/>
          <w:szCs w:val="24"/>
          <w:u w:val="single"/>
        </w:rPr>
        <w:t>Unité</w:t>
      </w:r>
      <w:r w:rsidRPr="00C27143">
        <w:rPr>
          <w:rFonts w:ascii="Times New Roman" w:hAnsi="Times New Roman" w:cs="Times New Roman"/>
          <w:sz w:val="24"/>
          <w:szCs w:val="24"/>
        </w:rPr>
        <w:t> : MDA</w:t>
      </w:r>
    </w:p>
    <w:tbl>
      <w:tblPr>
        <w:tblW w:w="10821" w:type="dxa"/>
        <w:jc w:val="center"/>
        <w:tblCellMar>
          <w:left w:w="70" w:type="dxa"/>
          <w:right w:w="70" w:type="dxa"/>
        </w:tblCellMar>
        <w:tblLook w:val="04A0"/>
      </w:tblPr>
      <w:tblGrid>
        <w:gridCol w:w="1674"/>
        <w:gridCol w:w="1492"/>
        <w:gridCol w:w="1418"/>
        <w:gridCol w:w="1559"/>
        <w:gridCol w:w="1701"/>
        <w:gridCol w:w="1560"/>
        <w:gridCol w:w="1417"/>
      </w:tblGrid>
      <w:tr w:rsidR="00C27143" w:rsidRPr="00CB3388" w:rsidTr="007176BD">
        <w:trPr>
          <w:trHeight w:val="315"/>
          <w:jc w:val="center"/>
        </w:trPr>
        <w:tc>
          <w:tcPr>
            <w:tcW w:w="1674" w:type="dxa"/>
            <w:tcBorders>
              <w:top w:val="nil"/>
              <w:left w:val="single" w:sz="8" w:space="0" w:color="FE8637"/>
              <w:bottom w:val="single" w:sz="8" w:space="0" w:color="FE8637"/>
              <w:right w:val="single" w:sz="8" w:space="0" w:color="FE8637"/>
            </w:tcBorders>
            <w:shd w:val="clear" w:color="000000" w:fill="7598D9"/>
            <w:noWrap/>
            <w:vAlign w:val="bottom"/>
            <w:hideMark/>
          </w:tcPr>
          <w:p w:rsidR="00C27143" w:rsidRPr="00C27143"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C27143">
              <w:rPr>
                <w:rFonts w:ascii="Times New Roman" w:eastAsia="Times New Roman" w:hAnsi="Times New Roman" w:cs="Times New Roman"/>
                <w:b/>
                <w:bCs/>
                <w:color w:val="FFFFFF"/>
                <w:sz w:val="24"/>
                <w:szCs w:val="24"/>
                <w:lang w:eastAsia="fr-FR"/>
              </w:rPr>
              <w:t>GAZ</w:t>
            </w:r>
          </w:p>
        </w:tc>
        <w:tc>
          <w:tcPr>
            <w:tcW w:w="1492" w:type="dxa"/>
            <w:tcBorders>
              <w:top w:val="nil"/>
              <w:left w:val="nil"/>
              <w:bottom w:val="single" w:sz="8" w:space="0" w:color="FE8637"/>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2012</w:t>
            </w:r>
          </w:p>
        </w:tc>
        <w:tc>
          <w:tcPr>
            <w:tcW w:w="1418" w:type="dxa"/>
            <w:tcBorders>
              <w:top w:val="nil"/>
              <w:left w:val="nil"/>
              <w:bottom w:val="single" w:sz="8" w:space="0" w:color="FE8637"/>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2013</w:t>
            </w:r>
          </w:p>
        </w:tc>
        <w:tc>
          <w:tcPr>
            <w:tcW w:w="1559" w:type="dxa"/>
            <w:tcBorders>
              <w:top w:val="nil"/>
              <w:left w:val="nil"/>
              <w:bottom w:val="single" w:sz="8" w:space="0" w:color="FE8637"/>
              <w:right w:val="nil"/>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2014</w:t>
            </w:r>
          </w:p>
        </w:tc>
        <w:tc>
          <w:tcPr>
            <w:tcW w:w="1701" w:type="dxa"/>
            <w:tcBorders>
              <w:top w:val="nil"/>
              <w:left w:val="single" w:sz="8" w:space="0" w:color="FE8637"/>
              <w:bottom w:val="single" w:sz="8" w:space="0" w:color="FE8637"/>
              <w:right w:val="nil"/>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2015</w:t>
            </w:r>
          </w:p>
        </w:tc>
        <w:tc>
          <w:tcPr>
            <w:tcW w:w="1560" w:type="dxa"/>
            <w:tcBorders>
              <w:top w:val="nil"/>
              <w:left w:val="nil"/>
              <w:bottom w:val="nil"/>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2016</w:t>
            </w:r>
          </w:p>
        </w:tc>
        <w:tc>
          <w:tcPr>
            <w:tcW w:w="1417"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2017</w:t>
            </w:r>
          </w:p>
        </w:tc>
      </w:tr>
      <w:tr w:rsidR="00977453" w:rsidRPr="00CB3388" w:rsidTr="007176BD">
        <w:trPr>
          <w:trHeight w:val="698"/>
          <w:jc w:val="center"/>
        </w:trPr>
        <w:tc>
          <w:tcPr>
            <w:tcW w:w="1674" w:type="dxa"/>
            <w:tcBorders>
              <w:top w:val="nil"/>
              <w:left w:val="single" w:sz="8" w:space="0" w:color="FE8637"/>
              <w:bottom w:val="single" w:sz="8" w:space="0" w:color="FE8637"/>
              <w:right w:val="single" w:sz="8" w:space="0" w:color="FE8637"/>
            </w:tcBorders>
            <w:shd w:val="clear" w:color="auto" w:fill="auto"/>
            <w:noWrap/>
            <w:vAlign w:val="center"/>
            <w:hideMark/>
          </w:tcPr>
          <w:p w:rsidR="00977453" w:rsidRPr="00C27143" w:rsidRDefault="00977453" w:rsidP="007176BD">
            <w:pPr>
              <w:spacing w:after="0" w:line="240" w:lineRule="auto"/>
              <w:jc w:val="center"/>
              <w:rPr>
                <w:rFonts w:ascii="Times New Roman" w:eastAsia="Times New Roman" w:hAnsi="Times New Roman" w:cs="Times New Roman"/>
                <w:b/>
                <w:bCs/>
                <w:color w:val="000000"/>
                <w:sz w:val="24"/>
                <w:szCs w:val="24"/>
                <w:lang w:eastAsia="fr-FR"/>
              </w:rPr>
            </w:pPr>
            <w:r w:rsidRPr="00C27143">
              <w:rPr>
                <w:rFonts w:ascii="Times New Roman" w:eastAsia="Times New Roman" w:hAnsi="Times New Roman" w:cs="Times New Roman"/>
                <w:b/>
                <w:bCs/>
                <w:color w:val="000000"/>
                <w:sz w:val="24"/>
                <w:szCs w:val="24"/>
                <w:lang w:eastAsia="fr-FR"/>
              </w:rPr>
              <w:t>SONATRACH</w:t>
            </w:r>
          </w:p>
        </w:tc>
        <w:tc>
          <w:tcPr>
            <w:tcW w:w="1492" w:type="dxa"/>
            <w:tcBorders>
              <w:top w:val="nil"/>
              <w:left w:val="nil"/>
              <w:bottom w:val="single" w:sz="8" w:space="0" w:color="FE8637"/>
              <w:right w:val="single" w:sz="8" w:space="0" w:color="FE8637"/>
            </w:tcBorders>
            <w:shd w:val="clear" w:color="000000" w:fill="FFFFFF"/>
            <w:noWrap/>
            <w:vAlign w:val="bottom"/>
            <w:hideMark/>
          </w:tcPr>
          <w:p w:rsidR="00977453" w:rsidRPr="007176BD" w:rsidRDefault="00977453" w:rsidP="007176BD">
            <w:pPr>
              <w:jc w:val="center"/>
              <w:rPr>
                <w:rFonts w:ascii="Times New Roman" w:hAnsi="Times New Roman" w:cs="Times New Roman"/>
                <w:color w:val="000000"/>
                <w:sz w:val="24"/>
                <w:szCs w:val="24"/>
              </w:rPr>
            </w:pPr>
            <w:r w:rsidRPr="007176BD">
              <w:rPr>
                <w:rFonts w:ascii="Times New Roman" w:hAnsi="Times New Roman" w:cs="Times New Roman"/>
                <w:color w:val="000000"/>
                <w:sz w:val="24"/>
                <w:szCs w:val="24"/>
              </w:rPr>
              <w:t>2 273,54</w:t>
            </w:r>
          </w:p>
        </w:tc>
        <w:tc>
          <w:tcPr>
            <w:tcW w:w="1418" w:type="dxa"/>
            <w:tcBorders>
              <w:top w:val="nil"/>
              <w:left w:val="nil"/>
              <w:bottom w:val="single" w:sz="8" w:space="0" w:color="FE8637"/>
              <w:right w:val="single" w:sz="8" w:space="0" w:color="FE8637"/>
            </w:tcBorders>
            <w:shd w:val="clear" w:color="000000" w:fill="FFFFFF"/>
            <w:noWrap/>
            <w:vAlign w:val="bottom"/>
            <w:hideMark/>
          </w:tcPr>
          <w:p w:rsidR="00977453" w:rsidRPr="007176BD" w:rsidRDefault="00977453" w:rsidP="007176BD">
            <w:pPr>
              <w:jc w:val="center"/>
              <w:rPr>
                <w:rFonts w:ascii="Times New Roman" w:hAnsi="Times New Roman" w:cs="Times New Roman"/>
                <w:color w:val="000000"/>
                <w:sz w:val="24"/>
                <w:szCs w:val="24"/>
              </w:rPr>
            </w:pPr>
            <w:r w:rsidRPr="007176BD">
              <w:rPr>
                <w:rFonts w:ascii="Times New Roman" w:hAnsi="Times New Roman" w:cs="Times New Roman"/>
                <w:color w:val="000000"/>
                <w:sz w:val="24"/>
                <w:szCs w:val="24"/>
              </w:rPr>
              <w:t>2 361,05</w:t>
            </w:r>
          </w:p>
        </w:tc>
        <w:tc>
          <w:tcPr>
            <w:tcW w:w="1559" w:type="dxa"/>
            <w:tcBorders>
              <w:top w:val="nil"/>
              <w:left w:val="nil"/>
              <w:bottom w:val="single" w:sz="8" w:space="0" w:color="FE8637"/>
              <w:right w:val="nil"/>
            </w:tcBorders>
            <w:shd w:val="clear" w:color="000000" w:fill="FFFFFF"/>
            <w:noWrap/>
            <w:vAlign w:val="bottom"/>
            <w:hideMark/>
          </w:tcPr>
          <w:p w:rsidR="00977453" w:rsidRPr="00977453" w:rsidRDefault="00977453">
            <w:pPr>
              <w:rPr>
                <w:rFonts w:ascii="Times New Roman" w:hAnsi="Times New Roman" w:cs="Times New Roman"/>
                <w:color w:val="000000"/>
              </w:rPr>
            </w:pPr>
            <w:r w:rsidRPr="00977453">
              <w:rPr>
                <w:rFonts w:ascii="Times New Roman" w:hAnsi="Times New Roman" w:cs="Times New Roman"/>
                <w:color w:val="000000"/>
              </w:rPr>
              <w:t xml:space="preserve">         2 236,64   </w:t>
            </w:r>
          </w:p>
        </w:tc>
        <w:tc>
          <w:tcPr>
            <w:tcW w:w="1701" w:type="dxa"/>
            <w:tcBorders>
              <w:top w:val="nil"/>
              <w:left w:val="single" w:sz="8" w:space="0" w:color="FE8637"/>
              <w:bottom w:val="single" w:sz="8" w:space="0" w:color="FE8637"/>
              <w:right w:val="nil"/>
            </w:tcBorders>
            <w:shd w:val="clear" w:color="000000" w:fill="FFFFFF"/>
            <w:noWrap/>
            <w:vAlign w:val="bottom"/>
            <w:hideMark/>
          </w:tcPr>
          <w:p w:rsidR="00977453" w:rsidRPr="00977453" w:rsidRDefault="00977453">
            <w:pPr>
              <w:rPr>
                <w:rFonts w:ascii="Times New Roman" w:hAnsi="Times New Roman" w:cs="Times New Roman"/>
                <w:color w:val="000000"/>
              </w:rPr>
            </w:pPr>
            <w:r w:rsidRPr="00977453">
              <w:rPr>
                <w:rFonts w:ascii="Times New Roman" w:hAnsi="Times New Roman" w:cs="Times New Roman"/>
                <w:color w:val="000000"/>
              </w:rPr>
              <w:t xml:space="preserve">        2 278,03   </w:t>
            </w:r>
          </w:p>
        </w:tc>
        <w:tc>
          <w:tcPr>
            <w:tcW w:w="1560" w:type="dxa"/>
            <w:tcBorders>
              <w:top w:val="single" w:sz="8" w:space="0" w:color="FE8637"/>
              <w:left w:val="single" w:sz="8" w:space="0" w:color="FE8637"/>
              <w:bottom w:val="single" w:sz="8" w:space="0" w:color="FE8637"/>
              <w:right w:val="single" w:sz="8" w:space="0" w:color="FE8637"/>
            </w:tcBorders>
            <w:shd w:val="clear" w:color="000000" w:fill="FFFFFF"/>
            <w:noWrap/>
            <w:vAlign w:val="bottom"/>
            <w:hideMark/>
          </w:tcPr>
          <w:p w:rsidR="00977453" w:rsidRPr="00977453" w:rsidRDefault="00977453">
            <w:pPr>
              <w:rPr>
                <w:rFonts w:ascii="Times New Roman" w:hAnsi="Times New Roman" w:cs="Times New Roman"/>
                <w:color w:val="000000"/>
              </w:rPr>
            </w:pPr>
            <w:r>
              <w:rPr>
                <w:rFonts w:ascii="Times New Roman" w:hAnsi="Times New Roman" w:cs="Times New Roman"/>
                <w:color w:val="000000"/>
              </w:rPr>
              <w:t xml:space="preserve">          </w:t>
            </w:r>
            <w:r w:rsidRPr="00977453">
              <w:rPr>
                <w:rFonts w:ascii="Times New Roman" w:hAnsi="Times New Roman" w:cs="Times New Roman"/>
                <w:color w:val="000000"/>
              </w:rPr>
              <w:t xml:space="preserve"> 2 400,76   </w:t>
            </w:r>
          </w:p>
        </w:tc>
        <w:tc>
          <w:tcPr>
            <w:tcW w:w="1417" w:type="dxa"/>
            <w:tcBorders>
              <w:top w:val="single" w:sz="8" w:space="0" w:color="FE8637"/>
              <w:left w:val="single" w:sz="8" w:space="0" w:color="FE8637"/>
              <w:bottom w:val="single" w:sz="8" w:space="0" w:color="FE8637"/>
              <w:right w:val="single" w:sz="8" w:space="0" w:color="FE8637"/>
            </w:tcBorders>
            <w:shd w:val="clear" w:color="000000" w:fill="FFFFFF"/>
            <w:noWrap/>
            <w:vAlign w:val="bottom"/>
            <w:hideMark/>
          </w:tcPr>
          <w:p w:rsidR="00977453" w:rsidRPr="00977453" w:rsidRDefault="00977453">
            <w:pPr>
              <w:rPr>
                <w:rFonts w:ascii="Times New Roman" w:hAnsi="Times New Roman" w:cs="Times New Roman"/>
                <w:color w:val="000000"/>
              </w:rPr>
            </w:pPr>
            <w:r w:rsidRPr="00977453">
              <w:rPr>
                <w:rFonts w:ascii="Times New Roman" w:hAnsi="Times New Roman" w:cs="Times New Roman"/>
                <w:color w:val="000000"/>
              </w:rPr>
              <w:t xml:space="preserve">         2 448,43   </w:t>
            </w:r>
          </w:p>
        </w:tc>
      </w:tr>
    </w:tbl>
    <w:p w:rsidR="006E741E" w:rsidRDefault="006E741E" w:rsidP="006F23C0">
      <w:pPr>
        <w:spacing w:before="120" w:after="120" w:line="360" w:lineRule="auto"/>
        <w:ind w:firstLine="709"/>
        <w:jc w:val="both"/>
        <w:rPr>
          <w:rFonts w:ascii="Times New Roman" w:hAnsi="Times New Roman" w:cs="Times New Roman"/>
          <w:noProof/>
          <w:lang w:eastAsia="fr-FR"/>
        </w:rPr>
      </w:pPr>
    </w:p>
    <w:p w:rsidR="00D52803" w:rsidRPr="005B784A" w:rsidRDefault="00887D57" w:rsidP="00FF6AD2">
      <w:pPr>
        <w:spacing w:before="120" w:after="120" w:line="360" w:lineRule="auto"/>
        <w:ind w:firstLine="709"/>
        <w:jc w:val="both"/>
        <w:rPr>
          <w:rFonts w:ascii="Times New Roman" w:hAnsi="Times New Roman" w:cs="Times New Roman"/>
          <w:noProof/>
          <w:sz w:val="24"/>
          <w:szCs w:val="24"/>
          <w:lang w:eastAsia="fr-FR"/>
        </w:rPr>
      </w:pPr>
      <w:r w:rsidRPr="005B784A">
        <w:rPr>
          <w:rFonts w:ascii="Times New Roman" w:hAnsi="Times New Roman" w:cs="Times New Roman"/>
          <w:noProof/>
          <w:sz w:val="24"/>
          <w:szCs w:val="24"/>
          <w:lang w:eastAsia="fr-FR"/>
        </w:rPr>
        <w:t xml:space="preserve">L’augmentation des </w:t>
      </w:r>
      <w:r w:rsidR="00332380" w:rsidRPr="005B784A">
        <w:rPr>
          <w:rFonts w:ascii="Times New Roman" w:hAnsi="Times New Roman" w:cs="Times New Roman"/>
          <w:noProof/>
          <w:sz w:val="24"/>
          <w:szCs w:val="24"/>
          <w:lang w:eastAsia="fr-FR"/>
        </w:rPr>
        <w:t>ach</w:t>
      </w:r>
      <w:r w:rsidR="000F63C2" w:rsidRPr="005B784A">
        <w:rPr>
          <w:rFonts w:ascii="Times New Roman" w:hAnsi="Times New Roman" w:cs="Times New Roman"/>
          <w:noProof/>
          <w:sz w:val="24"/>
          <w:szCs w:val="24"/>
          <w:lang w:eastAsia="fr-FR"/>
        </w:rPr>
        <w:t>ats de l’électricité et du gaz</w:t>
      </w:r>
      <w:r w:rsidR="006E741E" w:rsidRPr="005B784A">
        <w:rPr>
          <w:rFonts w:ascii="Times New Roman" w:hAnsi="Times New Roman" w:cs="Times New Roman"/>
          <w:noProof/>
          <w:sz w:val="24"/>
          <w:szCs w:val="24"/>
          <w:lang w:eastAsia="fr-FR"/>
        </w:rPr>
        <w:t xml:space="preserve"> </w:t>
      </w:r>
      <w:r w:rsidR="00332380" w:rsidRPr="005B784A">
        <w:rPr>
          <w:rFonts w:ascii="Times New Roman" w:hAnsi="Times New Roman" w:cs="Times New Roman"/>
          <w:noProof/>
          <w:sz w:val="24"/>
          <w:szCs w:val="24"/>
          <w:lang w:eastAsia="fr-FR"/>
        </w:rPr>
        <w:t>est expliquée principalement par  l’augmentation des achats d</w:t>
      </w:r>
      <w:r w:rsidR="005B784A">
        <w:rPr>
          <w:rFonts w:ascii="Times New Roman" w:hAnsi="Times New Roman" w:cs="Times New Roman"/>
          <w:noProof/>
          <w:sz w:val="24"/>
          <w:szCs w:val="24"/>
          <w:lang w:eastAsia="fr-FR"/>
        </w:rPr>
        <w:t>u</w:t>
      </w:r>
      <w:r w:rsidR="00332380" w:rsidRPr="005B784A">
        <w:rPr>
          <w:rFonts w:ascii="Times New Roman" w:hAnsi="Times New Roman" w:cs="Times New Roman"/>
          <w:noProof/>
          <w:sz w:val="24"/>
          <w:szCs w:val="24"/>
          <w:lang w:eastAsia="fr-FR"/>
        </w:rPr>
        <w:t xml:space="preserve"> gaz auprés de SONATRACH et d’électricité </w:t>
      </w:r>
      <w:r w:rsidR="005B784A">
        <w:rPr>
          <w:rFonts w:ascii="Times New Roman" w:hAnsi="Times New Roman" w:cs="Times New Roman"/>
          <w:noProof/>
          <w:sz w:val="24"/>
          <w:szCs w:val="24"/>
          <w:lang w:eastAsia="fr-FR"/>
        </w:rPr>
        <w:t xml:space="preserve">, </w:t>
      </w:r>
      <w:r w:rsidR="00332380" w:rsidRPr="005B784A">
        <w:rPr>
          <w:rFonts w:ascii="Times New Roman" w:hAnsi="Times New Roman" w:cs="Times New Roman"/>
          <w:noProof/>
          <w:sz w:val="24"/>
          <w:szCs w:val="24"/>
          <w:lang w:eastAsia="fr-FR"/>
        </w:rPr>
        <w:t xml:space="preserve">aupres de SPE et des producteurs independants </w:t>
      </w:r>
      <w:r w:rsidR="005B784A">
        <w:rPr>
          <w:rFonts w:ascii="Times New Roman" w:hAnsi="Times New Roman" w:cs="Times New Roman"/>
          <w:noProof/>
          <w:sz w:val="24"/>
          <w:szCs w:val="24"/>
          <w:lang w:eastAsia="fr-FR"/>
        </w:rPr>
        <w:t xml:space="preserve">, </w:t>
      </w:r>
      <w:r w:rsidR="005B784A" w:rsidRPr="005B784A">
        <w:rPr>
          <w:rFonts w:ascii="Times New Roman" w:hAnsi="Times New Roman" w:cs="Times New Roman"/>
          <w:noProof/>
          <w:sz w:val="24"/>
          <w:szCs w:val="24"/>
          <w:lang w:eastAsia="fr-FR"/>
        </w:rPr>
        <w:t xml:space="preserve">qui évoluent </w:t>
      </w:r>
      <w:r w:rsidR="00FF6AD2">
        <w:rPr>
          <w:rFonts w:ascii="Times New Roman" w:hAnsi="Times New Roman" w:cs="Times New Roman"/>
          <w:noProof/>
          <w:sz w:val="24"/>
          <w:szCs w:val="24"/>
          <w:lang w:eastAsia="fr-FR"/>
        </w:rPr>
        <w:t>en moyenne de 10% avec l’hypothèse du maintien du coû</w:t>
      </w:r>
      <w:r w:rsidR="005B784A" w:rsidRPr="005B784A">
        <w:rPr>
          <w:rFonts w:ascii="Times New Roman" w:hAnsi="Times New Roman" w:cs="Times New Roman"/>
          <w:noProof/>
          <w:sz w:val="24"/>
          <w:szCs w:val="24"/>
          <w:lang w:eastAsia="fr-FR"/>
        </w:rPr>
        <w:t xml:space="preserve">t d’achat </w:t>
      </w:r>
      <w:r w:rsidR="005B784A">
        <w:rPr>
          <w:rFonts w:ascii="Times New Roman" w:hAnsi="Times New Roman" w:cs="Times New Roman"/>
          <w:noProof/>
          <w:sz w:val="24"/>
          <w:szCs w:val="24"/>
          <w:lang w:eastAsia="fr-FR"/>
        </w:rPr>
        <w:t xml:space="preserve">à </w:t>
      </w:r>
      <w:r w:rsidR="005B784A" w:rsidRPr="005B784A">
        <w:rPr>
          <w:rFonts w:ascii="Times New Roman" w:hAnsi="Times New Roman" w:cs="Times New Roman"/>
          <w:noProof/>
          <w:sz w:val="24"/>
          <w:szCs w:val="24"/>
          <w:lang w:eastAsia="fr-FR"/>
        </w:rPr>
        <w:t>SPE à 1,725 DA/KWH à l’horizon de 2017.</w:t>
      </w:r>
    </w:p>
    <w:p w:rsidR="005D474F" w:rsidRPr="0026486D" w:rsidRDefault="005D474F" w:rsidP="0026486D">
      <w:pPr>
        <w:pStyle w:val="Paragraphedeliste"/>
        <w:numPr>
          <w:ilvl w:val="0"/>
          <w:numId w:val="9"/>
        </w:numPr>
        <w:spacing w:after="0" w:line="360" w:lineRule="auto"/>
        <w:ind w:left="426"/>
        <w:jc w:val="both"/>
        <w:rPr>
          <w:rFonts w:ascii="Times New Roman" w:eastAsiaTheme="minorHAnsi" w:hAnsi="Times New Roman" w:cs="Times New Roman"/>
          <w:noProof/>
          <w:sz w:val="24"/>
          <w:szCs w:val="24"/>
          <w:lang w:eastAsia="fr-FR" w:bidi="ar-SA"/>
        </w:rPr>
      </w:pPr>
      <w:r w:rsidRPr="008D0251">
        <w:rPr>
          <w:b/>
          <w:bCs/>
          <w:sz w:val="24"/>
          <w:szCs w:val="24"/>
        </w:rPr>
        <w:t>Les services extérieurs et les autres consommations</w:t>
      </w:r>
      <w:r w:rsidR="0048746F">
        <w:rPr>
          <w:b/>
          <w:bCs/>
          <w:sz w:val="24"/>
          <w:szCs w:val="24"/>
        </w:rPr>
        <w:t> </w:t>
      </w:r>
      <w:r w:rsidR="0048746F">
        <w:rPr>
          <w:sz w:val="24"/>
          <w:szCs w:val="24"/>
        </w:rPr>
        <w:t xml:space="preserve">: </w:t>
      </w:r>
      <w:r w:rsidR="0048746F" w:rsidRPr="0026486D">
        <w:rPr>
          <w:rFonts w:ascii="Times New Roman" w:eastAsiaTheme="minorHAnsi" w:hAnsi="Times New Roman" w:cs="Times New Roman"/>
          <w:noProof/>
          <w:sz w:val="24"/>
          <w:szCs w:val="24"/>
          <w:lang w:eastAsia="fr-FR" w:bidi="ar-SA"/>
        </w:rPr>
        <w:t>Les services extérieurs et les autres consommations vont</w:t>
      </w:r>
      <w:r w:rsidR="00D52803" w:rsidRPr="0026486D">
        <w:rPr>
          <w:rFonts w:ascii="Times New Roman" w:eastAsiaTheme="minorHAnsi" w:hAnsi="Times New Roman" w:cs="Times New Roman"/>
          <w:noProof/>
          <w:sz w:val="24"/>
          <w:szCs w:val="24"/>
          <w:lang w:eastAsia="fr-FR" w:bidi="ar-SA"/>
        </w:rPr>
        <w:t xml:space="preserve"> </w:t>
      </w:r>
      <w:r w:rsidR="0048746F" w:rsidRPr="0026486D">
        <w:rPr>
          <w:rFonts w:ascii="Times New Roman" w:eastAsiaTheme="minorHAnsi" w:hAnsi="Times New Roman" w:cs="Times New Roman"/>
          <w:noProof/>
          <w:sz w:val="24"/>
          <w:szCs w:val="24"/>
          <w:lang w:eastAsia="fr-FR" w:bidi="ar-SA"/>
        </w:rPr>
        <w:t xml:space="preserve">évoluer annuellement de </w:t>
      </w:r>
      <w:r w:rsidR="00977453" w:rsidRPr="0026486D">
        <w:rPr>
          <w:rFonts w:ascii="Times New Roman" w:eastAsiaTheme="minorHAnsi" w:hAnsi="Times New Roman" w:cs="Times New Roman"/>
          <w:noProof/>
          <w:sz w:val="24"/>
          <w:szCs w:val="24"/>
          <w:lang w:eastAsia="fr-FR" w:bidi="ar-SA"/>
        </w:rPr>
        <w:t>4</w:t>
      </w:r>
      <w:r w:rsidR="0048746F" w:rsidRPr="0026486D">
        <w:rPr>
          <w:rFonts w:ascii="Times New Roman" w:eastAsiaTheme="minorHAnsi" w:hAnsi="Times New Roman" w:cs="Times New Roman"/>
          <w:noProof/>
          <w:sz w:val="24"/>
          <w:szCs w:val="24"/>
          <w:lang w:eastAsia="fr-FR" w:bidi="ar-SA"/>
        </w:rPr>
        <w:t>%, avec une augmentation des services de 2% annuellement et une diminution des frais divers de 21% annuellement.</w:t>
      </w:r>
    </w:p>
    <w:p w:rsidR="005D474F" w:rsidRPr="0026486D" w:rsidRDefault="005D474F" w:rsidP="00D52803">
      <w:pPr>
        <w:pStyle w:val="Paragraphedeliste"/>
        <w:numPr>
          <w:ilvl w:val="0"/>
          <w:numId w:val="9"/>
        </w:numPr>
        <w:spacing w:after="0" w:line="360" w:lineRule="auto"/>
        <w:ind w:left="426"/>
        <w:jc w:val="both"/>
        <w:rPr>
          <w:rFonts w:ascii="Times New Roman" w:eastAsiaTheme="minorHAnsi" w:hAnsi="Times New Roman" w:cs="Times New Roman"/>
          <w:noProof/>
          <w:sz w:val="24"/>
          <w:szCs w:val="24"/>
          <w:lang w:eastAsia="fr-FR" w:bidi="ar-SA"/>
        </w:rPr>
      </w:pPr>
      <w:r w:rsidRPr="00983E68">
        <w:rPr>
          <w:b/>
          <w:bCs/>
          <w:sz w:val="24"/>
          <w:szCs w:val="24"/>
        </w:rPr>
        <w:t xml:space="preserve">Les charges de personnel </w:t>
      </w:r>
      <w:r w:rsidR="002E11C5" w:rsidRPr="0026486D">
        <w:rPr>
          <w:rFonts w:ascii="Times New Roman" w:eastAsiaTheme="minorHAnsi" w:hAnsi="Times New Roman" w:cs="Times New Roman"/>
          <w:noProof/>
          <w:sz w:val="24"/>
          <w:szCs w:val="24"/>
          <w:lang w:eastAsia="fr-FR" w:bidi="ar-SA"/>
        </w:rPr>
        <w:t>vont évoluer de 8</w:t>
      </w:r>
      <w:r w:rsidRPr="0026486D">
        <w:rPr>
          <w:rFonts w:ascii="Times New Roman" w:eastAsiaTheme="minorHAnsi" w:hAnsi="Times New Roman" w:cs="Times New Roman"/>
          <w:noProof/>
          <w:sz w:val="24"/>
          <w:szCs w:val="24"/>
          <w:lang w:eastAsia="fr-FR" w:bidi="ar-SA"/>
        </w:rPr>
        <w:t xml:space="preserve"> % </w:t>
      </w:r>
      <w:r w:rsidR="002E11C5" w:rsidRPr="0026486D">
        <w:rPr>
          <w:rFonts w:ascii="Times New Roman" w:eastAsiaTheme="minorHAnsi" w:hAnsi="Times New Roman" w:cs="Times New Roman"/>
          <w:noProof/>
          <w:sz w:val="24"/>
          <w:szCs w:val="24"/>
          <w:lang w:eastAsia="fr-FR" w:bidi="ar-SA"/>
        </w:rPr>
        <w:t xml:space="preserve">annuellement </w:t>
      </w:r>
      <w:r w:rsidRPr="0026486D">
        <w:rPr>
          <w:rFonts w:ascii="Times New Roman" w:eastAsiaTheme="minorHAnsi" w:hAnsi="Times New Roman" w:cs="Times New Roman"/>
          <w:noProof/>
          <w:sz w:val="24"/>
          <w:szCs w:val="24"/>
          <w:lang w:eastAsia="fr-FR" w:bidi="ar-SA"/>
        </w:rPr>
        <w:t xml:space="preserve">compte tenu de l’augmentation </w:t>
      </w:r>
      <w:r w:rsidR="002E11C5" w:rsidRPr="0026486D">
        <w:rPr>
          <w:rFonts w:ascii="Times New Roman" w:eastAsiaTheme="minorHAnsi" w:hAnsi="Times New Roman" w:cs="Times New Roman"/>
          <w:noProof/>
          <w:sz w:val="24"/>
          <w:szCs w:val="24"/>
          <w:lang w:eastAsia="fr-FR" w:bidi="ar-SA"/>
        </w:rPr>
        <w:t xml:space="preserve">de l’effectif </w:t>
      </w:r>
      <w:r w:rsidR="00D52803" w:rsidRPr="0026486D">
        <w:rPr>
          <w:rFonts w:ascii="Times New Roman" w:eastAsiaTheme="minorHAnsi" w:hAnsi="Times New Roman" w:cs="Times New Roman"/>
          <w:noProof/>
          <w:sz w:val="24"/>
          <w:szCs w:val="24"/>
          <w:lang w:eastAsia="fr-FR" w:bidi="ar-SA"/>
        </w:rPr>
        <w:t>comme suit :</w:t>
      </w:r>
    </w:p>
    <w:p w:rsidR="00D52803" w:rsidRDefault="00D52803" w:rsidP="00D52803">
      <w:pPr>
        <w:pStyle w:val="Paragraphedeliste"/>
        <w:spacing w:after="0" w:line="360" w:lineRule="auto"/>
        <w:ind w:left="426"/>
        <w:jc w:val="both"/>
        <w:rPr>
          <w:b/>
          <w:bCs/>
          <w:sz w:val="24"/>
          <w:szCs w:val="24"/>
        </w:rPr>
      </w:pPr>
    </w:p>
    <w:tbl>
      <w:tblPr>
        <w:tblStyle w:val="Listemoyenne1-Accent2"/>
        <w:tblW w:w="8443" w:type="dxa"/>
        <w:tblInd w:w="534" w:type="dxa"/>
        <w:tblLook w:val="04A0"/>
      </w:tblPr>
      <w:tblGrid>
        <w:gridCol w:w="1243"/>
        <w:gridCol w:w="1200"/>
        <w:gridCol w:w="1200"/>
        <w:gridCol w:w="1200"/>
        <w:gridCol w:w="1200"/>
        <w:gridCol w:w="1200"/>
        <w:gridCol w:w="1200"/>
      </w:tblGrid>
      <w:tr w:rsidR="00D52803" w:rsidRPr="00D52803" w:rsidTr="00FF6AD2">
        <w:trPr>
          <w:cnfStyle w:val="100000000000"/>
          <w:trHeight w:val="315"/>
        </w:trPr>
        <w:tc>
          <w:tcPr>
            <w:cnfStyle w:val="001000000000"/>
            <w:tcW w:w="1243" w:type="dxa"/>
            <w:noWrap/>
            <w:hideMark/>
          </w:tcPr>
          <w:p w:rsidR="00D52803" w:rsidRPr="00D52803" w:rsidRDefault="00D52803" w:rsidP="00D52803">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 </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2 012</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2 013</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2 014</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2 015</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2 016</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2 017</w:t>
            </w:r>
          </w:p>
        </w:tc>
      </w:tr>
      <w:tr w:rsidR="00D52803" w:rsidRPr="00D52803" w:rsidTr="00FF6AD2">
        <w:trPr>
          <w:cnfStyle w:val="000000100000"/>
          <w:trHeight w:val="534"/>
        </w:trPr>
        <w:tc>
          <w:tcPr>
            <w:cnfStyle w:val="001000000000"/>
            <w:tcW w:w="1243" w:type="dxa"/>
            <w:noWrap/>
            <w:vAlign w:val="center"/>
            <w:hideMark/>
          </w:tcPr>
          <w:p w:rsidR="00D52803" w:rsidRPr="00D52803" w:rsidRDefault="00D52803" w:rsidP="00FF6AD2">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Cadres</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735</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826</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943</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1 002</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1046</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1080</w:t>
            </w:r>
          </w:p>
        </w:tc>
      </w:tr>
      <w:tr w:rsidR="00D52803" w:rsidRPr="00D52803" w:rsidTr="00FF6AD2">
        <w:trPr>
          <w:trHeight w:val="503"/>
        </w:trPr>
        <w:tc>
          <w:tcPr>
            <w:cnfStyle w:val="001000000000"/>
            <w:tcW w:w="1243" w:type="dxa"/>
            <w:noWrap/>
            <w:vAlign w:val="center"/>
            <w:hideMark/>
          </w:tcPr>
          <w:p w:rsidR="00D52803" w:rsidRPr="00D52803" w:rsidRDefault="00D52803" w:rsidP="00FF6AD2">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Maîtrise</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1708</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1743</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1 867</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1 914</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2006</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2139</w:t>
            </w:r>
          </w:p>
        </w:tc>
      </w:tr>
      <w:tr w:rsidR="00D52803" w:rsidRPr="00D52803" w:rsidTr="00FF6AD2">
        <w:trPr>
          <w:cnfStyle w:val="000000100000"/>
          <w:trHeight w:val="464"/>
        </w:trPr>
        <w:tc>
          <w:tcPr>
            <w:cnfStyle w:val="001000000000"/>
            <w:tcW w:w="1243" w:type="dxa"/>
            <w:noWrap/>
            <w:vAlign w:val="center"/>
            <w:hideMark/>
          </w:tcPr>
          <w:p w:rsidR="00D52803" w:rsidRPr="00D52803" w:rsidRDefault="00D52803" w:rsidP="00FF6AD2">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Exécution</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775</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848</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873</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893</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895</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893</w:t>
            </w:r>
          </w:p>
        </w:tc>
      </w:tr>
    </w:tbl>
    <w:p w:rsidR="00D52803" w:rsidRDefault="00D52803" w:rsidP="00D52803">
      <w:pPr>
        <w:pStyle w:val="Paragraphedeliste"/>
        <w:spacing w:after="0" w:line="360" w:lineRule="auto"/>
        <w:ind w:left="426"/>
        <w:jc w:val="both"/>
        <w:rPr>
          <w:sz w:val="24"/>
          <w:szCs w:val="24"/>
        </w:rPr>
      </w:pPr>
    </w:p>
    <w:p w:rsidR="005D474F" w:rsidRDefault="005D474F" w:rsidP="006F23C0">
      <w:pPr>
        <w:pStyle w:val="Paragraphedeliste"/>
        <w:spacing w:after="0" w:line="360" w:lineRule="auto"/>
        <w:ind w:left="426"/>
        <w:jc w:val="both"/>
        <w:rPr>
          <w:sz w:val="24"/>
          <w:szCs w:val="24"/>
        </w:rPr>
      </w:pPr>
    </w:p>
    <w:p w:rsidR="005D474F" w:rsidRPr="0026486D" w:rsidRDefault="005D474F" w:rsidP="006F23C0">
      <w:pPr>
        <w:pStyle w:val="Paragraphedeliste"/>
        <w:numPr>
          <w:ilvl w:val="0"/>
          <w:numId w:val="9"/>
        </w:numPr>
        <w:spacing w:after="0" w:line="360" w:lineRule="auto"/>
        <w:ind w:left="426"/>
        <w:jc w:val="both"/>
        <w:rPr>
          <w:rFonts w:ascii="Times New Roman" w:eastAsiaTheme="minorHAnsi" w:hAnsi="Times New Roman" w:cs="Times New Roman"/>
          <w:noProof/>
          <w:sz w:val="24"/>
          <w:szCs w:val="24"/>
          <w:lang w:eastAsia="fr-FR" w:bidi="ar-SA"/>
        </w:rPr>
      </w:pPr>
      <w:r w:rsidRPr="00983E68">
        <w:rPr>
          <w:b/>
          <w:bCs/>
          <w:sz w:val="24"/>
          <w:szCs w:val="24"/>
        </w:rPr>
        <w:t xml:space="preserve">Impôts, taxes et versement assimilés : </w:t>
      </w:r>
      <w:r w:rsidRPr="0026486D">
        <w:rPr>
          <w:rFonts w:ascii="Times New Roman" w:eastAsiaTheme="minorHAnsi" w:hAnsi="Times New Roman" w:cs="Times New Roman"/>
          <w:noProof/>
          <w:sz w:val="24"/>
          <w:szCs w:val="24"/>
          <w:lang w:eastAsia="fr-FR" w:bidi="ar-SA"/>
        </w:rPr>
        <w:t xml:space="preserve">Ce post </w:t>
      </w:r>
      <w:r w:rsidR="002E11C5" w:rsidRPr="0026486D">
        <w:rPr>
          <w:rFonts w:ascii="Times New Roman" w:eastAsiaTheme="minorHAnsi" w:hAnsi="Times New Roman" w:cs="Times New Roman"/>
          <w:noProof/>
          <w:sz w:val="24"/>
          <w:szCs w:val="24"/>
          <w:lang w:eastAsia="fr-FR" w:bidi="ar-SA"/>
        </w:rPr>
        <w:t xml:space="preserve">va </w:t>
      </w:r>
      <w:r w:rsidRPr="0026486D">
        <w:rPr>
          <w:rFonts w:ascii="Times New Roman" w:eastAsiaTheme="minorHAnsi" w:hAnsi="Times New Roman" w:cs="Times New Roman"/>
          <w:noProof/>
          <w:sz w:val="24"/>
          <w:szCs w:val="24"/>
          <w:lang w:eastAsia="fr-FR" w:bidi="ar-SA"/>
        </w:rPr>
        <w:t>enregistr</w:t>
      </w:r>
      <w:r w:rsidR="002E11C5" w:rsidRPr="0026486D">
        <w:rPr>
          <w:rFonts w:ascii="Times New Roman" w:eastAsiaTheme="minorHAnsi" w:hAnsi="Times New Roman" w:cs="Times New Roman"/>
          <w:noProof/>
          <w:sz w:val="24"/>
          <w:szCs w:val="24"/>
          <w:lang w:eastAsia="fr-FR" w:bidi="ar-SA"/>
        </w:rPr>
        <w:t>er</w:t>
      </w:r>
      <w:r w:rsidRPr="0026486D">
        <w:rPr>
          <w:rFonts w:ascii="Times New Roman" w:eastAsiaTheme="minorHAnsi" w:hAnsi="Times New Roman" w:cs="Times New Roman"/>
          <w:noProof/>
          <w:sz w:val="24"/>
          <w:szCs w:val="24"/>
          <w:lang w:eastAsia="fr-FR" w:bidi="ar-SA"/>
        </w:rPr>
        <w:t xml:space="preserve"> une augmentation </w:t>
      </w:r>
      <w:r w:rsidR="002E11C5" w:rsidRPr="0026486D">
        <w:rPr>
          <w:rFonts w:ascii="Times New Roman" w:eastAsiaTheme="minorHAnsi" w:hAnsi="Times New Roman" w:cs="Times New Roman"/>
          <w:noProof/>
          <w:sz w:val="24"/>
          <w:szCs w:val="24"/>
          <w:lang w:eastAsia="fr-FR" w:bidi="ar-SA"/>
        </w:rPr>
        <w:t>proportionnelle à l’évolution du chiffre d’affaires.</w:t>
      </w:r>
    </w:p>
    <w:p w:rsidR="006C7216" w:rsidRPr="0026486D" w:rsidRDefault="005D474F" w:rsidP="00FF6AD2">
      <w:pPr>
        <w:pStyle w:val="Paragraphedeliste"/>
        <w:numPr>
          <w:ilvl w:val="0"/>
          <w:numId w:val="9"/>
        </w:numPr>
        <w:spacing w:before="120" w:after="0" w:line="360" w:lineRule="auto"/>
        <w:ind w:left="426" w:hanging="426"/>
        <w:jc w:val="both"/>
        <w:rPr>
          <w:rFonts w:ascii="Times New Roman" w:eastAsiaTheme="minorHAnsi" w:hAnsi="Times New Roman" w:cs="Times New Roman"/>
          <w:noProof/>
          <w:sz w:val="24"/>
          <w:szCs w:val="24"/>
          <w:lang w:eastAsia="fr-FR" w:bidi="ar-SA"/>
        </w:rPr>
      </w:pPr>
      <w:r w:rsidRPr="00FF6AD2">
        <w:rPr>
          <w:b/>
          <w:bCs/>
          <w:sz w:val="24"/>
          <w:szCs w:val="24"/>
        </w:rPr>
        <w:t xml:space="preserve">Dotations aux amortissements, provisions et perte de valeurs : </w:t>
      </w:r>
      <w:r w:rsidRPr="0026486D">
        <w:rPr>
          <w:rFonts w:ascii="Times New Roman" w:eastAsiaTheme="minorHAnsi" w:hAnsi="Times New Roman" w:cs="Times New Roman"/>
          <w:noProof/>
          <w:sz w:val="24"/>
          <w:szCs w:val="24"/>
          <w:lang w:eastAsia="fr-FR" w:bidi="ar-SA"/>
        </w:rPr>
        <w:t xml:space="preserve">ce post </w:t>
      </w:r>
      <w:r w:rsidR="002E11C5" w:rsidRPr="0026486D">
        <w:rPr>
          <w:rFonts w:ascii="Times New Roman" w:eastAsiaTheme="minorHAnsi" w:hAnsi="Times New Roman" w:cs="Times New Roman"/>
          <w:noProof/>
          <w:sz w:val="24"/>
          <w:szCs w:val="24"/>
          <w:lang w:eastAsia="fr-FR" w:bidi="ar-SA"/>
        </w:rPr>
        <w:t xml:space="preserve">va </w:t>
      </w:r>
      <w:r w:rsidRPr="0026486D">
        <w:rPr>
          <w:rFonts w:ascii="Times New Roman" w:eastAsiaTheme="minorHAnsi" w:hAnsi="Times New Roman" w:cs="Times New Roman"/>
          <w:noProof/>
          <w:sz w:val="24"/>
          <w:szCs w:val="24"/>
          <w:lang w:eastAsia="fr-FR" w:bidi="ar-SA"/>
        </w:rPr>
        <w:t>enregistr</w:t>
      </w:r>
      <w:r w:rsidR="002E11C5" w:rsidRPr="0026486D">
        <w:rPr>
          <w:rFonts w:ascii="Times New Roman" w:eastAsiaTheme="minorHAnsi" w:hAnsi="Times New Roman" w:cs="Times New Roman"/>
          <w:noProof/>
          <w:sz w:val="24"/>
          <w:szCs w:val="24"/>
          <w:lang w:eastAsia="fr-FR" w:bidi="ar-SA"/>
        </w:rPr>
        <w:t>er</w:t>
      </w:r>
      <w:r w:rsidRPr="0026486D">
        <w:rPr>
          <w:rFonts w:ascii="Times New Roman" w:eastAsiaTheme="minorHAnsi" w:hAnsi="Times New Roman" w:cs="Times New Roman"/>
          <w:noProof/>
          <w:sz w:val="24"/>
          <w:szCs w:val="24"/>
          <w:lang w:eastAsia="fr-FR" w:bidi="ar-SA"/>
        </w:rPr>
        <w:t xml:space="preserve"> </w:t>
      </w:r>
      <w:r w:rsidR="002E11C5" w:rsidRPr="0026486D">
        <w:rPr>
          <w:rFonts w:ascii="Times New Roman" w:eastAsiaTheme="minorHAnsi" w:hAnsi="Times New Roman" w:cs="Times New Roman"/>
          <w:noProof/>
          <w:sz w:val="24"/>
          <w:szCs w:val="24"/>
          <w:lang w:eastAsia="fr-FR" w:bidi="ar-SA"/>
        </w:rPr>
        <w:t>une évolution de 4</w:t>
      </w:r>
      <w:r w:rsidRPr="0026486D">
        <w:rPr>
          <w:rFonts w:ascii="Times New Roman" w:eastAsiaTheme="minorHAnsi" w:hAnsi="Times New Roman" w:cs="Times New Roman"/>
          <w:noProof/>
          <w:sz w:val="24"/>
          <w:szCs w:val="24"/>
          <w:lang w:eastAsia="fr-FR" w:bidi="ar-SA"/>
        </w:rPr>
        <w:t xml:space="preserve"> %</w:t>
      </w:r>
      <w:r w:rsidR="002E11C5" w:rsidRPr="0026486D">
        <w:rPr>
          <w:rFonts w:ascii="Times New Roman" w:eastAsiaTheme="minorHAnsi" w:hAnsi="Times New Roman" w:cs="Times New Roman"/>
          <w:noProof/>
          <w:sz w:val="24"/>
          <w:szCs w:val="24"/>
          <w:lang w:eastAsia="fr-FR" w:bidi="ar-SA"/>
        </w:rPr>
        <w:t xml:space="preserve"> annuellement</w:t>
      </w:r>
      <w:r w:rsidR="00D52803" w:rsidRPr="0026486D">
        <w:rPr>
          <w:rFonts w:ascii="Times New Roman" w:eastAsiaTheme="minorHAnsi" w:hAnsi="Times New Roman" w:cs="Times New Roman"/>
          <w:noProof/>
          <w:sz w:val="24"/>
          <w:szCs w:val="24"/>
          <w:lang w:eastAsia="fr-FR" w:bidi="ar-SA"/>
        </w:rPr>
        <w:t xml:space="preserve"> </w:t>
      </w:r>
      <w:r w:rsidR="003C2E2B" w:rsidRPr="0026486D">
        <w:rPr>
          <w:rFonts w:ascii="Times New Roman" w:eastAsiaTheme="minorHAnsi" w:hAnsi="Times New Roman" w:cs="Times New Roman"/>
          <w:noProof/>
          <w:sz w:val="24"/>
          <w:szCs w:val="24"/>
          <w:lang w:eastAsia="fr-FR" w:bidi="ar-SA"/>
        </w:rPr>
        <w:t>(TE</w:t>
      </w:r>
      <w:r w:rsidR="00D52803" w:rsidRPr="0026486D">
        <w:rPr>
          <w:rFonts w:ascii="Times New Roman" w:eastAsiaTheme="minorHAnsi" w:hAnsi="Times New Roman" w:cs="Times New Roman"/>
          <w:noProof/>
          <w:sz w:val="24"/>
          <w:szCs w:val="24"/>
          <w:lang w:eastAsia="fr-FR" w:bidi="ar-SA"/>
        </w:rPr>
        <w:t xml:space="preserve"> 2013/2012).</w:t>
      </w:r>
    </w:p>
    <w:p w:rsidR="006C7216" w:rsidRDefault="006C7216" w:rsidP="006F23C0">
      <w:pPr>
        <w:jc w:val="both"/>
      </w:pPr>
    </w:p>
    <w:p w:rsidR="006C7216" w:rsidRDefault="006C7216" w:rsidP="006F23C0">
      <w:pPr>
        <w:jc w:val="both"/>
      </w:pPr>
    </w:p>
    <w:p w:rsidR="006C7216" w:rsidRDefault="006C7216" w:rsidP="006F23C0">
      <w:pPr>
        <w:jc w:val="both"/>
      </w:pPr>
    </w:p>
    <w:p w:rsidR="006C7216" w:rsidRDefault="006C7216" w:rsidP="006F23C0">
      <w:pPr>
        <w:jc w:val="both"/>
      </w:pPr>
    </w:p>
    <w:p w:rsidR="006C7216" w:rsidRDefault="006C7216" w:rsidP="006F23C0">
      <w:pPr>
        <w:jc w:val="both"/>
      </w:pPr>
    </w:p>
    <w:p w:rsidR="008F7CE3" w:rsidRDefault="008F7CE3" w:rsidP="006F23C0">
      <w:pPr>
        <w:jc w:val="both"/>
        <w:sectPr w:rsidR="008F7CE3" w:rsidSect="006F23C0">
          <w:pgSz w:w="11906" w:h="16838"/>
          <w:pgMar w:top="1418" w:right="1418" w:bottom="1418" w:left="1418" w:header="709" w:footer="709" w:gutter="0"/>
          <w:cols w:space="708"/>
          <w:docGrid w:linePitch="360"/>
        </w:sectPr>
      </w:pPr>
    </w:p>
    <w:p w:rsidR="006C7216" w:rsidRDefault="008F7CE3" w:rsidP="006F23C0">
      <w:pPr>
        <w:jc w:val="both"/>
      </w:pPr>
      <w:r w:rsidRPr="008F7CE3">
        <w:rPr>
          <w:noProof/>
          <w:lang w:eastAsia="fr-FR"/>
        </w:rPr>
        <w:lastRenderedPageBreak/>
        <w:drawing>
          <wp:inline distT="0" distB="0" distL="0" distR="0">
            <wp:extent cx="8625220" cy="647839"/>
            <wp:effectExtent l="19050" t="0" r="4430" b="0"/>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8623370" cy="647700"/>
                    </a:xfrm>
                    <a:prstGeom prst="rect">
                      <a:avLst/>
                    </a:prstGeom>
                    <a:noFill/>
                    <a:ln w="9525">
                      <a:noFill/>
                      <a:miter lim="800000"/>
                      <a:headEnd/>
                      <a:tailEnd/>
                    </a:ln>
                  </pic:spPr>
                </pic:pic>
              </a:graphicData>
            </a:graphic>
          </wp:inline>
        </w:drawing>
      </w:r>
    </w:p>
    <w:tbl>
      <w:tblPr>
        <w:tblW w:w="14857" w:type="dxa"/>
        <w:tblInd w:w="70" w:type="dxa"/>
        <w:tblCellMar>
          <w:left w:w="70" w:type="dxa"/>
          <w:right w:w="70" w:type="dxa"/>
        </w:tblCellMar>
        <w:tblLook w:val="04A0"/>
      </w:tblPr>
      <w:tblGrid>
        <w:gridCol w:w="5812"/>
        <w:gridCol w:w="362"/>
        <w:gridCol w:w="1197"/>
        <w:gridCol w:w="792"/>
        <w:gridCol w:w="626"/>
        <w:gridCol w:w="637"/>
        <w:gridCol w:w="865"/>
        <w:gridCol w:w="113"/>
        <w:gridCol w:w="1546"/>
        <w:gridCol w:w="1601"/>
        <w:gridCol w:w="1306"/>
      </w:tblGrid>
      <w:tr w:rsidR="006C7216" w:rsidRPr="00863888" w:rsidTr="00863888">
        <w:trPr>
          <w:trHeight w:val="375"/>
        </w:trPr>
        <w:tc>
          <w:tcPr>
            <w:tcW w:w="14857" w:type="dxa"/>
            <w:gridSpan w:val="11"/>
            <w:tcBorders>
              <w:top w:val="nil"/>
              <w:left w:val="nil"/>
              <w:bottom w:val="nil"/>
              <w:right w:val="nil"/>
            </w:tcBorders>
            <w:shd w:val="clear" w:color="auto" w:fill="auto"/>
            <w:noWrap/>
            <w:vAlign w:val="center"/>
            <w:hideMark/>
          </w:tcPr>
          <w:p w:rsidR="006C7216" w:rsidRPr="00863888" w:rsidRDefault="006C7216" w:rsidP="008F7CE3">
            <w:pPr>
              <w:spacing w:after="0" w:line="240" w:lineRule="auto"/>
              <w:jc w:val="center"/>
              <w:rPr>
                <w:rFonts w:ascii="Times New Roman" w:eastAsia="Times New Roman" w:hAnsi="Times New Roman" w:cs="Times New Roman"/>
                <w:b/>
                <w:bCs/>
                <w:color w:val="000000"/>
                <w:sz w:val="24"/>
                <w:szCs w:val="24"/>
                <w:u w:val="single"/>
                <w:lang w:eastAsia="fr-FR"/>
              </w:rPr>
            </w:pPr>
            <w:r w:rsidRPr="00863888">
              <w:rPr>
                <w:rFonts w:ascii="Times New Roman" w:eastAsia="Times New Roman" w:hAnsi="Times New Roman" w:cs="Times New Roman"/>
                <w:b/>
                <w:bCs/>
                <w:color w:val="000000"/>
                <w:sz w:val="24"/>
                <w:szCs w:val="24"/>
                <w:u w:val="single"/>
                <w:lang w:eastAsia="fr-FR"/>
              </w:rPr>
              <w:t>COMPTES DE RESULTAT 2012/2017</w:t>
            </w:r>
          </w:p>
        </w:tc>
      </w:tr>
      <w:tr w:rsidR="006C7216" w:rsidRPr="00863888" w:rsidTr="00863888">
        <w:trPr>
          <w:trHeight w:val="315"/>
        </w:trPr>
        <w:tc>
          <w:tcPr>
            <w:tcW w:w="5812" w:type="dxa"/>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362" w:type="dxa"/>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1989"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1263"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978"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1546" w:type="dxa"/>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2907"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r>
      <w:tr w:rsidR="006C7216" w:rsidRPr="00863888" w:rsidTr="00863888">
        <w:trPr>
          <w:trHeight w:val="315"/>
        </w:trPr>
        <w:tc>
          <w:tcPr>
            <w:tcW w:w="5812" w:type="dxa"/>
            <w:vMerge w:val="restart"/>
            <w:tcBorders>
              <w:top w:val="single" w:sz="8" w:space="0" w:color="auto"/>
              <w:left w:val="single" w:sz="8" w:space="0" w:color="auto"/>
              <w:bottom w:val="single" w:sz="4" w:space="0" w:color="000000"/>
              <w:right w:val="nil"/>
            </w:tcBorders>
            <w:shd w:val="clear" w:color="auto" w:fill="31849B" w:themeFill="accent5" w:themeFillShade="BF"/>
            <w:noWrap/>
            <w:vAlign w:val="center"/>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LIBELLE</w:t>
            </w:r>
          </w:p>
        </w:tc>
        <w:tc>
          <w:tcPr>
            <w:tcW w:w="9045" w:type="dxa"/>
            <w:gridSpan w:val="10"/>
            <w:tcBorders>
              <w:top w:val="nil"/>
              <w:left w:val="nil"/>
              <w:bottom w:val="single" w:sz="8" w:space="0" w:color="auto"/>
              <w:right w:val="nil"/>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SDA</w:t>
            </w:r>
          </w:p>
        </w:tc>
      </w:tr>
      <w:tr w:rsidR="00863888" w:rsidRPr="00863888" w:rsidTr="00863888">
        <w:trPr>
          <w:trHeight w:val="300"/>
        </w:trPr>
        <w:tc>
          <w:tcPr>
            <w:tcW w:w="5812" w:type="dxa"/>
            <w:vMerge/>
            <w:tcBorders>
              <w:top w:val="single" w:sz="8" w:space="0" w:color="auto"/>
              <w:left w:val="single" w:sz="8" w:space="0" w:color="auto"/>
              <w:bottom w:val="single" w:sz="4" w:space="0" w:color="000000"/>
              <w:right w:val="nil"/>
            </w:tcBorders>
            <w:shd w:val="clear" w:color="auto" w:fill="31849B" w:themeFill="accent5" w:themeFillShade="BF"/>
            <w:vAlign w:val="center"/>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p>
        </w:tc>
        <w:tc>
          <w:tcPr>
            <w:tcW w:w="1559" w:type="dxa"/>
            <w:gridSpan w:val="2"/>
            <w:tcBorders>
              <w:top w:val="nil"/>
              <w:left w:val="single" w:sz="8" w:space="0" w:color="auto"/>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2 012</w:t>
            </w:r>
          </w:p>
        </w:tc>
        <w:tc>
          <w:tcPr>
            <w:tcW w:w="1418" w:type="dxa"/>
            <w:gridSpan w:val="2"/>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2 013</w:t>
            </w:r>
          </w:p>
        </w:tc>
        <w:tc>
          <w:tcPr>
            <w:tcW w:w="1502" w:type="dxa"/>
            <w:gridSpan w:val="2"/>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2 014</w:t>
            </w:r>
          </w:p>
        </w:tc>
        <w:tc>
          <w:tcPr>
            <w:tcW w:w="1659" w:type="dxa"/>
            <w:gridSpan w:val="2"/>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2 015</w:t>
            </w:r>
          </w:p>
        </w:tc>
        <w:tc>
          <w:tcPr>
            <w:tcW w:w="1601" w:type="dxa"/>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2 016</w:t>
            </w:r>
          </w:p>
        </w:tc>
        <w:tc>
          <w:tcPr>
            <w:tcW w:w="1306" w:type="dxa"/>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2 017</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2"/>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Ventes et produits annexes </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26 575</w:t>
            </w:r>
          </w:p>
        </w:tc>
        <w:tc>
          <w:tcPr>
            <w:tcW w:w="1418" w:type="dxa"/>
            <w:gridSpan w:val="2"/>
            <w:tcBorders>
              <w:top w:val="single" w:sz="4" w:space="0" w:color="auto"/>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28 154</w:t>
            </w:r>
          </w:p>
        </w:tc>
        <w:tc>
          <w:tcPr>
            <w:tcW w:w="1502" w:type="dxa"/>
            <w:gridSpan w:val="2"/>
            <w:tcBorders>
              <w:top w:val="single" w:sz="4" w:space="0" w:color="auto"/>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29 864</w:t>
            </w:r>
          </w:p>
        </w:tc>
        <w:tc>
          <w:tcPr>
            <w:tcW w:w="1659" w:type="dxa"/>
            <w:gridSpan w:val="2"/>
            <w:tcBorders>
              <w:top w:val="single" w:sz="4" w:space="0" w:color="auto"/>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31 772</w:t>
            </w:r>
          </w:p>
        </w:tc>
        <w:tc>
          <w:tcPr>
            <w:tcW w:w="1601" w:type="dxa"/>
            <w:tcBorders>
              <w:top w:val="single" w:sz="4" w:space="0" w:color="auto"/>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33 696</w:t>
            </w:r>
          </w:p>
        </w:tc>
        <w:tc>
          <w:tcPr>
            <w:tcW w:w="1306" w:type="dxa"/>
            <w:tcBorders>
              <w:top w:val="single" w:sz="4" w:space="0" w:color="auto"/>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35 670</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Dont:               Electricité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21 722</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23 123</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24 556</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26 203</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27 855</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29 534</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Gaz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3 086</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3 158</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3 322</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3 464</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3 609</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3 769</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TPR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967</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1 015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1 065</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1 118</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1 174</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1 232</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Divers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858</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920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987</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1 058</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1 135</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Variation stocks produits finis et en cours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Production immobilisée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Subventions d'exploitation </w:t>
            </w:r>
          </w:p>
        </w:tc>
        <w:tc>
          <w:tcPr>
            <w:tcW w:w="1559" w:type="dxa"/>
            <w:gridSpan w:val="2"/>
            <w:tcBorders>
              <w:top w:val="nil"/>
              <w:left w:val="single" w:sz="4" w:space="0" w:color="auto"/>
              <w:bottom w:val="nil"/>
              <w:right w:val="single" w:sz="4" w:space="0" w:color="auto"/>
            </w:tcBorders>
            <w:shd w:val="clear" w:color="auto" w:fill="auto"/>
            <w:noWrap/>
            <w:vAlign w:val="bottom"/>
            <w:hideMark/>
          </w:tcPr>
          <w:p w:rsidR="0026486D" w:rsidRDefault="0026486D">
            <w:pPr>
              <w:jc w:val="center"/>
              <w:rPr>
                <w:rFonts w:ascii="Calibri" w:hAnsi="Calibri"/>
                <w:color w:val="FF0000"/>
                <w:sz w:val="20"/>
                <w:szCs w:val="20"/>
              </w:rPr>
            </w:pPr>
            <w:r>
              <w:rPr>
                <w:rFonts w:ascii="Calibri" w:hAnsi="Calibri"/>
                <w:color w:val="FF0000"/>
                <w:sz w:val="20"/>
                <w:szCs w:val="20"/>
              </w:rPr>
              <w:t> </w:t>
            </w:r>
          </w:p>
        </w:tc>
        <w:tc>
          <w:tcPr>
            <w:tcW w:w="1418"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 </w:t>
            </w:r>
          </w:p>
        </w:tc>
        <w:tc>
          <w:tcPr>
            <w:tcW w:w="1502" w:type="dxa"/>
            <w:gridSpan w:val="2"/>
            <w:tcBorders>
              <w:top w:val="nil"/>
              <w:left w:val="nil"/>
              <w:bottom w:val="nil"/>
              <w:right w:val="single" w:sz="4" w:space="0" w:color="auto"/>
            </w:tcBorders>
            <w:shd w:val="clear" w:color="auto" w:fill="auto"/>
            <w:noWrap/>
            <w:vAlign w:val="bottom"/>
            <w:hideMark/>
          </w:tcPr>
          <w:p w:rsidR="0026486D" w:rsidRDefault="0026486D">
            <w:pPr>
              <w:rPr>
                <w:rFonts w:ascii="Calibri" w:hAnsi="Calibri"/>
                <w:color w:val="000000"/>
              </w:rPr>
            </w:pPr>
            <w:r>
              <w:rPr>
                <w:rFonts w:ascii="Calibri" w:hAnsi="Calibri"/>
                <w:color w:val="000000"/>
              </w:rPr>
              <w:t> </w:t>
            </w:r>
          </w:p>
        </w:tc>
        <w:tc>
          <w:tcPr>
            <w:tcW w:w="1659" w:type="dxa"/>
            <w:gridSpan w:val="2"/>
            <w:tcBorders>
              <w:top w:val="nil"/>
              <w:left w:val="nil"/>
              <w:bottom w:val="nil"/>
              <w:right w:val="single" w:sz="4" w:space="0" w:color="auto"/>
            </w:tcBorders>
            <w:shd w:val="clear" w:color="auto" w:fill="auto"/>
            <w:noWrap/>
            <w:vAlign w:val="bottom"/>
            <w:hideMark/>
          </w:tcPr>
          <w:p w:rsidR="0026486D" w:rsidRDefault="0026486D">
            <w:pPr>
              <w:rPr>
                <w:rFonts w:ascii="Calibri" w:hAnsi="Calibri"/>
                <w:color w:val="000000"/>
              </w:rPr>
            </w:pPr>
            <w:r>
              <w:rPr>
                <w:rFonts w:ascii="Calibri" w:hAnsi="Calibri"/>
                <w:color w:val="000000"/>
              </w:rPr>
              <w:t> </w:t>
            </w:r>
          </w:p>
        </w:tc>
        <w:tc>
          <w:tcPr>
            <w:tcW w:w="1601" w:type="dxa"/>
            <w:tcBorders>
              <w:top w:val="nil"/>
              <w:left w:val="nil"/>
              <w:bottom w:val="nil"/>
              <w:right w:val="single" w:sz="4" w:space="0" w:color="auto"/>
            </w:tcBorders>
            <w:shd w:val="clear" w:color="auto" w:fill="auto"/>
            <w:noWrap/>
            <w:vAlign w:val="bottom"/>
            <w:hideMark/>
          </w:tcPr>
          <w:p w:rsidR="0026486D" w:rsidRDefault="0026486D">
            <w:pPr>
              <w:rPr>
                <w:rFonts w:ascii="Calibri" w:hAnsi="Calibri"/>
                <w:color w:val="000000"/>
              </w:rPr>
            </w:pPr>
            <w:r>
              <w:rPr>
                <w:rFonts w:ascii="Calibri" w:hAnsi="Calibri"/>
                <w:color w:val="000000"/>
              </w:rPr>
              <w:t> </w:t>
            </w:r>
          </w:p>
        </w:tc>
        <w:tc>
          <w:tcPr>
            <w:tcW w:w="1306" w:type="dxa"/>
            <w:tcBorders>
              <w:top w:val="nil"/>
              <w:left w:val="nil"/>
              <w:bottom w:val="nil"/>
              <w:right w:val="single" w:sz="4" w:space="0" w:color="auto"/>
            </w:tcBorders>
            <w:shd w:val="clear" w:color="auto" w:fill="auto"/>
            <w:noWrap/>
            <w:vAlign w:val="bottom"/>
            <w:hideMark/>
          </w:tcPr>
          <w:p w:rsidR="0026486D" w:rsidRDefault="0026486D">
            <w:pPr>
              <w:rPr>
                <w:rFonts w:ascii="Calibri" w:hAnsi="Calibri"/>
                <w:color w:val="000000"/>
              </w:rPr>
            </w:pPr>
            <w:r>
              <w:rPr>
                <w:rFonts w:ascii="Calibri" w:hAnsi="Calibri"/>
                <w:color w:val="000000"/>
              </w:rPr>
              <w:t> </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I-PRODUCTION DE L'EXERCICE </w:t>
            </w:r>
          </w:p>
        </w:tc>
        <w:tc>
          <w:tcPr>
            <w:tcW w:w="15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26 575</w:t>
            </w:r>
          </w:p>
        </w:tc>
        <w:tc>
          <w:tcPr>
            <w:tcW w:w="1418" w:type="dxa"/>
            <w:gridSpan w:val="2"/>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28 154</w:t>
            </w:r>
          </w:p>
        </w:tc>
        <w:tc>
          <w:tcPr>
            <w:tcW w:w="1502" w:type="dxa"/>
            <w:gridSpan w:val="2"/>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29 864</w:t>
            </w:r>
          </w:p>
        </w:tc>
        <w:tc>
          <w:tcPr>
            <w:tcW w:w="1659" w:type="dxa"/>
            <w:gridSpan w:val="2"/>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31 772</w:t>
            </w:r>
          </w:p>
        </w:tc>
        <w:tc>
          <w:tcPr>
            <w:tcW w:w="1601" w:type="dxa"/>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33 696</w:t>
            </w:r>
          </w:p>
        </w:tc>
        <w:tc>
          <w:tcPr>
            <w:tcW w:w="1306" w:type="dxa"/>
            <w:tcBorders>
              <w:top w:val="single" w:sz="8" w:space="0" w:color="auto"/>
              <w:left w:val="nil"/>
              <w:bottom w:val="single" w:sz="8" w:space="0" w:color="auto"/>
              <w:right w:val="single" w:sz="8"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35 670</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2"/>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Achats consommés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-17 491</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-19 461</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-20 162</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-21 797</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-24 064</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-26 400</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Consommations mat et matériels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Achat gaz (DP+Clients HP+IPP)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-1 847</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-2 100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-2 237</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-2 278</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-2 401</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-2 448</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Achat d'élect à SPE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-6 960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-5 131</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-5 153</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-5 377</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-5 699</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-6 029</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Achat d'élect aux tiers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-8 284</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-11 830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-12 373</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-13 743</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-15 564</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-17 523</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lastRenderedPageBreak/>
              <w:t xml:space="preserve"> Régularisation inter SD+ONE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Services extérieurs et autres consommations </w:t>
            </w:r>
          </w:p>
        </w:tc>
        <w:tc>
          <w:tcPr>
            <w:tcW w:w="1559" w:type="dxa"/>
            <w:gridSpan w:val="2"/>
            <w:tcBorders>
              <w:top w:val="nil"/>
              <w:left w:val="single" w:sz="4" w:space="0" w:color="auto"/>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-7 858</w:t>
            </w:r>
          </w:p>
        </w:tc>
        <w:tc>
          <w:tcPr>
            <w:tcW w:w="1418"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-8 249</w:t>
            </w:r>
          </w:p>
        </w:tc>
        <w:tc>
          <w:tcPr>
            <w:tcW w:w="1502"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-8 329</w:t>
            </w:r>
          </w:p>
        </w:tc>
        <w:tc>
          <w:tcPr>
            <w:tcW w:w="1659"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-8 607</w:t>
            </w:r>
          </w:p>
        </w:tc>
        <w:tc>
          <w:tcPr>
            <w:tcW w:w="1601" w:type="dxa"/>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-8 993</w:t>
            </w:r>
          </w:p>
        </w:tc>
        <w:tc>
          <w:tcPr>
            <w:tcW w:w="1306" w:type="dxa"/>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-9 392</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II-CONSOMMATION DE L'EXERCICE </w:t>
            </w:r>
          </w:p>
        </w:tc>
        <w:tc>
          <w:tcPr>
            <w:tcW w:w="15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-25 349</w:t>
            </w:r>
          </w:p>
        </w:tc>
        <w:tc>
          <w:tcPr>
            <w:tcW w:w="1418"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-27 710</w:t>
            </w:r>
          </w:p>
        </w:tc>
        <w:tc>
          <w:tcPr>
            <w:tcW w:w="1502"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-28 491</w:t>
            </w:r>
          </w:p>
        </w:tc>
        <w:tc>
          <w:tcPr>
            <w:tcW w:w="16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-30 404</w:t>
            </w:r>
          </w:p>
        </w:tc>
        <w:tc>
          <w:tcPr>
            <w:tcW w:w="1601"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-33 056</w:t>
            </w:r>
          </w:p>
        </w:tc>
        <w:tc>
          <w:tcPr>
            <w:tcW w:w="1306"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-35 793</w:t>
            </w:r>
          </w:p>
        </w:tc>
      </w:tr>
      <w:tr w:rsidR="0026486D"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III-VALEUR AJOUTEE D'EXPLOITATION (I-II)</w:t>
            </w:r>
          </w:p>
        </w:tc>
        <w:tc>
          <w:tcPr>
            <w:tcW w:w="1559"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1 226</w:t>
            </w:r>
          </w:p>
        </w:tc>
        <w:tc>
          <w:tcPr>
            <w:tcW w:w="1418"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444</w:t>
            </w:r>
          </w:p>
        </w:tc>
        <w:tc>
          <w:tcPr>
            <w:tcW w:w="1502"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1 372</w:t>
            </w:r>
          </w:p>
        </w:tc>
        <w:tc>
          <w:tcPr>
            <w:tcW w:w="1659"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1 368</w:t>
            </w:r>
          </w:p>
        </w:tc>
        <w:tc>
          <w:tcPr>
            <w:tcW w:w="1601"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640</w:t>
            </w:r>
          </w:p>
        </w:tc>
        <w:tc>
          <w:tcPr>
            <w:tcW w:w="1306"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-122</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Charges de personnel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-3 358</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-3 711</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-4 190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-4 517</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-4 881</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-5 298</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Impôts, taxes et versements assimilés </w:t>
            </w:r>
          </w:p>
        </w:tc>
        <w:tc>
          <w:tcPr>
            <w:tcW w:w="1559" w:type="dxa"/>
            <w:gridSpan w:val="2"/>
            <w:tcBorders>
              <w:top w:val="nil"/>
              <w:left w:val="single" w:sz="4" w:space="0" w:color="auto"/>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-532</w:t>
            </w:r>
          </w:p>
        </w:tc>
        <w:tc>
          <w:tcPr>
            <w:tcW w:w="1418"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-563</w:t>
            </w:r>
          </w:p>
        </w:tc>
        <w:tc>
          <w:tcPr>
            <w:tcW w:w="1502"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-597</w:t>
            </w:r>
          </w:p>
        </w:tc>
        <w:tc>
          <w:tcPr>
            <w:tcW w:w="1659"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-635</w:t>
            </w:r>
          </w:p>
        </w:tc>
        <w:tc>
          <w:tcPr>
            <w:tcW w:w="1601" w:type="dxa"/>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-674</w:t>
            </w:r>
          </w:p>
        </w:tc>
        <w:tc>
          <w:tcPr>
            <w:tcW w:w="1306" w:type="dxa"/>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-713</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IV-EXCEDENT BRUT D'EXPLOITATION </w:t>
            </w:r>
          </w:p>
        </w:tc>
        <w:tc>
          <w:tcPr>
            <w:tcW w:w="15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-2 664</w:t>
            </w:r>
          </w:p>
        </w:tc>
        <w:tc>
          <w:tcPr>
            <w:tcW w:w="1418"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-3 830</w:t>
            </w:r>
          </w:p>
        </w:tc>
        <w:tc>
          <w:tcPr>
            <w:tcW w:w="1502"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-3 415</w:t>
            </w:r>
          </w:p>
        </w:tc>
        <w:tc>
          <w:tcPr>
            <w:tcW w:w="16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-3 784</w:t>
            </w:r>
          </w:p>
        </w:tc>
        <w:tc>
          <w:tcPr>
            <w:tcW w:w="1601"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-4 915</w:t>
            </w:r>
          </w:p>
        </w:tc>
        <w:tc>
          <w:tcPr>
            <w:tcW w:w="1306"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-6 134</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Autres produits opérationnels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1 050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1 320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1 659</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2 086</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2 623</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3 297</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Autres charges opérationnelles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-160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-165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-170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-175</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-181</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-187</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Dotations aux amortissements, provisions et pertes de valeurs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-3 800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-3 950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-4 106</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-4 268</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-4 436</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-4 612</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Reprise sur pertes de valeur et provisions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1 200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1 440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1 728</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2 074</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2 488</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V- RESULTAT OPERATIONNEL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-4 574</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-5 425</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-4 592</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-4 414</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-4 836</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-5 147</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Produits financiers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rPr>
            </w:pPr>
            <w:r>
              <w:rPr>
                <w:rFonts w:ascii="Calibri" w:hAnsi="Calibri"/>
                <w:color w:val="000000"/>
              </w:rPr>
              <w:t>15</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rPr>
            </w:pPr>
            <w:r>
              <w:rPr>
                <w:rFonts w:ascii="Calibri" w:hAnsi="Calibri"/>
                <w:color w:val="000000"/>
              </w:rPr>
              <w:t>20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rPr>
            </w:pPr>
            <w:r>
              <w:rPr>
                <w:rFonts w:ascii="Calibri" w:hAnsi="Calibri"/>
                <w:color w:val="000000"/>
              </w:rPr>
              <w:t>25</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rPr>
            </w:pPr>
            <w:r>
              <w:rPr>
                <w:rFonts w:ascii="Calibri" w:hAnsi="Calibri"/>
                <w:color w:val="000000"/>
              </w:rPr>
              <w:t>30</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Charges financières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-327</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-348</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-370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-394</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-419</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-446</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VI-RESULTAT FINANCIER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-322</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-338</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-355</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-374</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-394</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-416</w:t>
            </w:r>
          </w:p>
        </w:tc>
      </w:tr>
      <w:tr w:rsidR="0026486D"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bottom"/>
            <w:hideMark/>
          </w:tcPr>
          <w:p w:rsidR="0026486D" w:rsidRDefault="0026486D" w:rsidP="00863888">
            <w:pPr>
              <w:spacing w:after="0" w:line="240" w:lineRule="auto"/>
              <w:jc w:val="both"/>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 </w:t>
            </w:r>
            <w:r w:rsidRPr="00863888">
              <w:rPr>
                <w:rFonts w:ascii="Times New Roman" w:eastAsia="Times New Roman" w:hAnsi="Times New Roman" w:cs="Times New Roman"/>
                <w:b/>
                <w:bCs/>
                <w:color w:val="000000"/>
                <w:sz w:val="24"/>
                <w:szCs w:val="24"/>
                <w:lang w:eastAsia="fr-FR"/>
              </w:rPr>
              <w:t>VII-RESULTAT ORDINAIRE AVANT IMPOTS</w:t>
            </w:r>
          </w:p>
          <w:p w:rsidR="0026486D" w:rsidRPr="00863888" w:rsidRDefault="0026486D" w:rsidP="00863888">
            <w:pPr>
              <w:spacing w:after="0" w:line="240" w:lineRule="auto"/>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(V+VI)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-4 896</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-5 763</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-4 947</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-4 788</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-5 231</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-5 563</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Impôts exigibles sur résultats ordinaires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r>
      <w:tr w:rsidR="0026486D" w:rsidRPr="00863888" w:rsidTr="00977453">
        <w:trPr>
          <w:trHeight w:val="315"/>
        </w:trPr>
        <w:tc>
          <w:tcPr>
            <w:tcW w:w="5812" w:type="dxa"/>
            <w:tcBorders>
              <w:top w:val="nil"/>
              <w:left w:val="single" w:sz="8" w:space="0" w:color="auto"/>
              <w:bottom w:val="nil"/>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Impôts différés (Variations) sur résultats ordinaires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center"/>
            <w:hideMark/>
          </w:tcPr>
          <w:p w:rsidR="0026486D" w:rsidRPr="00863888" w:rsidRDefault="0026486D" w:rsidP="00863888">
            <w:pPr>
              <w:spacing w:after="0" w:line="240" w:lineRule="auto"/>
              <w:ind w:firstLineChars="100" w:firstLine="241"/>
              <w:jc w:val="center"/>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TOTAL DES PRODUITS DES ACTIVITES ORDINAIRES</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28 630</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30 684</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32 978</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35 606</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38 417</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41 486</w:t>
            </w:r>
          </w:p>
        </w:tc>
      </w:tr>
      <w:tr w:rsidR="0026486D"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center"/>
            <w:hideMark/>
          </w:tcPr>
          <w:p w:rsidR="0026486D" w:rsidRPr="00863888" w:rsidRDefault="0026486D" w:rsidP="00863888">
            <w:pPr>
              <w:spacing w:after="0" w:line="240" w:lineRule="auto"/>
              <w:ind w:firstLineChars="100" w:firstLine="241"/>
              <w:jc w:val="center"/>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lastRenderedPageBreak/>
              <w:t>TOTAL DES CHARGES DES ACTIVITES ORDINAIRES</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-33 526</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-36 447</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-37 925</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-40 394</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-43 648</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-47 049</w:t>
            </w:r>
          </w:p>
        </w:tc>
      </w:tr>
      <w:tr w:rsidR="0026486D"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center"/>
            <w:hideMark/>
          </w:tcPr>
          <w:p w:rsidR="0026486D" w:rsidRPr="00863888" w:rsidRDefault="0026486D" w:rsidP="00863888">
            <w:pPr>
              <w:spacing w:after="0" w:line="240" w:lineRule="auto"/>
              <w:ind w:firstLineChars="100" w:firstLine="241"/>
              <w:jc w:val="center"/>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VIII-RESULTAT NET DES ACTIVITES ORDINAIRES</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-4 896</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-5 763</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-4 947</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-4 788</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-5 231</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-5 563</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Eléments extraordinaires (produits) (à préciser)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Eléments extraordinaires (charges) (à préciser)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IX-RESULTAT EXTRAORDINAIRE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r>
      <w:tr w:rsidR="0026486D" w:rsidRPr="00863888" w:rsidTr="00977453">
        <w:trPr>
          <w:trHeight w:val="315"/>
        </w:trPr>
        <w:tc>
          <w:tcPr>
            <w:tcW w:w="5812" w:type="dxa"/>
            <w:tcBorders>
              <w:top w:val="nil"/>
              <w:left w:val="single" w:sz="8" w:space="0" w:color="auto"/>
              <w:bottom w:val="single" w:sz="8" w:space="0" w:color="auto"/>
              <w:right w:val="nil"/>
            </w:tcBorders>
            <w:shd w:val="clear" w:color="auto" w:fill="31849B" w:themeFill="accent5" w:themeFillShade="BF"/>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FFFFFF"/>
                <w:sz w:val="24"/>
                <w:szCs w:val="24"/>
                <w:lang w:eastAsia="fr-FR"/>
              </w:rPr>
            </w:pPr>
            <w:r w:rsidRPr="00863888">
              <w:rPr>
                <w:rFonts w:ascii="Times New Roman" w:eastAsia="Times New Roman" w:hAnsi="Times New Roman" w:cs="Times New Roman"/>
                <w:b/>
                <w:bCs/>
                <w:color w:val="FFFFFF"/>
                <w:sz w:val="24"/>
                <w:szCs w:val="24"/>
                <w:lang w:eastAsia="fr-FR"/>
              </w:rPr>
              <w:t xml:space="preserve"> X-RESULTAT NET DE L'EXERCICE </w:t>
            </w:r>
          </w:p>
        </w:tc>
        <w:tc>
          <w:tcPr>
            <w:tcW w:w="1559" w:type="dxa"/>
            <w:gridSpan w:val="2"/>
            <w:tcBorders>
              <w:top w:val="nil"/>
              <w:left w:val="single" w:sz="4" w:space="0" w:color="auto"/>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-4 896</w:t>
            </w:r>
          </w:p>
        </w:tc>
        <w:tc>
          <w:tcPr>
            <w:tcW w:w="1418" w:type="dxa"/>
            <w:gridSpan w:val="2"/>
            <w:tcBorders>
              <w:top w:val="nil"/>
              <w:left w:val="nil"/>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-5 763</w:t>
            </w:r>
          </w:p>
        </w:tc>
        <w:tc>
          <w:tcPr>
            <w:tcW w:w="1502" w:type="dxa"/>
            <w:gridSpan w:val="2"/>
            <w:tcBorders>
              <w:top w:val="nil"/>
              <w:left w:val="nil"/>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-4 947</w:t>
            </w:r>
          </w:p>
        </w:tc>
        <w:tc>
          <w:tcPr>
            <w:tcW w:w="1659" w:type="dxa"/>
            <w:gridSpan w:val="2"/>
            <w:tcBorders>
              <w:top w:val="nil"/>
              <w:left w:val="nil"/>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-4 788</w:t>
            </w:r>
          </w:p>
        </w:tc>
        <w:tc>
          <w:tcPr>
            <w:tcW w:w="1601" w:type="dxa"/>
            <w:tcBorders>
              <w:top w:val="nil"/>
              <w:left w:val="nil"/>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-5 231</w:t>
            </w:r>
          </w:p>
        </w:tc>
        <w:tc>
          <w:tcPr>
            <w:tcW w:w="1306" w:type="dxa"/>
            <w:tcBorders>
              <w:top w:val="nil"/>
              <w:left w:val="nil"/>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-5 563</w:t>
            </w:r>
          </w:p>
        </w:tc>
      </w:tr>
    </w:tbl>
    <w:p w:rsidR="006C7216" w:rsidRDefault="006C7216" w:rsidP="006F23C0">
      <w:pPr>
        <w:jc w:val="both"/>
      </w:pPr>
    </w:p>
    <w:p w:rsidR="00863888" w:rsidRDefault="00863888" w:rsidP="006F23C0">
      <w:pPr>
        <w:jc w:val="both"/>
      </w:pPr>
    </w:p>
    <w:p w:rsidR="00863888" w:rsidRDefault="001C77DA" w:rsidP="006F23C0">
      <w:pPr>
        <w:jc w:val="both"/>
      </w:pPr>
      <w:r w:rsidRPr="00863888">
        <w:rPr>
          <w:noProof/>
          <w:lang w:eastAsia="fr-FR"/>
        </w:rPr>
        <w:drawing>
          <wp:inline distT="0" distB="0" distL="0" distR="0">
            <wp:extent cx="8891270" cy="800637"/>
            <wp:effectExtent l="1905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891270" cy="800637"/>
                    </a:xfrm>
                    <a:prstGeom prst="rect">
                      <a:avLst/>
                    </a:prstGeom>
                    <a:noFill/>
                    <a:ln w="9525">
                      <a:noFill/>
                      <a:miter lim="800000"/>
                      <a:headEnd/>
                      <a:tailEnd/>
                    </a:ln>
                  </pic:spPr>
                </pic:pic>
              </a:graphicData>
            </a:graphic>
          </wp:inline>
        </w:drawing>
      </w:r>
    </w:p>
    <w:p w:rsidR="00863888" w:rsidRDefault="00863888" w:rsidP="006F23C0">
      <w:pPr>
        <w:jc w:val="both"/>
      </w:pPr>
    </w:p>
    <w:p w:rsidR="001C77DA" w:rsidRDefault="001C77DA" w:rsidP="006F23C0">
      <w:pPr>
        <w:jc w:val="both"/>
      </w:pPr>
    </w:p>
    <w:p w:rsidR="001C77DA" w:rsidRDefault="001C77DA" w:rsidP="006F23C0">
      <w:pPr>
        <w:jc w:val="both"/>
        <w:sectPr w:rsidR="001C77DA" w:rsidSect="008F7CE3">
          <w:pgSz w:w="16838" w:h="11906" w:orient="landscape"/>
          <w:pgMar w:top="567" w:right="1418" w:bottom="1418" w:left="1418" w:header="709" w:footer="709" w:gutter="0"/>
          <w:cols w:space="708"/>
          <w:docGrid w:linePitch="360"/>
        </w:sectPr>
      </w:pPr>
    </w:p>
    <w:p w:rsidR="008B18DC" w:rsidRPr="008B18DC" w:rsidRDefault="008B18DC" w:rsidP="00C37488">
      <w:pPr>
        <w:pStyle w:val="Paragraphedeliste"/>
        <w:tabs>
          <w:tab w:val="left" w:pos="8149"/>
        </w:tabs>
        <w:autoSpaceDE w:val="0"/>
        <w:autoSpaceDN w:val="0"/>
        <w:adjustRightInd w:val="0"/>
        <w:spacing w:after="0" w:line="360" w:lineRule="auto"/>
        <w:ind w:left="0"/>
        <w:jc w:val="center"/>
        <w:rPr>
          <w:rFonts w:ascii="Times New Roman" w:hAnsi="Times New Roman" w:cs="Times New Roman"/>
          <w:b/>
          <w:bCs/>
          <w:sz w:val="24"/>
          <w:szCs w:val="24"/>
        </w:rPr>
      </w:pPr>
      <w:r w:rsidRPr="008B18DC">
        <w:rPr>
          <w:rFonts w:ascii="Times New Roman" w:hAnsi="Times New Roman" w:cs="Times New Roman"/>
          <w:b/>
          <w:bCs/>
          <w:sz w:val="24"/>
          <w:szCs w:val="24"/>
        </w:rPr>
        <w:lastRenderedPageBreak/>
        <w:t>Plan d'investissements</w:t>
      </w:r>
    </w:p>
    <w:p w:rsidR="008B18DC" w:rsidRPr="008B18DC" w:rsidRDefault="008B18DC" w:rsidP="008B18DC">
      <w:pPr>
        <w:autoSpaceDE w:val="0"/>
        <w:autoSpaceDN w:val="0"/>
        <w:adjustRightInd w:val="0"/>
        <w:spacing w:after="0" w:line="360" w:lineRule="auto"/>
        <w:jc w:val="both"/>
        <w:rPr>
          <w:rFonts w:ascii="Times New Roman" w:hAnsi="Times New Roman" w:cs="Times New Roman"/>
          <w:sz w:val="24"/>
          <w:szCs w:val="24"/>
        </w:rPr>
      </w:pPr>
    </w:p>
    <w:p w:rsidR="00117A8D" w:rsidRDefault="00117A8D" w:rsidP="00117A8D">
      <w:pPr>
        <w:tabs>
          <w:tab w:val="left" w:pos="709"/>
        </w:tabs>
        <w:spacing w:after="0" w:line="360" w:lineRule="auto"/>
        <w:jc w:val="both"/>
        <w:rPr>
          <w:rFonts w:ascii="Times New Roman" w:hAnsi="Times New Roman" w:cs="Times New Roman"/>
          <w:sz w:val="24"/>
          <w:szCs w:val="24"/>
        </w:rPr>
      </w:pPr>
    </w:p>
    <w:p w:rsidR="009655EA" w:rsidRDefault="009655EA" w:rsidP="00117A8D">
      <w:pPr>
        <w:tabs>
          <w:tab w:val="left" w:pos="709"/>
        </w:tabs>
        <w:spacing w:after="0" w:line="360" w:lineRule="auto"/>
        <w:jc w:val="both"/>
        <w:rPr>
          <w:rFonts w:ascii="Times New Roman" w:hAnsi="Times New Roman" w:cs="Times New Roman"/>
          <w:sz w:val="24"/>
          <w:szCs w:val="24"/>
        </w:rPr>
      </w:pPr>
    </w:p>
    <w:p w:rsidR="009655EA" w:rsidRPr="009655EA" w:rsidRDefault="009655EA" w:rsidP="009655EA">
      <w:pPr>
        <w:autoSpaceDE w:val="0"/>
        <w:autoSpaceDN w:val="0"/>
        <w:adjustRightInd w:val="0"/>
        <w:spacing w:line="360" w:lineRule="auto"/>
        <w:ind w:firstLine="709"/>
        <w:jc w:val="both"/>
        <w:rPr>
          <w:rFonts w:ascii="Times New Roman" w:hAnsi="Times New Roman" w:cs="Times New Roman"/>
          <w:sz w:val="24"/>
          <w:szCs w:val="24"/>
        </w:rPr>
      </w:pPr>
      <w:r w:rsidRPr="009655EA">
        <w:rPr>
          <w:rFonts w:ascii="Times New Roman" w:hAnsi="Times New Roman" w:cs="Times New Roman"/>
          <w:sz w:val="24"/>
          <w:szCs w:val="24"/>
        </w:rPr>
        <w:t xml:space="preserve">Le plan de développement moyen terme relatif aux réseaux et aux infrastructures de la Société de Distribution de l’Électricité et du Gaz d’Alger sur la période 2013-2017 nécessite une enveloppe de </w:t>
      </w:r>
      <w:r w:rsidRPr="009655EA">
        <w:rPr>
          <w:rFonts w:ascii="Times New Roman" w:hAnsi="Times New Roman" w:cs="Times New Roman"/>
          <w:b/>
          <w:bCs/>
          <w:sz w:val="24"/>
          <w:szCs w:val="24"/>
        </w:rPr>
        <w:t>75546 MDA</w:t>
      </w:r>
      <w:r w:rsidRPr="009655EA">
        <w:rPr>
          <w:rFonts w:ascii="Times New Roman" w:hAnsi="Times New Roman" w:cs="Times New Roman"/>
          <w:sz w:val="24"/>
          <w:szCs w:val="24"/>
        </w:rPr>
        <w:t xml:space="preserve">. </w:t>
      </w:r>
    </w:p>
    <w:p w:rsidR="009655EA" w:rsidRPr="009655EA" w:rsidRDefault="009655EA" w:rsidP="009655EA">
      <w:pPr>
        <w:autoSpaceDE w:val="0"/>
        <w:autoSpaceDN w:val="0"/>
        <w:adjustRightInd w:val="0"/>
        <w:spacing w:line="360" w:lineRule="auto"/>
        <w:ind w:firstLine="709"/>
        <w:jc w:val="both"/>
        <w:rPr>
          <w:rFonts w:ascii="Times New Roman" w:hAnsi="Times New Roman" w:cs="Times New Roman"/>
          <w:sz w:val="24"/>
          <w:szCs w:val="24"/>
        </w:rPr>
      </w:pPr>
      <w:r w:rsidRPr="009655EA">
        <w:rPr>
          <w:rFonts w:ascii="Times New Roman" w:hAnsi="Times New Roman" w:cs="Times New Roman"/>
          <w:sz w:val="24"/>
          <w:szCs w:val="24"/>
        </w:rPr>
        <w:t xml:space="preserve">Il permettra, en matière d’électricité, la réalisation de </w:t>
      </w:r>
      <w:r w:rsidRPr="009655EA">
        <w:rPr>
          <w:rFonts w:ascii="Times New Roman" w:hAnsi="Times New Roman" w:cs="Times New Roman"/>
          <w:b/>
          <w:bCs/>
          <w:sz w:val="24"/>
          <w:szCs w:val="24"/>
        </w:rPr>
        <w:t xml:space="preserve">8218 Kms </w:t>
      </w:r>
      <w:r w:rsidRPr="009655EA">
        <w:rPr>
          <w:rFonts w:ascii="Times New Roman" w:hAnsi="Times New Roman" w:cs="Times New Roman"/>
          <w:sz w:val="24"/>
          <w:szCs w:val="24"/>
        </w:rPr>
        <w:t xml:space="preserve">de réseau,  </w:t>
      </w:r>
      <w:r w:rsidRPr="009655EA">
        <w:rPr>
          <w:rFonts w:ascii="Times New Roman" w:hAnsi="Times New Roman" w:cs="Times New Roman"/>
          <w:b/>
          <w:bCs/>
          <w:sz w:val="24"/>
          <w:szCs w:val="24"/>
        </w:rPr>
        <w:t>2292 postes</w:t>
      </w:r>
      <w:r w:rsidRPr="009655EA">
        <w:rPr>
          <w:rFonts w:ascii="Times New Roman" w:hAnsi="Times New Roman" w:cs="Times New Roman"/>
          <w:sz w:val="24"/>
          <w:szCs w:val="24"/>
        </w:rPr>
        <w:t xml:space="preserve">   et  </w:t>
      </w:r>
      <w:r w:rsidRPr="009655EA">
        <w:rPr>
          <w:rFonts w:ascii="Times New Roman" w:hAnsi="Times New Roman" w:cs="Times New Roman"/>
          <w:b/>
          <w:bCs/>
          <w:sz w:val="24"/>
          <w:szCs w:val="24"/>
        </w:rPr>
        <w:t>261919 branchements</w:t>
      </w:r>
      <w:r w:rsidRPr="009655EA">
        <w:rPr>
          <w:rFonts w:ascii="Times New Roman" w:hAnsi="Times New Roman" w:cs="Times New Roman"/>
          <w:sz w:val="24"/>
          <w:szCs w:val="24"/>
        </w:rPr>
        <w:t xml:space="preserve"> pour un montant de </w:t>
      </w:r>
      <w:r w:rsidRPr="009655EA">
        <w:rPr>
          <w:rFonts w:ascii="Times New Roman" w:hAnsi="Times New Roman" w:cs="Times New Roman"/>
          <w:b/>
          <w:bCs/>
          <w:sz w:val="24"/>
          <w:szCs w:val="24"/>
        </w:rPr>
        <w:t>28098 MDA.</w:t>
      </w:r>
    </w:p>
    <w:p w:rsidR="009655EA" w:rsidRPr="009655EA" w:rsidRDefault="009655EA" w:rsidP="009655EA">
      <w:pPr>
        <w:autoSpaceDE w:val="0"/>
        <w:autoSpaceDN w:val="0"/>
        <w:adjustRightInd w:val="0"/>
        <w:spacing w:line="360" w:lineRule="auto"/>
        <w:ind w:firstLine="709"/>
        <w:jc w:val="both"/>
        <w:rPr>
          <w:rFonts w:ascii="Times New Roman" w:hAnsi="Times New Roman" w:cs="Times New Roman"/>
          <w:sz w:val="8"/>
          <w:szCs w:val="8"/>
        </w:rPr>
      </w:pPr>
    </w:p>
    <w:p w:rsidR="009655EA" w:rsidRPr="009655EA" w:rsidRDefault="009655EA" w:rsidP="009655EA">
      <w:pPr>
        <w:autoSpaceDE w:val="0"/>
        <w:autoSpaceDN w:val="0"/>
        <w:adjustRightInd w:val="0"/>
        <w:spacing w:line="360" w:lineRule="auto"/>
        <w:ind w:firstLine="709"/>
        <w:jc w:val="both"/>
        <w:rPr>
          <w:rFonts w:ascii="Times New Roman" w:hAnsi="Times New Roman" w:cs="Times New Roman"/>
          <w:sz w:val="24"/>
          <w:szCs w:val="24"/>
        </w:rPr>
      </w:pPr>
      <w:r w:rsidRPr="009655EA">
        <w:rPr>
          <w:rFonts w:ascii="Times New Roman" w:hAnsi="Times New Roman" w:cs="Times New Roman"/>
          <w:sz w:val="24"/>
          <w:szCs w:val="24"/>
        </w:rPr>
        <w:t xml:space="preserve">Pour le gaz, la réalisation de </w:t>
      </w:r>
      <w:r w:rsidRPr="009655EA">
        <w:rPr>
          <w:rFonts w:ascii="Times New Roman" w:hAnsi="Times New Roman" w:cs="Times New Roman"/>
          <w:b/>
          <w:bCs/>
          <w:sz w:val="24"/>
          <w:szCs w:val="24"/>
        </w:rPr>
        <w:t>7909 Kms</w:t>
      </w:r>
      <w:r w:rsidRPr="009655EA">
        <w:rPr>
          <w:rFonts w:ascii="Times New Roman" w:hAnsi="Times New Roman" w:cs="Times New Roman"/>
          <w:sz w:val="24"/>
          <w:szCs w:val="24"/>
        </w:rPr>
        <w:t xml:space="preserve"> de réseau gaz, </w:t>
      </w:r>
      <w:r w:rsidRPr="009655EA">
        <w:rPr>
          <w:rFonts w:ascii="Times New Roman" w:hAnsi="Times New Roman" w:cs="Times New Roman"/>
          <w:b/>
          <w:bCs/>
          <w:sz w:val="24"/>
          <w:szCs w:val="24"/>
        </w:rPr>
        <w:t xml:space="preserve">183196 branchements </w:t>
      </w:r>
      <w:r w:rsidRPr="009655EA">
        <w:rPr>
          <w:rFonts w:ascii="Times New Roman" w:hAnsi="Times New Roman" w:cs="Times New Roman"/>
          <w:sz w:val="24"/>
          <w:szCs w:val="24"/>
        </w:rPr>
        <w:t xml:space="preserve">en gaz, pour un montant de </w:t>
      </w:r>
      <w:r w:rsidRPr="009655EA">
        <w:rPr>
          <w:rFonts w:ascii="Times New Roman" w:hAnsi="Times New Roman" w:cs="Times New Roman"/>
          <w:b/>
          <w:bCs/>
          <w:sz w:val="24"/>
          <w:szCs w:val="24"/>
        </w:rPr>
        <w:t>12150 MDA.</w:t>
      </w:r>
    </w:p>
    <w:p w:rsidR="009655EA" w:rsidRPr="009655EA" w:rsidRDefault="009655EA" w:rsidP="009655EA">
      <w:pPr>
        <w:spacing w:line="360" w:lineRule="auto"/>
        <w:ind w:firstLine="709"/>
        <w:jc w:val="both"/>
        <w:rPr>
          <w:rFonts w:ascii="Times New Roman" w:hAnsi="Times New Roman" w:cs="Times New Roman"/>
          <w:sz w:val="24"/>
          <w:szCs w:val="24"/>
        </w:rPr>
      </w:pPr>
      <w:r w:rsidRPr="009655EA">
        <w:rPr>
          <w:rFonts w:ascii="Times New Roman" w:hAnsi="Times New Roman" w:cs="Times New Roman"/>
          <w:sz w:val="24"/>
          <w:szCs w:val="24"/>
        </w:rPr>
        <w:t>Additivement aux investissements réseaux électricité et gaz, les investissements relatifs aux équipements spécifiques et aux infrastructures d’accompagnement, représentent un montant de :</w:t>
      </w:r>
    </w:p>
    <w:p w:rsidR="009655EA" w:rsidRPr="009655EA" w:rsidRDefault="009655EA" w:rsidP="009655EA">
      <w:pPr>
        <w:numPr>
          <w:ilvl w:val="0"/>
          <w:numId w:val="14"/>
        </w:numPr>
        <w:tabs>
          <w:tab w:val="left" w:pos="709"/>
        </w:tabs>
        <w:spacing w:after="0" w:line="360" w:lineRule="auto"/>
        <w:ind w:firstLine="709"/>
        <w:jc w:val="both"/>
        <w:rPr>
          <w:rFonts w:ascii="Times New Roman" w:hAnsi="Times New Roman" w:cs="Times New Roman"/>
          <w:sz w:val="24"/>
          <w:szCs w:val="24"/>
        </w:rPr>
      </w:pPr>
      <w:r w:rsidRPr="009655EA">
        <w:rPr>
          <w:rFonts w:ascii="Times New Roman" w:hAnsi="Times New Roman" w:cs="Times New Roman"/>
          <w:b/>
          <w:bCs/>
          <w:sz w:val="24"/>
          <w:szCs w:val="24"/>
        </w:rPr>
        <w:t xml:space="preserve"> 28660 MDA</w:t>
      </w:r>
      <w:r w:rsidRPr="009655EA">
        <w:rPr>
          <w:rFonts w:ascii="Times New Roman" w:hAnsi="Times New Roman" w:cs="Times New Roman"/>
          <w:sz w:val="24"/>
          <w:szCs w:val="24"/>
        </w:rPr>
        <w:t xml:space="preserve"> (</w:t>
      </w:r>
      <w:r w:rsidRPr="009655EA">
        <w:rPr>
          <w:rFonts w:ascii="Times New Roman" w:hAnsi="Times New Roman" w:cs="Times New Roman"/>
          <w:b/>
          <w:sz w:val="24"/>
          <w:szCs w:val="24"/>
        </w:rPr>
        <w:t>38</w:t>
      </w:r>
      <w:r w:rsidRPr="009655EA">
        <w:rPr>
          <w:rFonts w:ascii="Times New Roman" w:hAnsi="Times New Roman" w:cs="Times New Roman"/>
          <w:b/>
          <w:bCs/>
          <w:sz w:val="24"/>
          <w:szCs w:val="24"/>
        </w:rPr>
        <w:t>%</w:t>
      </w:r>
      <w:r w:rsidRPr="009655EA">
        <w:rPr>
          <w:rFonts w:ascii="Times New Roman" w:hAnsi="Times New Roman" w:cs="Times New Roman"/>
          <w:sz w:val="24"/>
          <w:szCs w:val="24"/>
        </w:rPr>
        <w:t xml:space="preserve"> du montant global) pour les équipements électricité (besoins d’exploitation et de fonctionnement). Ces équipements, concernent l’extension du BCC d’Alger, la télé relève de 8 979 compteurs HTA, la numérisation de la cartographie, l’acquisition de transformateurs HTA/BT et le changement des compteurs BT en électronique ( compteurs intelligents ) .</w:t>
      </w:r>
      <w:r w:rsidRPr="009655EA">
        <w:rPr>
          <w:rFonts w:ascii="Times New Roman" w:hAnsi="Times New Roman" w:cs="Times New Roman"/>
          <w:color w:val="FF0000"/>
          <w:sz w:val="24"/>
          <w:szCs w:val="24"/>
        </w:rPr>
        <w:t xml:space="preserve"> </w:t>
      </w:r>
    </w:p>
    <w:p w:rsidR="009655EA" w:rsidRPr="009655EA" w:rsidRDefault="009655EA" w:rsidP="009655EA">
      <w:pPr>
        <w:tabs>
          <w:tab w:val="left" w:pos="709"/>
        </w:tabs>
        <w:spacing w:after="0" w:line="360" w:lineRule="auto"/>
        <w:ind w:left="720" w:firstLine="709"/>
        <w:jc w:val="both"/>
        <w:rPr>
          <w:rFonts w:ascii="Times New Roman" w:hAnsi="Times New Roman" w:cs="Times New Roman"/>
          <w:sz w:val="24"/>
          <w:szCs w:val="24"/>
        </w:rPr>
      </w:pPr>
    </w:p>
    <w:p w:rsidR="009655EA" w:rsidRPr="009655EA" w:rsidRDefault="009655EA" w:rsidP="009655EA">
      <w:pPr>
        <w:numPr>
          <w:ilvl w:val="0"/>
          <w:numId w:val="14"/>
        </w:numPr>
        <w:tabs>
          <w:tab w:val="left" w:pos="709"/>
        </w:tabs>
        <w:spacing w:after="0" w:line="360" w:lineRule="auto"/>
        <w:ind w:firstLine="709"/>
        <w:jc w:val="both"/>
        <w:rPr>
          <w:rFonts w:ascii="Times New Roman" w:hAnsi="Times New Roman" w:cs="Times New Roman"/>
          <w:sz w:val="24"/>
          <w:szCs w:val="24"/>
        </w:rPr>
      </w:pPr>
      <w:r w:rsidRPr="009655EA">
        <w:rPr>
          <w:rFonts w:ascii="Times New Roman" w:hAnsi="Times New Roman" w:cs="Times New Roman"/>
          <w:b/>
          <w:bCs/>
          <w:sz w:val="24"/>
          <w:szCs w:val="24"/>
        </w:rPr>
        <w:t>304 MDA</w:t>
      </w:r>
      <w:r w:rsidRPr="009655EA">
        <w:rPr>
          <w:rFonts w:ascii="Times New Roman" w:hAnsi="Times New Roman" w:cs="Times New Roman"/>
          <w:bCs/>
          <w:sz w:val="24"/>
          <w:szCs w:val="24"/>
        </w:rPr>
        <w:t xml:space="preserve"> (</w:t>
      </w:r>
      <w:r w:rsidRPr="009655EA">
        <w:rPr>
          <w:rFonts w:ascii="Times New Roman" w:hAnsi="Times New Roman" w:cs="Times New Roman"/>
          <w:b/>
          <w:bCs/>
          <w:sz w:val="24"/>
          <w:szCs w:val="24"/>
        </w:rPr>
        <w:t>0,4%</w:t>
      </w:r>
      <w:r w:rsidRPr="009655EA">
        <w:rPr>
          <w:rFonts w:ascii="Times New Roman" w:hAnsi="Times New Roman" w:cs="Times New Roman"/>
          <w:bCs/>
          <w:sz w:val="24"/>
          <w:szCs w:val="24"/>
        </w:rPr>
        <w:t xml:space="preserve"> du montant global),</w:t>
      </w:r>
      <w:r w:rsidRPr="009655EA">
        <w:rPr>
          <w:rFonts w:ascii="Times New Roman" w:hAnsi="Times New Roman" w:cs="Times New Roman"/>
          <w:sz w:val="24"/>
          <w:szCs w:val="24"/>
        </w:rPr>
        <w:t xml:space="preserve"> pour les équipements spécifiques au réseau gaz, qui concernent essentiellement la numérisation de la cartographie et l’achat d’appareils de recherche et localisation de fuites du gaz ainsi que des matériels d’exploitation gaz.</w:t>
      </w:r>
    </w:p>
    <w:p w:rsidR="009655EA" w:rsidRPr="009655EA" w:rsidRDefault="009655EA" w:rsidP="009655EA">
      <w:pPr>
        <w:tabs>
          <w:tab w:val="left" w:pos="709"/>
        </w:tabs>
        <w:spacing w:after="0" w:line="360" w:lineRule="auto"/>
        <w:ind w:firstLine="709"/>
        <w:jc w:val="both"/>
        <w:rPr>
          <w:rFonts w:ascii="Times New Roman" w:hAnsi="Times New Roman" w:cs="Times New Roman"/>
          <w:sz w:val="24"/>
          <w:szCs w:val="24"/>
        </w:rPr>
      </w:pPr>
    </w:p>
    <w:p w:rsidR="009655EA" w:rsidRPr="009655EA" w:rsidRDefault="009655EA" w:rsidP="009655EA">
      <w:pPr>
        <w:numPr>
          <w:ilvl w:val="0"/>
          <w:numId w:val="14"/>
        </w:numPr>
        <w:tabs>
          <w:tab w:val="left" w:pos="709"/>
        </w:tabs>
        <w:spacing w:after="0" w:line="360" w:lineRule="auto"/>
        <w:ind w:firstLine="709"/>
        <w:jc w:val="both"/>
        <w:rPr>
          <w:rFonts w:ascii="Times New Roman" w:hAnsi="Times New Roman" w:cs="Times New Roman"/>
          <w:sz w:val="24"/>
          <w:szCs w:val="24"/>
        </w:rPr>
      </w:pPr>
      <w:r w:rsidRPr="009655EA">
        <w:rPr>
          <w:rFonts w:ascii="Times New Roman" w:hAnsi="Times New Roman" w:cs="Times New Roman"/>
          <w:b/>
          <w:bCs/>
          <w:sz w:val="24"/>
          <w:szCs w:val="24"/>
        </w:rPr>
        <w:t xml:space="preserve">6334 MDA </w:t>
      </w:r>
      <w:r w:rsidRPr="009655EA">
        <w:rPr>
          <w:rFonts w:ascii="Times New Roman" w:hAnsi="Times New Roman" w:cs="Times New Roman"/>
          <w:bCs/>
          <w:sz w:val="24"/>
          <w:szCs w:val="24"/>
        </w:rPr>
        <w:t>(</w:t>
      </w:r>
      <w:r w:rsidRPr="009655EA">
        <w:rPr>
          <w:rFonts w:ascii="Times New Roman" w:hAnsi="Times New Roman" w:cs="Times New Roman"/>
          <w:b/>
          <w:bCs/>
          <w:sz w:val="24"/>
          <w:szCs w:val="24"/>
        </w:rPr>
        <w:t>8,38%</w:t>
      </w:r>
      <w:r w:rsidRPr="009655EA">
        <w:rPr>
          <w:rFonts w:ascii="Times New Roman" w:hAnsi="Times New Roman" w:cs="Times New Roman"/>
          <w:bCs/>
          <w:sz w:val="24"/>
          <w:szCs w:val="24"/>
        </w:rPr>
        <w:t xml:space="preserve"> du montant global), pour les</w:t>
      </w:r>
      <w:r w:rsidRPr="009655EA">
        <w:rPr>
          <w:rFonts w:ascii="Times New Roman" w:hAnsi="Times New Roman" w:cs="Times New Roman"/>
          <w:sz w:val="24"/>
          <w:szCs w:val="24"/>
        </w:rPr>
        <w:t xml:space="preserve"> infrastructures. Les infrastructures concernent la construction de nouveaux sièges de Districts électricité/gaz, des agences commerciales, de bureaux pour </w:t>
      </w:r>
      <w:smartTag w:uri="urn:schemas-microsoft-com:office:smarttags" w:element="PersonName">
        <w:smartTagPr>
          <w:attr w:name="ProductID" w:val="la Direction"/>
        </w:smartTagPr>
        <w:r w:rsidRPr="009655EA">
          <w:rPr>
            <w:rFonts w:ascii="Times New Roman" w:hAnsi="Times New Roman" w:cs="Times New Roman"/>
            <w:sz w:val="24"/>
            <w:szCs w:val="24"/>
          </w:rPr>
          <w:t>la Direction</w:t>
        </w:r>
      </w:smartTag>
      <w:r w:rsidRPr="009655EA">
        <w:rPr>
          <w:rFonts w:ascii="Times New Roman" w:hAnsi="Times New Roman" w:cs="Times New Roman"/>
          <w:sz w:val="24"/>
          <w:szCs w:val="24"/>
        </w:rPr>
        <w:t xml:space="preserve"> de la distribution du Gué de Constantine ainsi que l’acquisition de nouveaux locaux et l’extension du siège de </w:t>
      </w:r>
      <w:smartTag w:uri="urn:schemas-microsoft-com:office:smarttags" w:element="PersonName">
        <w:smartTagPr>
          <w:attr w:name="ProductID" w:val="la SDA."/>
        </w:smartTagPr>
        <w:r w:rsidRPr="009655EA">
          <w:rPr>
            <w:rFonts w:ascii="Times New Roman" w:hAnsi="Times New Roman" w:cs="Times New Roman"/>
            <w:sz w:val="24"/>
            <w:szCs w:val="24"/>
          </w:rPr>
          <w:t>la SDA.</w:t>
        </w:r>
      </w:smartTag>
    </w:p>
    <w:p w:rsidR="009655EA" w:rsidRDefault="009655EA" w:rsidP="00117A8D">
      <w:pPr>
        <w:tabs>
          <w:tab w:val="left" w:pos="709"/>
        </w:tabs>
        <w:spacing w:after="0" w:line="360" w:lineRule="auto"/>
        <w:jc w:val="both"/>
        <w:rPr>
          <w:rFonts w:ascii="Times New Roman" w:hAnsi="Times New Roman" w:cs="Times New Roman"/>
          <w:sz w:val="24"/>
          <w:szCs w:val="24"/>
        </w:rPr>
      </w:pPr>
    </w:p>
    <w:p w:rsidR="00117A8D" w:rsidRPr="008B18DC" w:rsidRDefault="00117A8D" w:rsidP="00117A8D">
      <w:pPr>
        <w:tabs>
          <w:tab w:val="left" w:pos="709"/>
        </w:tabs>
        <w:spacing w:after="0" w:line="360" w:lineRule="auto"/>
        <w:jc w:val="both"/>
        <w:rPr>
          <w:rFonts w:ascii="Times New Roman" w:hAnsi="Times New Roman" w:cs="Times New Roman"/>
          <w:sz w:val="24"/>
          <w:szCs w:val="24"/>
        </w:rPr>
      </w:pPr>
    </w:p>
    <w:p w:rsidR="008B18DC" w:rsidRPr="008B18DC" w:rsidRDefault="008B18DC" w:rsidP="008B18DC">
      <w:pPr>
        <w:autoSpaceDE w:val="0"/>
        <w:autoSpaceDN w:val="0"/>
        <w:adjustRightInd w:val="0"/>
        <w:spacing w:after="0" w:line="360" w:lineRule="auto"/>
        <w:jc w:val="both"/>
        <w:rPr>
          <w:rFonts w:ascii="Times New Roman" w:hAnsi="Times New Roman" w:cs="Times New Roman"/>
          <w:sz w:val="24"/>
          <w:szCs w:val="24"/>
        </w:rPr>
      </w:pPr>
    </w:p>
    <w:p w:rsidR="008B18DC" w:rsidRDefault="008B18DC" w:rsidP="009655EA">
      <w:pPr>
        <w:spacing w:after="0" w:line="360" w:lineRule="auto"/>
        <w:jc w:val="center"/>
        <w:rPr>
          <w:rFonts w:ascii="Times New Roman" w:hAnsi="Times New Roman" w:cs="Times New Roman"/>
          <w:b/>
          <w:bCs/>
          <w:sz w:val="24"/>
          <w:szCs w:val="24"/>
        </w:rPr>
      </w:pPr>
      <w:r w:rsidRPr="008B18DC">
        <w:rPr>
          <w:rFonts w:ascii="Times New Roman" w:hAnsi="Times New Roman" w:cs="Times New Roman"/>
          <w:b/>
          <w:bCs/>
          <w:sz w:val="24"/>
          <w:szCs w:val="24"/>
        </w:rPr>
        <w:t>Évolution des dépenses d'investissements en MDA</w:t>
      </w:r>
    </w:p>
    <w:p w:rsidR="008B18DC" w:rsidRPr="008B18DC" w:rsidRDefault="008B18DC" w:rsidP="008B18DC">
      <w:pPr>
        <w:spacing w:after="0" w:line="360" w:lineRule="auto"/>
        <w:rPr>
          <w:rFonts w:ascii="Times New Roman" w:hAnsi="Times New Roman" w:cs="Times New Roman"/>
          <w:b/>
          <w:bCs/>
          <w:sz w:val="24"/>
          <w:szCs w:val="24"/>
        </w:rPr>
      </w:pPr>
    </w:p>
    <w:tbl>
      <w:tblPr>
        <w:tblW w:w="10623"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403"/>
        <w:gridCol w:w="1026"/>
        <w:gridCol w:w="992"/>
        <w:gridCol w:w="1134"/>
        <w:gridCol w:w="1048"/>
        <w:gridCol w:w="937"/>
        <w:gridCol w:w="992"/>
        <w:gridCol w:w="1091"/>
      </w:tblGrid>
      <w:tr w:rsidR="009655EA" w:rsidRPr="009655EA" w:rsidTr="003B5875">
        <w:trPr>
          <w:trHeight w:val="285"/>
        </w:trPr>
        <w:tc>
          <w:tcPr>
            <w:tcW w:w="3403" w:type="dxa"/>
            <w:tcBorders>
              <w:top w:val="nil"/>
              <w:left w:val="nil"/>
            </w:tcBorders>
            <w:shd w:val="clear" w:color="auto" w:fill="auto"/>
            <w:noWrap/>
            <w:vAlign w:val="center"/>
            <w:hideMark/>
          </w:tcPr>
          <w:p w:rsidR="009655EA" w:rsidRPr="009655EA" w:rsidRDefault="009655EA" w:rsidP="009655EA">
            <w:pPr>
              <w:spacing w:after="0" w:line="240" w:lineRule="auto"/>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 </w:t>
            </w:r>
          </w:p>
        </w:tc>
        <w:tc>
          <w:tcPr>
            <w:tcW w:w="1026" w:type="dxa"/>
            <w:tcBorders>
              <w:top w:val="single" w:sz="4" w:space="0" w:color="auto"/>
            </w:tcBorders>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2013</w:t>
            </w:r>
          </w:p>
        </w:tc>
        <w:tc>
          <w:tcPr>
            <w:tcW w:w="992" w:type="dxa"/>
            <w:tcBorders>
              <w:top w:val="single" w:sz="4" w:space="0" w:color="auto"/>
            </w:tcBorders>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2014</w:t>
            </w:r>
          </w:p>
        </w:tc>
        <w:tc>
          <w:tcPr>
            <w:tcW w:w="1134" w:type="dxa"/>
            <w:tcBorders>
              <w:top w:val="single" w:sz="4" w:space="0" w:color="auto"/>
            </w:tcBorders>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2015</w:t>
            </w:r>
          </w:p>
        </w:tc>
        <w:tc>
          <w:tcPr>
            <w:tcW w:w="1048"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2016</w:t>
            </w:r>
          </w:p>
        </w:tc>
        <w:tc>
          <w:tcPr>
            <w:tcW w:w="937"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2017</w:t>
            </w:r>
          </w:p>
        </w:tc>
        <w:tc>
          <w:tcPr>
            <w:tcW w:w="992"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Total</w:t>
            </w:r>
          </w:p>
        </w:tc>
        <w:tc>
          <w:tcPr>
            <w:tcW w:w="1091"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Poids (%)</w:t>
            </w: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b/>
                <w:color w:val="000000"/>
                <w:sz w:val="28"/>
                <w:szCs w:val="28"/>
                <w:lang w:eastAsia="fr-FR"/>
              </w:rPr>
            </w:pPr>
            <w:r w:rsidRPr="009655EA">
              <w:rPr>
                <w:rFonts w:ascii="Times New Roman" w:eastAsia="Times New Roman" w:hAnsi="Times New Roman" w:cs="Times New Roman"/>
                <w:b/>
                <w:color w:val="000000"/>
                <w:sz w:val="28"/>
                <w:szCs w:val="28"/>
                <w:lang w:eastAsia="fr-FR"/>
              </w:rPr>
              <w:t>Électricité</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5 335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5 449</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5 636</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5 768</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5 910</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28 098</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37,19</w:t>
            </w: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b/>
                <w:color w:val="000000"/>
                <w:sz w:val="28"/>
                <w:szCs w:val="28"/>
                <w:lang w:eastAsia="fr-FR"/>
              </w:rPr>
            </w:pPr>
            <w:r w:rsidRPr="009655EA">
              <w:rPr>
                <w:rFonts w:ascii="Times New Roman" w:eastAsia="Times New Roman" w:hAnsi="Times New Roman" w:cs="Times New Roman"/>
                <w:b/>
                <w:color w:val="000000"/>
                <w:sz w:val="28"/>
                <w:szCs w:val="28"/>
                <w:lang w:eastAsia="fr-FR"/>
              </w:rPr>
              <w:t>Gaz</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2 286</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2 121</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2 366</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2 657</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2 720</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12 150</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16,08</w:t>
            </w: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Équipements spécifiques Elec</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5 285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5 000</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6 125</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6 125</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6 125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28 660</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37,94</w:t>
            </w: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Équipements spécifiques Gaz</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0</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207</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0</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0</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97</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304</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0,40</w:t>
            </w: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Total Équipements spécifiques</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5 285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5 207</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6 125</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6 125</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6 222</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28 964</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b/>
                <w:color w:val="000000"/>
                <w:sz w:val="28"/>
                <w:szCs w:val="28"/>
                <w:lang w:eastAsia="fr-FR"/>
              </w:rPr>
            </w:pPr>
            <w:r w:rsidRPr="009655EA">
              <w:rPr>
                <w:rFonts w:ascii="Times New Roman" w:eastAsia="Times New Roman" w:hAnsi="Times New Roman" w:cs="Times New Roman"/>
                <w:b/>
                <w:color w:val="000000"/>
                <w:sz w:val="28"/>
                <w:szCs w:val="28"/>
                <w:lang w:eastAsia="fr-FR"/>
              </w:rPr>
              <w:t>Infrastructures</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1 815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1 322</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982</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1 170</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1 045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6 334</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8,38</w:t>
            </w:r>
          </w:p>
        </w:tc>
      </w:tr>
      <w:tr w:rsidR="009655EA" w:rsidRPr="009655EA" w:rsidTr="003B5875">
        <w:trPr>
          <w:trHeight w:val="285"/>
        </w:trPr>
        <w:tc>
          <w:tcPr>
            <w:tcW w:w="3403" w:type="dxa"/>
            <w:shd w:val="clear" w:color="auto" w:fill="F2DBDB" w:themeFill="accent2" w:themeFillTint="33"/>
            <w:noWrap/>
            <w:vAlign w:val="center"/>
            <w:hideMark/>
          </w:tcPr>
          <w:p w:rsidR="009655EA" w:rsidRPr="009655EA" w:rsidRDefault="009655EA" w:rsidP="003B5875">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Total Général</w:t>
            </w:r>
          </w:p>
        </w:tc>
        <w:tc>
          <w:tcPr>
            <w:tcW w:w="1026"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14 721</w:t>
            </w:r>
          </w:p>
        </w:tc>
        <w:tc>
          <w:tcPr>
            <w:tcW w:w="992"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14 099</w:t>
            </w:r>
          </w:p>
        </w:tc>
        <w:tc>
          <w:tcPr>
            <w:tcW w:w="1134"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15 109</w:t>
            </w:r>
          </w:p>
        </w:tc>
        <w:tc>
          <w:tcPr>
            <w:tcW w:w="1048"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15 720</w:t>
            </w:r>
          </w:p>
        </w:tc>
        <w:tc>
          <w:tcPr>
            <w:tcW w:w="937"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15 897</w:t>
            </w:r>
          </w:p>
        </w:tc>
        <w:tc>
          <w:tcPr>
            <w:tcW w:w="992"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75 546</w:t>
            </w:r>
          </w:p>
        </w:tc>
        <w:tc>
          <w:tcPr>
            <w:tcW w:w="1091"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100</w:t>
            </w:r>
          </w:p>
        </w:tc>
      </w:tr>
    </w:tbl>
    <w:p w:rsidR="008B18DC" w:rsidRPr="008B18DC" w:rsidRDefault="008B18DC" w:rsidP="008B18DC">
      <w:pPr>
        <w:spacing w:after="0" w:line="360" w:lineRule="auto"/>
        <w:rPr>
          <w:rFonts w:ascii="Times New Roman" w:hAnsi="Times New Roman" w:cs="Times New Roman"/>
          <w:sz w:val="24"/>
          <w:szCs w:val="24"/>
        </w:rPr>
      </w:pPr>
    </w:p>
    <w:p w:rsidR="00863888" w:rsidRPr="008B18DC" w:rsidRDefault="00863888" w:rsidP="008B18DC">
      <w:pPr>
        <w:spacing w:after="0" w:line="360" w:lineRule="auto"/>
        <w:jc w:val="both"/>
        <w:rPr>
          <w:rFonts w:ascii="Times New Roman" w:hAnsi="Times New Roman" w:cs="Times New Roman"/>
          <w:sz w:val="24"/>
          <w:szCs w:val="24"/>
        </w:rPr>
      </w:pPr>
    </w:p>
    <w:sectPr w:rsidR="00863888" w:rsidRPr="008B18DC" w:rsidSect="00117A8D">
      <w:pgSz w:w="11906" w:h="16838"/>
      <w:pgMar w:top="1418" w:right="1418" w:bottom="1418" w:left="1418" w:header="142"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6B2" w:rsidRDefault="007326B2" w:rsidP="001C77DA">
      <w:pPr>
        <w:spacing w:after="0" w:line="240" w:lineRule="auto"/>
      </w:pPr>
      <w:r>
        <w:separator/>
      </w:r>
    </w:p>
  </w:endnote>
  <w:endnote w:type="continuationSeparator" w:id="1">
    <w:p w:rsidR="007326B2" w:rsidRDefault="007326B2" w:rsidP="001C7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6B2" w:rsidRDefault="007326B2" w:rsidP="001C77DA">
      <w:pPr>
        <w:spacing w:after="0" w:line="240" w:lineRule="auto"/>
      </w:pPr>
      <w:r>
        <w:separator/>
      </w:r>
    </w:p>
  </w:footnote>
  <w:footnote w:type="continuationSeparator" w:id="1">
    <w:p w:rsidR="007326B2" w:rsidRDefault="007326B2" w:rsidP="001C77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0.9pt;height:10.9pt" o:bullet="t">
        <v:imagedata r:id="rId1" o:title="BD14565_"/>
      </v:shape>
    </w:pict>
  </w:numPicBullet>
  <w:numPicBullet w:numPicBulletId="1">
    <w:pict>
      <v:shape id="_x0000_i1100" type="#_x0000_t75" style="width:9.2pt;height:9.2pt" o:bullet="t">
        <v:imagedata r:id="rId2" o:title="BD14581_"/>
      </v:shape>
    </w:pict>
  </w:numPicBullet>
  <w:abstractNum w:abstractNumId="0">
    <w:nsid w:val="031870F0"/>
    <w:multiLevelType w:val="hybridMultilevel"/>
    <w:tmpl w:val="9E7A3654"/>
    <w:lvl w:ilvl="0" w:tplc="5CC68954">
      <w:start w:val="1"/>
      <w:numFmt w:val="bullet"/>
      <w:lvlText w:val=""/>
      <w:lvlPicBulletId w:val="1"/>
      <w:lvlJc w:val="left"/>
      <w:pPr>
        <w:ind w:left="1069" w:hanging="360"/>
      </w:pPr>
      <w:rPr>
        <w:rFonts w:ascii="Symbol" w:hAnsi="Symbol" w:hint="default"/>
        <w:outline w:val="0"/>
        <w:shadow w:val="0"/>
        <w:emboss/>
        <w:imprint w:val="0"/>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nsid w:val="033D66DE"/>
    <w:multiLevelType w:val="hybridMultilevel"/>
    <w:tmpl w:val="20A23BC4"/>
    <w:lvl w:ilvl="0" w:tplc="A7CAA434">
      <w:start w:val="1"/>
      <w:numFmt w:val="bullet"/>
      <w:lvlText w:val=""/>
      <w:lvlPicBulletId w:val="0"/>
      <w:lvlJc w:val="left"/>
      <w:pPr>
        <w:ind w:left="928" w:hanging="360"/>
      </w:pPr>
      <w:rPr>
        <w:rFonts w:ascii="Symbol" w:hAnsi="Symbol" w:hint="default"/>
        <w:outline w:val="0"/>
        <w:shadow w:val="0"/>
        <w:emboss/>
        <w:imprint w:val="0"/>
        <w:color w:val="auto"/>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
    <w:nsid w:val="06AB10C5"/>
    <w:multiLevelType w:val="hybridMultilevel"/>
    <w:tmpl w:val="7EB096A4"/>
    <w:lvl w:ilvl="0" w:tplc="040C000D">
      <w:start w:val="1"/>
      <w:numFmt w:val="bullet"/>
      <w:lvlText w:val=""/>
      <w:lvlJc w:val="left"/>
      <w:pPr>
        <w:tabs>
          <w:tab w:val="num" w:pos="720"/>
        </w:tabs>
        <w:ind w:left="72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
    <w:nsid w:val="1879181C"/>
    <w:multiLevelType w:val="hybridMultilevel"/>
    <w:tmpl w:val="EEC21C32"/>
    <w:lvl w:ilvl="0" w:tplc="5CC68954">
      <w:start w:val="1"/>
      <w:numFmt w:val="bullet"/>
      <w:lvlText w:val=""/>
      <w:lvlPicBulletId w:val="1"/>
      <w:lvlJc w:val="left"/>
      <w:pPr>
        <w:ind w:left="720" w:hanging="360"/>
      </w:pPr>
      <w:rPr>
        <w:rFonts w:ascii="Symbol" w:hAnsi="Symbol" w:hint="default"/>
        <w:b/>
        <w:outline w:val="0"/>
        <w:shadow w:val="0"/>
        <w:emboss/>
        <w:imprint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CB457E"/>
    <w:multiLevelType w:val="hybridMultilevel"/>
    <w:tmpl w:val="4CF0EF4A"/>
    <w:lvl w:ilvl="0" w:tplc="AD3074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F8E4D42"/>
    <w:multiLevelType w:val="hybridMultilevel"/>
    <w:tmpl w:val="0D74672E"/>
    <w:lvl w:ilvl="0" w:tplc="010C83F6">
      <w:start w:val="3"/>
      <w:numFmt w:val="bullet"/>
      <w:lvlText w:val="-"/>
      <w:lvlJc w:val="left"/>
      <w:pPr>
        <w:ind w:left="927" w:hanging="360"/>
      </w:pPr>
      <w:rPr>
        <w:rFonts w:ascii="Times New Roman" w:eastAsiaTheme="majorEastAsia"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
    <w:nsid w:val="23C60C9D"/>
    <w:multiLevelType w:val="hybridMultilevel"/>
    <w:tmpl w:val="205CE9F4"/>
    <w:lvl w:ilvl="0" w:tplc="D778947C">
      <w:numFmt w:val="bullet"/>
      <w:lvlText w:val=""/>
      <w:lvlJc w:val="left"/>
      <w:pPr>
        <w:ind w:left="1440" w:hanging="360"/>
      </w:pPr>
      <w:rPr>
        <w:rFonts w:ascii="Wingdings 3" w:hAnsi="Wingdings 3" w:cs="Wingdings 3" w:hint="default"/>
        <w:b/>
        <w:bCs/>
        <w:color w:val="548DD4"/>
        <w:sz w:val="20"/>
        <w:szCs w:val="2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CC81DA5"/>
    <w:multiLevelType w:val="multilevel"/>
    <w:tmpl w:val="931C099E"/>
    <w:lvl w:ilvl="0">
      <w:start w:val="3"/>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DF5582F"/>
    <w:multiLevelType w:val="hybridMultilevel"/>
    <w:tmpl w:val="A5AC52A6"/>
    <w:lvl w:ilvl="0" w:tplc="A7CAA434">
      <w:start w:val="1"/>
      <w:numFmt w:val="bullet"/>
      <w:lvlText w:val=""/>
      <w:lvlPicBulletId w:val="0"/>
      <w:lvlJc w:val="left"/>
      <w:pPr>
        <w:ind w:left="1080" w:hanging="360"/>
      </w:pPr>
      <w:rPr>
        <w:rFonts w:ascii="Symbol" w:hAnsi="Symbol" w:hint="default"/>
        <w:outline w:val="0"/>
        <w:shadow w:val="0"/>
        <w:emboss/>
        <w:imprint w:val="0"/>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1B822CB"/>
    <w:multiLevelType w:val="hybridMultilevel"/>
    <w:tmpl w:val="10420014"/>
    <w:lvl w:ilvl="0" w:tplc="E1783D7A">
      <w:start w:val="1"/>
      <w:numFmt w:val="bullet"/>
      <w:lvlText w:val=""/>
      <w:lvlPicBulletId w:val="0"/>
      <w:lvlJc w:val="left"/>
      <w:pPr>
        <w:ind w:left="1434" w:hanging="360"/>
      </w:pPr>
      <w:rPr>
        <w:rFonts w:ascii="Symbol" w:hAnsi="Symbol" w:hint="default"/>
        <w:outline w:val="0"/>
        <w:shadow w:val="0"/>
        <w:emboss/>
        <w:imprint w:val="0"/>
        <w:color w:val="auto"/>
        <w:sz w:val="20"/>
        <w:szCs w:val="20"/>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0">
    <w:nsid w:val="347D5562"/>
    <w:multiLevelType w:val="hybridMultilevel"/>
    <w:tmpl w:val="048A8714"/>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4B147594"/>
    <w:multiLevelType w:val="hybridMultilevel"/>
    <w:tmpl w:val="7682CFB6"/>
    <w:lvl w:ilvl="0" w:tplc="FED84F1E">
      <w:start w:val="1"/>
      <w:numFmt w:val="bullet"/>
      <w:lvlText w:val=""/>
      <w:lvlPicBulletId w:val="0"/>
      <w:lvlJc w:val="left"/>
      <w:pPr>
        <w:ind w:left="720" w:hanging="360"/>
      </w:pPr>
      <w:rPr>
        <w:rFonts w:ascii="Symbol" w:hAnsi="Symbol" w:hint="default"/>
        <w:outline w:val="0"/>
        <w:shadow w:val="0"/>
        <w:emboss/>
        <w:imprint w:val="0"/>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076573"/>
    <w:multiLevelType w:val="hybridMultilevel"/>
    <w:tmpl w:val="05D05E58"/>
    <w:lvl w:ilvl="0" w:tplc="E1783D7A">
      <w:start w:val="1"/>
      <w:numFmt w:val="bullet"/>
      <w:lvlText w:val=""/>
      <w:lvlPicBulletId w:val="0"/>
      <w:lvlJc w:val="left"/>
      <w:pPr>
        <w:ind w:left="720" w:hanging="360"/>
      </w:pPr>
      <w:rPr>
        <w:rFonts w:ascii="Symbol" w:hAnsi="Symbol" w:hint="default"/>
        <w:outline w:val="0"/>
        <w:shadow w:val="0"/>
        <w:emboss/>
        <w:imprint w:val="0"/>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51112CD"/>
    <w:multiLevelType w:val="hybridMultilevel"/>
    <w:tmpl w:val="F796C5E2"/>
    <w:lvl w:ilvl="0" w:tplc="F2CAE538">
      <w:start w:val="2011"/>
      <w:numFmt w:val="bullet"/>
      <w:lvlText w:val="-"/>
      <w:lvlJc w:val="left"/>
      <w:pPr>
        <w:ind w:left="1080" w:hanging="360"/>
      </w:pPr>
      <w:rPr>
        <w:rFonts w:ascii="Calibri" w:eastAsiaTheme="minorHAnsi" w:hAnsi="Calibri" w:cs="Calibri" w:hint="default"/>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6FA614C4"/>
    <w:multiLevelType w:val="hybridMultilevel"/>
    <w:tmpl w:val="0FF0D1C2"/>
    <w:lvl w:ilvl="0" w:tplc="5CC68954">
      <w:start w:val="1"/>
      <w:numFmt w:val="bullet"/>
      <w:lvlText w:val=""/>
      <w:lvlPicBulletId w:val="1"/>
      <w:lvlJc w:val="left"/>
      <w:pPr>
        <w:ind w:left="720" w:hanging="360"/>
      </w:pPr>
      <w:rPr>
        <w:rFonts w:ascii="Symbol" w:hAnsi="Symbol" w:hint="default"/>
        <w:outline w:val="0"/>
        <w:shadow w:val="0"/>
        <w:emboss/>
        <w:imprint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13"/>
  </w:num>
  <w:num w:numId="6">
    <w:abstractNumId w:val="4"/>
  </w:num>
  <w:num w:numId="7">
    <w:abstractNumId w:val="11"/>
  </w:num>
  <w:num w:numId="8">
    <w:abstractNumId w:val="14"/>
  </w:num>
  <w:num w:numId="9">
    <w:abstractNumId w:val="12"/>
  </w:num>
  <w:num w:numId="10">
    <w:abstractNumId w:val="6"/>
  </w:num>
  <w:num w:numId="11">
    <w:abstractNumId w:val="0"/>
  </w:num>
  <w:num w:numId="12">
    <w:abstractNumId w:val="10"/>
  </w:num>
  <w:num w:numId="13">
    <w:abstractNumId w:val="9"/>
  </w:num>
  <w:num w:numId="14">
    <w:abstractNumId w:val="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948CF"/>
    <w:rsid w:val="00004113"/>
    <w:rsid w:val="00016DAA"/>
    <w:rsid w:val="00034048"/>
    <w:rsid w:val="000D30FB"/>
    <w:rsid w:val="000F63C2"/>
    <w:rsid w:val="00103565"/>
    <w:rsid w:val="00104D65"/>
    <w:rsid w:val="00110CC4"/>
    <w:rsid w:val="00114552"/>
    <w:rsid w:val="00117A8D"/>
    <w:rsid w:val="00122645"/>
    <w:rsid w:val="0013665C"/>
    <w:rsid w:val="00166DAD"/>
    <w:rsid w:val="00166E0B"/>
    <w:rsid w:val="001933B2"/>
    <w:rsid w:val="001A27AE"/>
    <w:rsid w:val="001C77DA"/>
    <w:rsid w:val="002174B3"/>
    <w:rsid w:val="00230FE2"/>
    <w:rsid w:val="002358A7"/>
    <w:rsid w:val="0026486D"/>
    <w:rsid w:val="00284812"/>
    <w:rsid w:val="00290976"/>
    <w:rsid w:val="00291CA8"/>
    <w:rsid w:val="002C1C5C"/>
    <w:rsid w:val="002E11C5"/>
    <w:rsid w:val="002F3D67"/>
    <w:rsid w:val="00332380"/>
    <w:rsid w:val="0035472D"/>
    <w:rsid w:val="00363B80"/>
    <w:rsid w:val="003646BB"/>
    <w:rsid w:val="003948CF"/>
    <w:rsid w:val="003B5875"/>
    <w:rsid w:val="003C2E2B"/>
    <w:rsid w:val="003D0770"/>
    <w:rsid w:val="003E02FD"/>
    <w:rsid w:val="003E3202"/>
    <w:rsid w:val="004428CE"/>
    <w:rsid w:val="00464C4F"/>
    <w:rsid w:val="00480790"/>
    <w:rsid w:val="00484923"/>
    <w:rsid w:val="0048746F"/>
    <w:rsid w:val="004B6F65"/>
    <w:rsid w:val="004D164C"/>
    <w:rsid w:val="004D7152"/>
    <w:rsid w:val="0051186D"/>
    <w:rsid w:val="00530429"/>
    <w:rsid w:val="00535617"/>
    <w:rsid w:val="00576235"/>
    <w:rsid w:val="005B784A"/>
    <w:rsid w:val="005D474F"/>
    <w:rsid w:val="005D618F"/>
    <w:rsid w:val="005F2FAD"/>
    <w:rsid w:val="00622091"/>
    <w:rsid w:val="006809E6"/>
    <w:rsid w:val="006C7216"/>
    <w:rsid w:val="006E451E"/>
    <w:rsid w:val="006E5D69"/>
    <w:rsid w:val="006E6345"/>
    <w:rsid w:val="006E741E"/>
    <w:rsid w:val="006F23C0"/>
    <w:rsid w:val="007176BD"/>
    <w:rsid w:val="007326B2"/>
    <w:rsid w:val="007372A9"/>
    <w:rsid w:val="00741282"/>
    <w:rsid w:val="00771665"/>
    <w:rsid w:val="00784108"/>
    <w:rsid w:val="007B04CD"/>
    <w:rsid w:val="007B362B"/>
    <w:rsid w:val="007E2672"/>
    <w:rsid w:val="00822CCB"/>
    <w:rsid w:val="00863888"/>
    <w:rsid w:val="00866FED"/>
    <w:rsid w:val="00887D57"/>
    <w:rsid w:val="008B18DC"/>
    <w:rsid w:val="008B761B"/>
    <w:rsid w:val="008F7CE3"/>
    <w:rsid w:val="00910D7A"/>
    <w:rsid w:val="009310DE"/>
    <w:rsid w:val="00951599"/>
    <w:rsid w:val="0096411E"/>
    <w:rsid w:val="009655EA"/>
    <w:rsid w:val="00975CFE"/>
    <w:rsid w:val="00977453"/>
    <w:rsid w:val="009A6EB5"/>
    <w:rsid w:val="009F1B01"/>
    <w:rsid w:val="00A2718B"/>
    <w:rsid w:val="00A52BEA"/>
    <w:rsid w:val="00A52CB9"/>
    <w:rsid w:val="00A6565E"/>
    <w:rsid w:val="00A81801"/>
    <w:rsid w:val="00AC26C7"/>
    <w:rsid w:val="00AF7139"/>
    <w:rsid w:val="00B11B70"/>
    <w:rsid w:val="00B349B5"/>
    <w:rsid w:val="00B7680E"/>
    <w:rsid w:val="00B77744"/>
    <w:rsid w:val="00B81C99"/>
    <w:rsid w:val="00C27143"/>
    <w:rsid w:val="00C359B0"/>
    <w:rsid w:val="00C37488"/>
    <w:rsid w:val="00D206C8"/>
    <w:rsid w:val="00D52803"/>
    <w:rsid w:val="00D5307B"/>
    <w:rsid w:val="00D84CFC"/>
    <w:rsid w:val="00DD2BC9"/>
    <w:rsid w:val="00DD581C"/>
    <w:rsid w:val="00DF6A75"/>
    <w:rsid w:val="00E109B1"/>
    <w:rsid w:val="00E269D3"/>
    <w:rsid w:val="00E41401"/>
    <w:rsid w:val="00EA75C3"/>
    <w:rsid w:val="00EB259F"/>
    <w:rsid w:val="00EF2156"/>
    <w:rsid w:val="00EF40ED"/>
    <w:rsid w:val="00F00DA8"/>
    <w:rsid w:val="00F67EF2"/>
    <w:rsid w:val="00FE18EE"/>
    <w:rsid w:val="00FF3B68"/>
    <w:rsid w:val="00FF6A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3"/>
  </w:style>
  <w:style w:type="paragraph" w:styleId="Titre7">
    <w:name w:val="heading 7"/>
    <w:basedOn w:val="Normal"/>
    <w:next w:val="Normal"/>
    <w:link w:val="Titre7Car"/>
    <w:uiPriority w:val="9"/>
    <w:unhideWhenUsed/>
    <w:qFormat/>
    <w:rsid w:val="0035472D"/>
    <w:pPr>
      <w:spacing w:after="120" w:line="252" w:lineRule="auto"/>
      <w:jc w:val="center"/>
      <w:outlineLvl w:val="6"/>
    </w:pPr>
    <w:rPr>
      <w:rFonts w:asciiTheme="majorHAnsi" w:eastAsiaTheme="majorEastAsia" w:hAnsiTheme="majorHAnsi" w:cstheme="majorBidi"/>
      <w:i/>
      <w:iCs/>
      <w:caps/>
      <w:color w:val="943634" w:themeColor="accent2" w:themeShade="BF"/>
      <w:spacing w:val="10"/>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B77744"/>
    <w:pPr>
      <w:spacing w:line="252" w:lineRule="auto"/>
      <w:ind w:left="720"/>
      <w:contextualSpacing/>
    </w:pPr>
    <w:rPr>
      <w:rFonts w:asciiTheme="majorHAnsi" w:eastAsiaTheme="majorEastAsia" w:hAnsiTheme="majorHAnsi" w:cstheme="majorBidi"/>
      <w:lang w:bidi="en-US"/>
    </w:rPr>
  </w:style>
  <w:style w:type="character" w:customStyle="1" w:styleId="ParagraphedelisteCar">
    <w:name w:val="Paragraphe de liste Car"/>
    <w:link w:val="Paragraphedeliste"/>
    <w:uiPriority w:val="34"/>
    <w:locked/>
    <w:rsid w:val="00B77744"/>
    <w:rPr>
      <w:rFonts w:asciiTheme="majorHAnsi" w:eastAsiaTheme="majorEastAsia" w:hAnsiTheme="majorHAnsi" w:cstheme="majorBidi"/>
      <w:lang w:bidi="en-US"/>
    </w:rPr>
  </w:style>
  <w:style w:type="table" w:styleId="Grilledutableau">
    <w:name w:val="Table Grid"/>
    <w:basedOn w:val="TableauNormal"/>
    <w:uiPriority w:val="59"/>
    <w:rsid w:val="00166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7Car">
    <w:name w:val="Titre 7 Car"/>
    <w:basedOn w:val="Policepardfaut"/>
    <w:link w:val="Titre7"/>
    <w:uiPriority w:val="9"/>
    <w:rsid w:val="0035472D"/>
    <w:rPr>
      <w:rFonts w:asciiTheme="majorHAnsi" w:eastAsiaTheme="majorEastAsia" w:hAnsiTheme="majorHAnsi" w:cstheme="majorBidi"/>
      <w:i/>
      <w:iCs/>
      <w:caps/>
      <w:color w:val="943634" w:themeColor="accent2" w:themeShade="BF"/>
      <w:spacing w:val="10"/>
      <w:lang w:bidi="en-US"/>
    </w:rPr>
  </w:style>
  <w:style w:type="paragraph" w:styleId="Textedebulles">
    <w:name w:val="Balloon Text"/>
    <w:basedOn w:val="Normal"/>
    <w:link w:val="TextedebullesCar"/>
    <w:uiPriority w:val="99"/>
    <w:semiHidden/>
    <w:unhideWhenUsed/>
    <w:rsid w:val="004807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0790"/>
    <w:rPr>
      <w:rFonts w:ascii="Tahoma" w:hAnsi="Tahoma" w:cs="Tahoma"/>
      <w:sz w:val="16"/>
      <w:szCs w:val="16"/>
    </w:rPr>
  </w:style>
  <w:style w:type="table" w:customStyle="1" w:styleId="Tramemoyenne21">
    <w:name w:val="Trame moyenne 21"/>
    <w:basedOn w:val="TableauNormal"/>
    <w:uiPriority w:val="64"/>
    <w:rsid w:val="00104D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11">
    <w:name w:val="Trame moyenne 11"/>
    <w:basedOn w:val="TableauNormal"/>
    <w:uiPriority w:val="63"/>
    <w:rsid w:val="00104D6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moyenne21">
    <w:name w:val="Liste moyenne 21"/>
    <w:basedOn w:val="TableauNormal"/>
    <w:uiPriority w:val="66"/>
    <w:rsid w:val="00104D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claire-Accent5">
    <w:name w:val="Light Shading Accent 5"/>
    <w:basedOn w:val="TableauNormal"/>
    <w:uiPriority w:val="60"/>
    <w:rsid w:val="00FF6AD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moyenne1-Accent2">
    <w:name w:val="Medium List 1 Accent 2"/>
    <w:basedOn w:val="TableauNormal"/>
    <w:uiPriority w:val="65"/>
    <w:rsid w:val="00FF6AD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styleId="En-tte">
    <w:name w:val="header"/>
    <w:basedOn w:val="Normal"/>
    <w:link w:val="En-tteCar"/>
    <w:uiPriority w:val="99"/>
    <w:semiHidden/>
    <w:unhideWhenUsed/>
    <w:rsid w:val="001C77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C77DA"/>
  </w:style>
  <w:style w:type="paragraph" w:styleId="Pieddepage">
    <w:name w:val="footer"/>
    <w:basedOn w:val="Normal"/>
    <w:link w:val="PieddepageCar"/>
    <w:uiPriority w:val="99"/>
    <w:semiHidden/>
    <w:unhideWhenUsed/>
    <w:rsid w:val="001C77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C77DA"/>
  </w:style>
</w:styles>
</file>

<file path=word/webSettings.xml><?xml version="1.0" encoding="utf-8"?>
<w:webSettings xmlns:r="http://schemas.openxmlformats.org/officeDocument/2006/relationships" xmlns:w="http://schemas.openxmlformats.org/wordprocessingml/2006/main">
  <w:divs>
    <w:div w:id="500388366">
      <w:bodyDiv w:val="1"/>
      <w:marLeft w:val="0"/>
      <w:marRight w:val="0"/>
      <w:marTop w:val="0"/>
      <w:marBottom w:val="0"/>
      <w:divBdr>
        <w:top w:val="none" w:sz="0" w:space="0" w:color="auto"/>
        <w:left w:val="none" w:sz="0" w:space="0" w:color="auto"/>
        <w:bottom w:val="none" w:sz="0" w:space="0" w:color="auto"/>
        <w:right w:val="none" w:sz="0" w:space="0" w:color="auto"/>
      </w:divBdr>
    </w:div>
    <w:div w:id="534192461">
      <w:bodyDiv w:val="1"/>
      <w:marLeft w:val="0"/>
      <w:marRight w:val="0"/>
      <w:marTop w:val="0"/>
      <w:marBottom w:val="0"/>
      <w:divBdr>
        <w:top w:val="none" w:sz="0" w:space="0" w:color="auto"/>
        <w:left w:val="none" w:sz="0" w:space="0" w:color="auto"/>
        <w:bottom w:val="none" w:sz="0" w:space="0" w:color="auto"/>
        <w:right w:val="none" w:sz="0" w:space="0" w:color="auto"/>
      </w:divBdr>
    </w:div>
    <w:div w:id="644699708">
      <w:bodyDiv w:val="1"/>
      <w:marLeft w:val="0"/>
      <w:marRight w:val="0"/>
      <w:marTop w:val="0"/>
      <w:marBottom w:val="0"/>
      <w:divBdr>
        <w:top w:val="none" w:sz="0" w:space="0" w:color="auto"/>
        <w:left w:val="none" w:sz="0" w:space="0" w:color="auto"/>
        <w:bottom w:val="none" w:sz="0" w:space="0" w:color="auto"/>
        <w:right w:val="none" w:sz="0" w:space="0" w:color="auto"/>
      </w:divBdr>
    </w:div>
    <w:div w:id="775252131">
      <w:bodyDiv w:val="1"/>
      <w:marLeft w:val="0"/>
      <w:marRight w:val="0"/>
      <w:marTop w:val="0"/>
      <w:marBottom w:val="0"/>
      <w:divBdr>
        <w:top w:val="none" w:sz="0" w:space="0" w:color="auto"/>
        <w:left w:val="none" w:sz="0" w:space="0" w:color="auto"/>
        <w:bottom w:val="none" w:sz="0" w:space="0" w:color="auto"/>
        <w:right w:val="none" w:sz="0" w:space="0" w:color="auto"/>
      </w:divBdr>
    </w:div>
    <w:div w:id="814637632">
      <w:bodyDiv w:val="1"/>
      <w:marLeft w:val="0"/>
      <w:marRight w:val="0"/>
      <w:marTop w:val="0"/>
      <w:marBottom w:val="0"/>
      <w:divBdr>
        <w:top w:val="none" w:sz="0" w:space="0" w:color="auto"/>
        <w:left w:val="none" w:sz="0" w:space="0" w:color="auto"/>
        <w:bottom w:val="none" w:sz="0" w:space="0" w:color="auto"/>
        <w:right w:val="none" w:sz="0" w:space="0" w:color="auto"/>
      </w:divBdr>
    </w:div>
    <w:div w:id="1066876082">
      <w:bodyDiv w:val="1"/>
      <w:marLeft w:val="0"/>
      <w:marRight w:val="0"/>
      <w:marTop w:val="0"/>
      <w:marBottom w:val="0"/>
      <w:divBdr>
        <w:top w:val="none" w:sz="0" w:space="0" w:color="auto"/>
        <w:left w:val="none" w:sz="0" w:space="0" w:color="auto"/>
        <w:bottom w:val="none" w:sz="0" w:space="0" w:color="auto"/>
        <w:right w:val="none" w:sz="0" w:space="0" w:color="auto"/>
      </w:divBdr>
    </w:div>
    <w:div w:id="1511336410">
      <w:bodyDiv w:val="1"/>
      <w:marLeft w:val="0"/>
      <w:marRight w:val="0"/>
      <w:marTop w:val="0"/>
      <w:marBottom w:val="0"/>
      <w:divBdr>
        <w:top w:val="none" w:sz="0" w:space="0" w:color="auto"/>
        <w:left w:val="none" w:sz="0" w:space="0" w:color="auto"/>
        <w:bottom w:val="none" w:sz="0" w:space="0" w:color="auto"/>
        <w:right w:val="none" w:sz="0" w:space="0" w:color="auto"/>
      </w:divBdr>
    </w:div>
    <w:div w:id="1575971828">
      <w:bodyDiv w:val="1"/>
      <w:marLeft w:val="0"/>
      <w:marRight w:val="0"/>
      <w:marTop w:val="0"/>
      <w:marBottom w:val="0"/>
      <w:divBdr>
        <w:top w:val="none" w:sz="0" w:space="0" w:color="auto"/>
        <w:left w:val="none" w:sz="0" w:space="0" w:color="auto"/>
        <w:bottom w:val="none" w:sz="0" w:space="0" w:color="auto"/>
        <w:right w:val="none" w:sz="0" w:space="0" w:color="auto"/>
      </w:divBdr>
    </w:div>
    <w:div w:id="201237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2" Type="http://schemas.openxmlformats.org/officeDocument/2006/relationships/oleObject" Target="Classeur1" TargetMode="External"/><Relationship Id="rId1" Type="http://schemas.openxmlformats.org/officeDocument/2006/relationships/image" Target="../media/image3.jpeg"/></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39"/>
  <c:chart>
    <c:title>
      <c:tx>
        <c:rich>
          <a:bodyPr/>
          <a:lstStyle/>
          <a:p>
            <a:pPr>
              <a:defRPr sz="1800">
                <a:latin typeface="Times New Roman" pitchFamily="18" charset="0"/>
                <a:cs typeface="Times New Roman" pitchFamily="18" charset="0"/>
              </a:defRPr>
            </a:pPr>
            <a:r>
              <a:rPr lang="fr-FR" sz="1800">
                <a:latin typeface="Times New Roman" pitchFamily="18" charset="0"/>
                <a:cs typeface="Times New Roman" pitchFamily="18" charset="0"/>
              </a:rPr>
              <a:t>Résultats de la SDA 2012-2017</a:t>
            </a:r>
          </a:p>
        </c:rich>
      </c:tx>
      <c:spPr>
        <a:solidFill>
          <a:schemeClr val="lt1"/>
        </a:solidFill>
        <a:ln w="25400" cap="flat" cmpd="sng" algn="ctr">
          <a:solidFill>
            <a:schemeClr val="dk1"/>
          </a:solidFill>
          <a:prstDash val="solid"/>
        </a:ln>
        <a:effectLst/>
      </c:spPr>
    </c:title>
    <c:view3D>
      <c:rAngAx val="1"/>
    </c:view3D>
    <c:sideWall>
      <c:spPr>
        <a:solidFill>
          <a:schemeClr val="bg1">
            <a:lumMod val="85000"/>
          </a:schemeClr>
        </a:solidFill>
      </c:spPr>
    </c:sideWall>
    <c:backWall>
      <c:spPr>
        <a:solidFill>
          <a:schemeClr val="bg1">
            <a:lumMod val="85000"/>
          </a:schemeClr>
        </a:solidFill>
      </c:spPr>
    </c:backWall>
    <c:plotArea>
      <c:layout/>
      <c:bar3DChart>
        <c:barDir val="col"/>
        <c:grouping val="clustered"/>
        <c:ser>
          <c:idx val="0"/>
          <c:order val="0"/>
          <c:spPr>
            <a:blipFill>
              <a:blip xmlns:r="http://schemas.openxmlformats.org/officeDocument/2006/relationships" r:embed="rId1"/>
              <a:tile tx="0" ty="0" sx="100000" sy="100000" flip="none" algn="tl"/>
            </a:blipFill>
          </c:spPr>
          <c:dLbls>
            <c:dLbl>
              <c:idx val="0"/>
              <c:layout>
                <c:manualLayout>
                  <c:x val="1.9369380345750843E-17"/>
                  <c:y val="-1.7452006980802813E-2"/>
                </c:manualLayout>
              </c:layout>
              <c:spPr>
                <a:gradFill flip="none" rotWithShape="1">
                  <a:gsLst>
                    <a:gs pos="0">
                      <a:srgbClr val="C0504D">
                        <a:lumMod val="40000"/>
                        <a:lumOff val="60000"/>
                        <a:shade val="30000"/>
                        <a:satMod val="115000"/>
                      </a:srgbClr>
                    </a:gs>
                    <a:gs pos="50000">
                      <a:srgbClr val="C0504D">
                        <a:lumMod val="40000"/>
                        <a:lumOff val="60000"/>
                        <a:shade val="67500"/>
                        <a:satMod val="115000"/>
                      </a:srgbClr>
                    </a:gs>
                    <a:gs pos="100000">
                      <a:srgbClr val="C0504D">
                        <a:lumMod val="40000"/>
                        <a:lumOff val="60000"/>
                        <a:shade val="100000"/>
                        <a:satMod val="115000"/>
                      </a:srgbClr>
                    </a:gs>
                  </a:gsLst>
                  <a:lin ang="0" scaled="1"/>
                  <a:tileRect/>
                </a:gradFill>
                <a:effectLst>
                  <a:innerShdw blurRad="114300">
                    <a:prstClr val="black"/>
                  </a:innerShdw>
                </a:effectLst>
              </c:spPr>
              <c:txPr>
                <a:bodyPr/>
                <a:lstStyle/>
                <a:p>
                  <a:pPr>
                    <a:defRPr/>
                  </a:pPr>
                  <a:endParaRPr lang="fr-FR"/>
                </a:p>
              </c:txPr>
              <c:showVal val="1"/>
            </c:dLbl>
            <c:dLbl>
              <c:idx val="1"/>
              <c:spPr>
                <a:gradFill flip="none" rotWithShape="1">
                  <a:gsLst>
                    <a:gs pos="0">
                      <a:srgbClr val="C0504D">
                        <a:lumMod val="40000"/>
                        <a:lumOff val="60000"/>
                        <a:shade val="30000"/>
                        <a:satMod val="115000"/>
                      </a:srgbClr>
                    </a:gs>
                    <a:gs pos="50000">
                      <a:srgbClr val="C0504D">
                        <a:lumMod val="40000"/>
                        <a:lumOff val="60000"/>
                        <a:shade val="67500"/>
                        <a:satMod val="115000"/>
                      </a:srgbClr>
                    </a:gs>
                    <a:gs pos="100000">
                      <a:srgbClr val="C0504D">
                        <a:lumMod val="40000"/>
                        <a:lumOff val="60000"/>
                        <a:shade val="100000"/>
                        <a:satMod val="115000"/>
                      </a:srgbClr>
                    </a:gs>
                  </a:gsLst>
                  <a:lin ang="0" scaled="1"/>
                  <a:tileRect/>
                </a:gradFill>
              </c:spPr>
              <c:txPr>
                <a:bodyPr/>
                <a:lstStyle/>
                <a:p>
                  <a:pPr algn="ctr" rtl="0">
                    <a:defRPr/>
                  </a:pPr>
                  <a:endParaRPr lang="fr-FR"/>
                </a:p>
              </c:txPr>
            </c:dLbl>
            <c:dLbl>
              <c:idx val="2"/>
              <c:layout>
                <c:manualLayout>
                  <c:x val="0"/>
                  <c:y val="-1.0471204188481679E-2"/>
                </c:manualLayout>
              </c:layout>
              <c:showVal val="1"/>
            </c:dLbl>
            <c:dLbl>
              <c:idx val="3"/>
              <c:layout>
                <c:manualLayout>
                  <c:x val="2.1130477202710852E-3"/>
                  <c:y val="-2.7923211169284621E-2"/>
                </c:manualLayout>
              </c:layout>
              <c:showVal val="1"/>
            </c:dLbl>
            <c:dLbl>
              <c:idx val="4"/>
              <c:layout>
                <c:manualLayout>
                  <c:x val="0"/>
                  <c:y val="-2.0942408376963411E-2"/>
                </c:manualLayout>
              </c:layout>
              <c:showVal val="1"/>
            </c:dLbl>
            <c:dLbl>
              <c:idx val="5"/>
              <c:layout>
                <c:manualLayout>
                  <c:x val="0"/>
                  <c:y val="-1.7452006980802813E-2"/>
                </c:manualLayout>
              </c:layout>
              <c:showVal val="1"/>
            </c:dLbl>
            <c:spPr>
              <a:gradFill flip="none" rotWithShape="1">
                <a:gsLst>
                  <a:gs pos="0">
                    <a:srgbClr val="C0504D">
                      <a:lumMod val="40000"/>
                      <a:lumOff val="60000"/>
                      <a:shade val="30000"/>
                      <a:satMod val="115000"/>
                    </a:srgbClr>
                  </a:gs>
                  <a:gs pos="50000">
                    <a:srgbClr val="C0504D">
                      <a:lumMod val="40000"/>
                      <a:lumOff val="60000"/>
                      <a:shade val="67500"/>
                      <a:satMod val="115000"/>
                    </a:srgbClr>
                  </a:gs>
                  <a:gs pos="100000">
                    <a:srgbClr val="C0504D">
                      <a:lumMod val="40000"/>
                      <a:lumOff val="60000"/>
                      <a:shade val="100000"/>
                      <a:satMod val="115000"/>
                    </a:srgbClr>
                  </a:gs>
                </a:gsLst>
                <a:lin ang="0" scaled="1"/>
                <a:tileRect/>
              </a:gradFill>
            </c:spPr>
            <c:showVal val="1"/>
          </c:dLbls>
          <c:cat>
            <c:numRef>
              <c:f>Feuil1!$D$6:$I$6</c:f>
              <c:numCache>
                <c:formatCode>General</c:formatCode>
                <c:ptCount val="6"/>
                <c:pt idx="0">
                  <c:v>2012</c:v>
                </c:pt>
                <c:pt idx="1">
                  <c:v>2013</c:v>
                </c:pt>
                <c:pt idx="2">
                  <c:v>2014</c:v>
                </c:pt>
                <c:pt idx="3">
                  <c:v>2015</c:v>
                </c:pt>
                <c:pt idx="4">
                  <c:v>2016</c:v>
                </c:pt>
                <c:pt idx="5">
                  <c:v>2017</c:v>
                </c:pt>
              </c:numCache>
            </c:numRef>
          </c:cat>
          <c:val>
            <c:numRef>
              <c:f>Feuil1!$D$7:$I$7</c:f>
              <c:numCache>
                <c:formatCode>#,##0</c:formatCode>
                <c:ptCount val="6"/>
                <c:pt idx="0">
                  <c:v>-4896.0313830000041</c:v>
                </c:pt>
                <c:pt idx="1">
                  <c:v>-5763.0423319999982</c:v>
                </c:pt>
                <c:pt idx="2">
                  <c:v>-4946.9610419712126</c:v>
                </c:pt>
                <c:pt idx="3">
                  <c:v>-4787.7744991080399</c:v>
                </c:pt>
                <c:pt idx="4">
                  <c:v>-5230.7950651395513</c:v>
                </c:pt>
                <c:pt idx="5">
                  <c:v>-5563.1931694102623</c:v>
                </c:pt>
              </c:numCache>
            </c:numRef>
          </c:val>
        </c:ser>
        <c:shape val="box"/>
        <c:axId val="117625984"/>
        <c:axId val="117627904"/>
        <c:axId val="0"/>
      </c:bar3DChart>
      <c:catAx>
        <c:axId val="117625984"/>
        <c:scaling>
          <c:orientation val="minMax"/>
        </c:scaling>
        <c:axPos val="b"/>
        <c:numFmt formatCode="General" sourceLinked="1"/>
        <c:majorTickMark val="none"/>
        <c:tickLblPos val="nextTo"/>
        <c:txPr>
          <a:bodyPr/>
          <a:lstStyle/>
          <a:p>
            <a:pPr>
              <a:defRPr sz="1200" b="1"/>
            </a:pPr>
            <a:endParaRPr lang="fr-FR"/>
          </a:p>
        </c:txPr>
        <c:crossAx val="117627904"/>
        <c:crosses val="autoZero"/>
        <c:auto val="1"/>
        <c:lblAlgn val="ctr"/>
        <c:lblOffset val="100"/>
      </c:catAx>
      <c:valAx>
        <c:axId val="117627904"/>
        <c:scaling>
          <c:orientation val="minMax"/>
        </c:scaling>
        <c:axPos val="l"/>
        <c:majorGridlines/>
        <c:numFmt formatCode="#,##0" sourceLinked="1"/>
        <c:majorTickMark val="none"/>
        <c:tickLblPos val="nextTo"/>
        <c:crossAx val="117625984"/>
        <c:crosses val="autoZero"/>
        <c:crossBetween val="between"/>
      </c:valAx>
    </c:plotArea>
    <c:plotVisOnly val="1"/>
  </c:chart>
  <c:spPr>
    <a:solidFill>
      <a:schemeClr val="lt1"/>
    </a:solidFill>
    <a:ln w="25400" cap="flat" cmpd="sng" algn="ctr">
      <a:solidFill>
        <a:schemeClr val="accent2"/>
      </a:solidFill>
      <a:prstDash val="solid"/>
    </a:ln>
    <a:effectLst/>
  </c:spPr>
  <c:txPr>
    <a:bodyPr/>
    <a:lstStyle/>
    <a:p>
      <a:pPr>
        <a:defRPr>
          <a:solidFill>
            <a:schemeClr val="dk1"/>
          </a:solidFill>
          <a:latin typeface="+mn-lt"/>
          <a:ea typeface="+mn-ea"/>
          <a:cs typeface="+mn-cs"/>
        </a:defRPr>
      </a:pPr>
      <a:endParaRPr lang="fr-FR"/>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view3D>
      <c:rAngAx val="1"/>
    </c:view3D>
    <c:plotArea>
      <c:layout/>
      <c:bar3DChart>
        <c:barDir val="col"/>
        <c:grouping val="clustered"/>
        <c:ser>
          <c:idx val="0"/>
          <c:order val="0"/>
          <c:spPr>
            <a:gradFill flip="none" rotWithShape="1">
              <a:gsLst>
                <a:gs pos="0">
                  <a:srgbClr val="03D4A8"/>
                </a:gs>
                <a:gs pos="25000">
                  <a:srgbClr val="21D6E0"/>
                </a:gs>
                <a:gs pos="75000">
                  <a:srgbClr val="0087E6"/>
                </a:gs>
                <a:gs pos="100000">
                  <a:srgbClr val="005CBF"/>
                </a:gs>
              </a:gsLst>
              <a:lin ang="8100000" scaled="1"/>
              <a:tileRect/>
            </a:gradFill>
            <a:scene3d>
              <a:camera prst="orthographicFront"/>
              <a:lightRig rig="threePt" dir="t"/>
            </a:scene3d>
            <a:sp3d prstMaterial="plastic">
              <a:bevelT/>
              <a:bevelB w="152400" h="50800" prst="softRound"/>
            </a:sp3d>
          </c:spPr>
          <c:dPt>
            <c:idx val="0"/>
            <c:spPr>
              <a:gradFill flip="none" rotWithShape="1">
                <a:gsLst>
                  <a:gs pos="0">
                    <a:srgbClr val="03D4A8"/>
                  </a:gs>
                  <a:gs pos="25000">
                    <a:srgbClr val="21D6E0"/>
                  </a:gs>
                  <a:gs pos="75000">
                    <a:srgbClr val="0087E6"/>
                  </a:gs>
                  <a:gs pos="100000">
                    <a:srgbClr val="005CBF"/>
                  </a:gs>
                </a:gsLst>
                <a:lin ang="8100000" scaled="1"/>
                <a:tileRect/>
              </a:gradFill>
              <a:ln w="6350"/>
              <a:effectLst>
                <a:innerShdw blurRad="114300">
                  <a:schemeClr val="accent4">
                    <a:lumMod val="60000"/>
                    <a:lumOff val="40000"/>
                  </a:schemeClr>
                </a:innerShdw>
              </a:effectLst>
              <a:scene3d>
                <a:camera prst="orthographicFront"/>
                <a:lightRig rig="threePt" dir="t"/>
              </a:scene3d>
              <a:sp3d prstMaterial="plastic">
                <a:bevelT/>
                <a:bevelB w="152400" h="50800" prst="softRound"/>
              </a:sp3d>
            </c:spPr>
          </c:dPt>
          <c:dLbls>
            <c:dLbl>
              <c:idx val="0"/>
              <c:layout>
                <c:manualLayout>
                  <c:x val="5.9612518628912132E-3"/>
                  <c:y val="-2.3148148148148147E-2"/>
                </c:manualLayout>
              </c:layout>
              <c:showVal val="1"/>
            </c:dLbl>
            <c:dLbl>
              <c:idx val="1"/>
              <c:layout>
                <c:manualLayout>
                  <c:x val="0"/>
                  <c:y val="-2.3148148148148147E-2"/>
                </c:manualLayout>
              </c:layout>
              <c:showVal val="1"/>
            </c:dLbl>
            <c:dLbl>
              <c:idx val="2"/>
              <c:layout>
                <c:manualLayout>
                  <c:x val="5.9612518628912132E-3"/>
                  <c:y val="-2.7777777777778123E-2"/>
                </c:manualLayout>
              </c:layout>
              <c:showVal val="1"/>
            </c:dLbl>
            <c:dLbl>
              <c:idx val="3"/>
              <c:layout>
                <c:manualLayout>
                  <c:x val="5.9612518628911837E-3"/>
                  <c:y val="-2.7777777777778141E-2"/>
                </c:manualLayout>
              </c:layout>
              <c:showVal val="1"/>
            </c:dLbl>
            <c:dLbl>
              <c:idx val="4"/>
              <c:layout>
                <c:manualLayout>
                  <c:x val="0"/>
                  <c:y val="-2.7777777777778123E-2"/>
                </c:manualLayout>
              </c:layout>
              <c:showVal val="1"/>
            </c:dLbl>
            <c:dLbl>
              <c:idx val="5"/>
              <c:layout>
                <c:manualLayout>
                  <c:x val="5.9612518628912132E-3"/>
                  <c:y val="-4.1666666666666692E-2"/>
                </c:manualLayout>
              </c:layout>
              <c:showVal val="1"/>
            </c:dLbl>
            <c:spPr>
              <a:gradFill flip="none" rotWithShape="1">
                <a:gsLst>
                  <a:gs pos="0">
                    <a:srgbClr val="FFEFD1"/>
                  </a:gs>
                  <a:gs pos="64999">
                    <a:srgbClr val="F0EBD5"/>
                  </a:gs>
                  <a:gs pos="100000">
                    <a:srgbClr val="D1C39F"/>
                  </a:gs>
                </a:gsLst>
                <a:lin ang="11400000" scaled="0"/>
                <a:tileRect/>
              </a:gradFill>
              <a:ln cmpd="dbl"/>
              <a:effectLst/>
              <a:scene3d>
                <a:camera prst="orthographicFront"/>
                <a:lightRig rig="threePt" dir="t"/>
              </a:scene3d>
              <a:sp3d prstMaterial="flat">
                <a:bevelT w="152400" h="50800" prst="softRound"/>
                <a:bevelB w="152400" h="50800" prst="softRound"/>
              </a:sp3d>
            </c:spPr>
            <c:txPr>
              <a:bodyPr/>
              <a:lstStyle/>
              <a:p>
                <a:pPr>
                  <a:defRPr b="1"/>
                </a:pPr>
                <a:endParaRPr lang="fr-FR"/>
              </a:p>
            </c:txPr>
            <c:showVal val="1"/>
          </c:dLbls>
          <c:cat>
            <c:numRef>
              <c:f>Feuil2!$C$3:$H$3</c:f>
              <c:numCache>
                <c:formatCode>_-* #,##0\ _€_-;\-* #,##0\ _€_-;_-* "-"??\ _€_-;_-@_-</c:formatCode>
                <c:ptCount val="6"/>
                <c:pt idx="0">
                  <c:v>2012</c:v>
                </c:pt>
                <c:pt idx="1">
                  <c:v>2013</c:v>
                </c:pt>
                <c:pt idx="2">
                  <c:v>2014</c:v>
                </c:pt>
                <c:pt idx="3">
                  <c:v>2015</c:v>
                </c:pt>
                <c:pt idx="4">
                  <c:v>2016</c:v>
                </c:pt>
                <c:pt idx="5">
                  <c:v>2017</c:v>
                </c:pt>
              </c:numCache>
            </c:numRef>
          </c:cat>
          <c:val>
            <c:numRef>
              <c:f>Feuil2!$C$4:$H$4</c:f>
              <c:numCache>
                <c:formatCode>#,##0</c:formatCode>
                <c:ptCount val="6"/>
                <c:pt idx="0">
                  <c:v>26574.999999999996</c:v>
                </c:pt>
                <c:pt idx="1">
                  <c:v>28154</c:v>
                </c:pt>
                <c:pt idx="2">
                  <c:v>29863.587626680455</c:v>
                </c:pt>
                <c:pt idx="3">
                  <c:v>31772.186011497583</c:v>
                </c:pt>
                <c:pt idx="4">
                  <c:v>33696.246259079919</c:v>
                </c:pt>
                <c:pt idx="5">
                  <c:v>35670.249341068957</c:v>
                </c:pt>
              </c:numCache>
            </c:numRef>
          </c:val>
        </c:ser>
        <c:shape val="box"/>
        <c:axId val="124336000"/>
        <c:axId val="124337536"/>
        <c:axId val="0"/>
      </c:bar3DChart>
      <c:catAx>
        <c:axId val="124336000"/>
        <c:scaling>
          <c:orientation val="minMax"/>
        </c:scaling>
        <c:axPos val="b"/>
        <c:numFmt formatCode="_-* #,##0\ _€_-;\-* #,##0\ _€_-;_-* &quot;-&quot;??\ _€_-;_-@_-" sourceLinked="1"/>
        <c:tickLblPos val="nextTo"/>
        <c:crossAx val="124337536"/>
        <c:crosses val="autoZero"/>
        <c:auto val="1"/>
        <c:lblAlgn val="ctr"/>
        <c:lblOffset val="100"/>
      </c:catAx>
      <c:valAx>
        <c:axId val="124337536"/>
        <c:scaling>
          <c:orientation val="minMax"/>
        </c:scaling>
        <c:axPos val="l"/>
        <c:majorGridlines/>
        <c:numFmt formatCode="#,##0" sourceLinked="1"/>
        <c:tickLblPos val="nextTo"/>
        <c:crossAx val="12433600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view3D>
      <c:rAngAx val="1"/>
    </c:view3D>
    <c:plotArea>
      <c:layout/>
      <c:bar3DChart>
        <c:barDir val="col"/>
        <c:grouping val="clustered"/>
        <c:ser>
          <c:idx val="0"/>
          <c:order val="0"/>
          <c:spPr>
            <a:gradFill flip="none" rotWithShape="1">
              <a:gsLst>
                <a:gs pos="0">
                  <a:srgbClr val="03D4A8"/>
                </a:gs>
                <a:gs pos="25000">
                  <a:srgbClr val="21D6E0"/>
                </a:gs>
                <a:gs pos="75000">
                  <a:srgbClr val="0087E6"/>
                </a:gs>
                <a:gs pos="100000">
                  <a:srgbClr val="005CBF"/>
                </a:gs>
              </a:gsLst>
              <a:lin ang="8100000" scaled="1"/>
              <a:tileRect/>
            </a:gradFill>
            <a:scene3d>
              <a:camera prst="orthographicFront"/>
              <a:lightRig rig="threePt" dir="t"/>
            </a:scene3d>
            <a:sp3d prstMaterial="plastic">
              <a:bevelT/>
              <a:bevelB w="152400" h="50800" prst="softRound"/>
            </a:sp3d>
          </c:spPr>
          <c:dPt>
            <c:idx val="0"/>
            <c:spPr>
              <a:gradFill flip="none" rotWithShape="1">
                <a:gsLst>
                  <a:gs pos="0">
                    <a:srgbClr val="03D4A8"/>
                  </a:gs>
                  <a:gs pos="25000">
                    <a:srgbClr val="21D6E0"/>
                  </a:gs>
                  <a:gs pos="75000">
                    <a:srgbClr val="0087E6"/>
                  </a:gs>
                  <a:gs pos="100000">
                    <a:srgbClr val="005CBF"/>
                  </a:gs>
                </a:gsLst>
                <a:lin ang="8100000" scaled="1"/>
                <a:tileRect/>
              </a:gradFill>
              <a:ln w="6350"/>
              <a:effectLst>
                <a:innerShdw blurRad="114300">
                  <a:schemeClr val="accent4">
                    <a:lumMod val="60000"/>
                    <a:lumOff val="40000"/>
                  </a:schemeClr>
                </a:innerShdw>
              </a:effectLst>
              <a:scene3d>
                <a:camera prst="orthographicFront"/>
                <a:lightRig rig="threePt" dir="t"/>
              </a:scene3d>
              <a:sp3d prstMaterial="plastic">
                <a:bevelT/>
                <a:bevelB w="152400" h="50800" prst="softRound"/>
              </a:sp3d>
            </c:spPr>
          </c:dPt>
          <c:dLbls>
            <c:dLbl>
              <c:idx val="0"/>
              <c:layout>
                <c:manualLayout>
                  <c:x val="5.9612518628912124E-3"/>
                  <c:y val="-2.3148148148148147E-2"/>
                </c:manualLayout>
              </c:layout>
              <c:showVal val="1"/>
            </c:dLbl>
            <c:dLbl>
              <c:idx val="1"/>
              <c:layout>
                <c:manualLayout>
                  <c:x val="0"/>
                  <c:y val="-2.3148148148148147E-2"/>
                </c:manualLayout>
              </c:layout>
              <c:showVal val="1"/>
            </c:dLbl>
            <c:dLbl>
              <c:idx val="2"/>
              <c:layout>
                <c:manualLayout>
                  <c:x val="5.9612518628912124E-3"/>
                  <c:y val="-2.7777777777778054E-2"/>
                </c:manualLayout>
              </c:layout>
              <c:showVal val="1"/>
            </c:dLbl>
            <c:dLbl>
              <c:idx val="3"/>
              <c:layout>
                <c:manualLayout>
                  <c:x val="5.9612518628911742E-3"/>
                  <c:y val="-2.7777777777778078E-2"/>
                </c:manualLayout>
              </c:layout>
              <c:showVal val="1"/>
            </c:dLbl>
            <c:dLbl>
              <c:idx val="4"/>
              <c:layout>
                <c:manualLayout>
                  <c:x val="0"/>
                  <c:y val="-2.7777777777778054E-2"/>
                </c:manualLayout>
              </c:layout>
              <c:showVal val="1"/>
            </c:dLbl>
            <c:dLbl>
              <c:idx val="5"/>
              <c:layout>
                <c:manualLayout>
                  <c:x val="5.9612518628912124E-3"/>
                  <c:y val="-4.1666666666666664E-2"/>
                </c:manualLayout>
              </c:layout>
              <c:showVal val="1"/>
            </c:dLbl>
            <c:spPr>
              <a:gradFill flip="none" rotWithShape="1">
                <a:gsLst>
                  <a:gs pos="0">
                    <a:srgbClr val="FFEFD1"/>
                  </a:gs>
                  <a:gs pos="64999">
                    <a:srgbClr val="F0EBD5"/>
                  </a:gs>
                  <a:gs pos="100000">
                    <a:srgbClr val="D1C39F"/>
                  </a:gs>
                </a:gsLst>
                <a:lin ang="11400000" scaled="0"/>
                <a:tileRect/>
              </a:gradFill>
              <a:ln cmpd="dbl"/>
              <a:effectLst/>
              <a:scene3d>
                <a:camera prst="orthographicFront"/>
                <a:lightRig rig="threePt" dir="t"/>
              </a:scene3d>
              <a:sp3d prstMaterial="flat">
                <a:bevelT w="152400" h="50800" prst="softRound"/>
                <a:bevelB w="152400" h="50800" prst="softRound"/>
              </a:sp3d>
            </c:spPr>
            <c:txPr>
              <a:bodyPr/>
              <a:lstStyle/>
              <a:p>
                <a:pPr>
                  <a:defRPr b="1"/>
                </a:pPr>
                <a:endParaRPr lang="fr-FR"/>
              </a:p>
            </c:txPr>
            <c:showVal val="1"/>
          </c:dLbls>
          <c:cat>
            <c:numRef>
              <c:f>Feuil1!$C$60:$H$60</c:f>
              <c:numCache>
                <c:formatCode>General</c:formatCode>
                <c:ptCount val="6"/>
                <c:pt idx="0">
                  <c:v>2012</c:v>
                </c:pt>
                <c:pt idx="1">
                  <c:v>2013</c:v>
                </c:pt>
                <c:pt idx="2">
                  <c:v>2014</c:v>
                </c:pt>
                <c:pt idx="3">
                  <c:v>2015</c:v>
                </c:pt>
                <c:pt idx="4">
                  <c:v>2016</c:v>
                </c:pt>
                <c:pt idx="5">
                  <c:v>2017</c:v>
                </c:pt>
              </c:numCache>
            </c:numRef>
          </c:cat>
          <c:val>
            <c:numRef>
              <c:f>Feuil1!$C$61:$H$61</c:f>
              <c:numCache>
                <c:formatCode>#,##0</c:formatCode>
                <c:ptCount val="6"/>
                <c:pt idx="0">
                  <c:v>25349.031383000001</c:v>
                </c:pt>
                <c:pt idx="1">
                  <c:v>27710.042332000001</c:v>
                </c:pt>
                <c:pt idx="2">
                  <c:v>28491.27956106179</c:v>
                </c:pt>
                <c:pt idx="3">
                  <c:v>30404.052568985877</c:v>
                </c:pt>
                <c:pt idx="4">
                  <c:v>33056.419490345797</c:v>
                </c:pt>
                <c:pt idx="5">
                  <c:v>35792.721405514356</c:v>
                </c:pt>
              </c:numCache>
            </c:numRef>
          </c:val>
        </c:ser>
        <c:shape val="box"/>
        <c:axId val="138543488"/>
        <c:axId val="138545024"/>
        <c:axId val="0"/>
      </c:bar3DChart>
      <c:catAx>
        <c:axId val="138543488"/>
        <c:scaling>
          <c:orientation val="minMax"/>
        </c:scaling>
        <c:axPos val="b"/>
        <c:numFmt formatCode="General" sourceLinked="1"/>
        <c:tickLblPos val="nextTo"/>
        <c:crossAx val="138545024"/>
        <c:crosses val="autoZero"/>
        <c:auto val="1"/>
        <c:lblAlgn val="ctr"/>
        <c:lblOffset val="100"/>
      </c:catAx>
      <c:valAx>
        <c:axId val="138545024"/>
        <c:scaling>
          <c:orientation val="minMax"/>
        </c:scaling>
        <c:axPos val="l"/>
        <c:majorGridlines/>
        <c:numFmt formatCode="#,##0" sourceLinked="1"/>
        <c:tickLblPos val="nextTo"/>
        <c:crossAx val="138543488"/>
        <c:crosses val="autoZero"/>
        <c:crossBetween val="between"/>
      </c:valAx>
    </c:plotArea>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1348</Words>
  <Characters>7419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nabila</dc:creator>
  <cp:lastModifiedBy>Comptabilite</cp:lastModifiedBy>
  <cp:revision>5</cp:revision>
  <dcterms:created xsi:type="dcterms:W3CDTF">2012-11-28T15:24:00Z</dcterms:created>
  <dcterms:modified xsi:type="dcterms:W3CDTF">2012-12-02T13:18:00Z</dcterms:modified>
</cp:coreProperties>
</file>