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1283" w14:textId="77777777" w:rsidR="00B10D2B" w:rsidRDefault="00000000">
      <w:pPr>
        <w:pStyle w:val="Heading1"/>
      </w:pPr>
      <w:bookmarkStart w:id="0" w:name="app:facilities"/>
      <w:r>
        <w:t>Appendix 2: Facilities &amp; Other Resources</w:t>
      </w:r>
    </w:p>
    <w:p w14:paraId="58DB1954" w14:textId="7496F28F" w:rsidR="00B10D2B" w:rsidRDefault="00000000">
      <w:pPr>
        <w:pStyle w:val="BodyText"/>
      </w:pPr>
      <w:r>
        <w:rPr>
          <w:b/>
          <w:bCs/>
        </w:rPr>
        <w:t>BYU Materials Discovery Laboratory (Lead Institution).</w:t>
      </w:r>
      <w:r>
        <w:t xml:space="preserve"> The PI’s Vertical Cloud Lab (</w:t>
      </w:r>
      <w:r w:rsidR="00F13F41">
        <w:rPr>
          <w:rStyle w:val="VerbatimChar"/>
        </w:rPr>
        <w:t>700</w:t>
      </w:r>
      <w:r>
        <w:t xml:space="preserve"> sq. ft. non-shared lab space in the Department of Mechanical Engineering </w:t>
      </w:r>
      <w:r w:rsidR="00F13F41">
        <w:t xml:space="preserve">is equipped for metallurgical workflows and </w:t>
      </w:r>
      <w:r>
        <w:t xml:space="preserve">houses an </w:t>
      </w:r>
      <w:r>
        <w:rPr>
          <w:b/>
          <w:bCs/>
        </w:rPr>
        <w:t xml:space="preserve">AMAZEMET </w:t>
      </w:r>
      <w:proofErr w:type="spellStart"/>
      <w:r>
        <w:rPr>
          <w:b/>
          <w:bCs/>
        </w:rPr>
        <w:t>rePOWDER</w:t>
      </w:r>
      <w:proofErr w:type="spellEnd"/>
      <w:r>
        <w:rPr>
          <w:b/>
          <w:bCs/>
        </w:rPr>
        <w:t xml:space="preserve"> ultrasonic atomizer with induction crucible module</w:t>
      </w:r>
      <w:r w:rsidR="00F13F41">
        <w:rPr>
          <w:b/>
          <w:bCs/>
        </w:rPr>
        <w:t>.</w:t>
      </w:r>
      <w:r>
        <w:t xml:space="preserve"> Powder characterization is performed on-site via the </w:t>
      </w:r>
      <w:r>
        <w:rPr>
          <w:b/>
          <w:bCs/>
        </w:rPr>
        <w:t>BYU Microscopy Center</w:t>
      </w:r>
      <w:r>
        <w:t xml:space="preserve"> (</w:t>
      </w:r>
      <w:hyperlink r:id="rId5">
        <w:r>
          <w:rPr>
            <w:rStyle w:val="Hyperlink"/>
          </w:rPr>
          <w:t>https://microscopy.byu.edu</w:t>
        </w:r>
      </w:hyperlink>
      <w:r>
        <w:t>)</w:t>
      </w:r>
      <w:r w:rsidR="00F13F41">
        <w:t>.</w:t>
      </w:r>
    </w:p>
    <w:p w14:paraId="679338CC" w14:textId="5DE43F0D" w:rsidR="00B10D2B" w:rsidRDefault="00000000">
      <w:pPr>
        <w:pStyle w:val="BodyText"/>
      </w:pPr>
      <w:r>
        <w:t xml:space="preserve">The </w:t>
      </w:r>
      <w:r>
        <w:rPr>
          <w:b/>
          <w:bCs/>
        </w:rPr>
        <w:t>BYU Prototyping Lab</w:t>
      </w:r>
      <w:r>
        <w:t xml:space="preserve"> (machine shop; </w:t>
      </w:r>
      <w:hyperlink r:id="rId6">
        <w:r>
          <w:rPr>
            <w:rStyle w:val="Hyperlink"/>
          </w:rPr>
          <w:t>https://capstone.byu.edu/physical-prototyping-resources</w:t>
        </w:r>
      </w:hyperlink>
      <w:r>
        <w:t xml:space="preserve">) provides CNC machining, lathe, and mill services for specimen preparation, with a local </w:t>
      </w:r>
      <w:r>
        <w:rPr>
          <w:b/>
          <w:bCs/>
        </w:rPr>
        <w:t>wire EDM</w:t>
      </w:r>
      <w:r>
        <w:t xml:space="preserve"> service in Provo available for precision sectioning (PI has prior experience)</w:t>
      </w:r>
      <w:r w:rsidR="00F13F41">
        <w:t>.</w:t>
      </w:r>
    </w:p>
    <w:p w14:paraId="7B33EBE3" w14:textId="77777777" w:rsidR="00B10D2B" w:rsidRDefault="00000000">
      <w:pPr>
        <w:pStyle w:val="BodyText"/>
      </w:pPr>
      <w:r>
        <w:rPr>
          <w:b/>
          <w:bCs/>
        </w:rPr>
        <w:t>University of Utah Characterization Facilities.</w:t>
      </w:r>
      <w:r>
        <w:t xml:space="preserve"> In addition to BYU’s advanced characterization facilities; advanced characterization is also available through UofU’s Electron Microscopy and Surface Analysis Laboratory (EMSAL, </w:t>
      </w:r>
      <w:hyperlink r:id="rId7">
        <w:r>
          <w:rPr>
            <w:rStyle w:val="Hyperlink"/>
          </w:rPr>
          <w:t>https://emsal.nanofab.utah.edu</w:t>
        </w:r>
      </w:hyperlink>
      <w:r>
        <w:t xml:space="preserve">): a </w:t>
      </w:r>
      <w:r>
        <w:rPr>
          <w:b/>
          <w:bCs/>
        </w:rPr>
        <w:t>Zeiss Xradia Versa 620</w:t>
      </w:r>
      <w:r>
        <w:t xml:space="preserve"> 3D X-ray microscope/nano-CT (acquired through a collaborative BYU–UofU MRI grant) with lab-DCT crystallographic imaging, in-situ heating/cooling/tension/compression stage (up to 5 kN), flat panel extension for large-volume imaging, and tomographic reconstruction software for 3D visualization and segmentation—enabling non-destructive volumetric defect analysis and real-time observation of crack initiation under load (also listed under Mechanical Testing below for in-situ capabilities).</w:t>
      </w:r>
    </w:p>
    <w:p w14:paraId="5AAB0DBA" w14:textId="77777777" w:rsidR="00B10D2B" w:rsidRDefault="00000000">
      <w:pPr>
        <w:pStyle w:val="BodyText"/>
      </w:pPr>
      <w:r>
        <w:rPr>
          <w:b/>
          <w:bCs/>
        </w:rPr>
        <w:t>Computing Resources.</w:t>
      </w:r>
      <w:r>
        <w:t xml:space="preserve"> BYU’s Office of Research Computing operates a SLURM-managed </w:t>
      </w:r>
      <w:r>
        <w:rPr>
          <w:b/>
          <w:bCs/>
        </w:rPr>
        <w:t>HPC cluster</w:t>
      </w:r>
      <w:r>
        <w:t xml:space="preserve"> with </w:t>
      </w:r>
      <m:oMath>
        <m:r>
          <m:rPr>
            <m:sty m:val="p"/>
          </m:rPr>
          <w:rPr>
            <w:rFonts w:ascii="Cambria Math" w:hAnsi="Cambria Math"/>
          </w:rPr>
          <m:t>∼</m:t>
        </m:r>
      </m:oMath>
      <w:r>
        <w:t>28,000+ CPU cores, 367 GPUs (including NVIDIA H200, H100, A100, and L40S), and over 180 TB of memory across 616 nodes (</w:t>
      </w:r>
      <w:hyperlink r:id="rId8">
        <w:r>
          <w:rPr>
            <w:rStyle w:val="Hyperlink"/>
          </w:rPr>
          <w:t>https://rc.byu.edu</w:t>
        </w:r>
      </w:hyperlink>
      <w:r>
        <w:t>). Resources are allocated via fairshare scheduling at no direct cost to the project. Parallelized CALPHAD evaluation runs via TC-Python with licensed Thermo-Calc databases (</w:t>
      </w:r>
      <w:r>
        <w:rPr>
          <w:b/>
          <w:bCs/>
        </w:rPr>
        <w:t>TCAl10, TCMG6, and the AM Module</w:t>
      </w:r>
      <w:r>
        <w:t xml:space="preserve">; commitment letter from Thermo-Calc AB, funded partner). </w:t>
      </w:r>
      <w:r>
        <w:rPr>
          <w:b/>
          <w:bCs/>
        </w:rPr>
        <w:t>GPU-equipped nodes</w:t>
      </w:r>
      <w:r>
        <w:t xml:space="preserve"> support BoTorch/GPyTorch surrogate model training and pKGFN acquisition function evaluation. The PI has extensive academic HPC experience (BYU, University of Utah, University of Toronto), including managing highly parallelized computational projects (sometimes up to 100,000+ jobs) for machine learning model training, physics-based simulations, and advanced Bayesian optimization benchmarking campaigns  and is proficient in SLURM workload management, checkpointing, fault-tolerant restarts, and efficient resource utilization. BYU also offers an HPC class and provides extensive documentation and dedicated staff support for research computing.</w:t>
      </w:r>
    </w:p>
    <w:p w14:paraId="0F87D8CD" w14:textId="77777777" w:rsidR="00B10D2B" w:rsidRDefault="00000000">
      <w:r>
        <w:pict w14:anchorId="24EADB1C">
          <v:rect id="_x0000_i1025" style="width:0;height:1.5pt" o:hralign="center" o:hrstd="t" o:hr="t"/>
        </w:pict>
      </w:r>
    </w:p>
    <w:p w14:paraId="6994E405" w14:textId="77777777" w:rsidR="00B10D2B" w:rsidRDefault="00000000">
      <w:pPr>
        <w:pStyle w:val="Heading1"/>
      </w:pPr>
      <w:bookmarkStart w:id="1" w:name="app:equipment"/>
      <w:bookmarkEnd w:id="0"/>
      <w:r>
        <w:lastRenderedPageBreak/>
        <w:t>Appendix 3: Equipment</w:t>
      </w:r>
    </w:p>
    <w:p w14:paraId="00C0D78E" w14:textId="77777777" w:rsidR="00B10D2B" w:rsidRDefault="00000000">
      <w:pPr>
        <w:pStyle w:val="BodyText"/>
      </w:pPr>
      <w:r>
        <w:rPr>
          <w:b/>
          <w:bCs/>
          <w:smallCaps/>
        </w:rPr>
        <w:t>Powder Production</w:t>
      </w:r>
    </w:p>
    <w:p w14:paraId="011A0475" w14:textId="04519CF8" w:rsidR="00B10D2B" w:rsidRDefault="00000000">
      <w:pPr>
        <w:pStyle w:val="BodyText"/>
      </w:pPr>
      <w:r>
        <w:rPr>
          <w:b/>
          <w:bCs/>
        </w:rPr>
        <w:t>AMAZEMET rePOWDER Ultrasonic Atomizer with Induction Crucible Module</w:t>
      </w:r>
      <w:r>
        <w:t xml:space="preserve"> (BYU; delivery April 30, 2026). Custom Al alloy powder production from elemental powder mixtures packed into machined high-purity Al crucibles; enables up to 3 compositions/day (M–F) and 1 on Saturday.</w:t>
      </w:r>
    </w:p>
    <w:p w14:paraId="26C7AF73" w14:textId="77777777" w:rsidR="00B10D2B" w:rsidRDefault="00000000">
      <w:pPr>
        <w:pStyle w:val="BodyText"/>
      </w:pPr>
      <w:r>
        <w:rPr>
          <w:b/>
          <w:bCs/>
          <w:smallCaps/>
        </w:rPr>
        <w:t>Characterization &amp; Microscopy</w:t>
      </w:r>
    </w:p>
    <w:p w14:paraId="55A283E7" w14:textId="77777777" w:rsidR="00B10D2B" w:rsidRDefault="00000000">
      <w:pPr>
        <w:pStyle w:val="BodyText"/>
      </w:pPr>
      <w:r>
        <w:rPr>
          <w:b/>
          <w:bCs/>
        </w:rPr>
        <w:t>BYU Microscopy Center SEM/TEM Suite (</w:t>
      </w:r>
      <w:hyperlink r:id="rId9">
        <w:r>
          <w:rPr>
            <w:rStyle w:val="Hyperlink"/>
            <w:b/>
            <w:bCs/>
          </w:rPr>
          <w:t>https://microscopy.byu.edu</w:t>
        </w:r>
      </w:hyperlink>
      <w:r>
        <w:rPr>
          <w:b/>
          <w:bCs/>
        </w:rPr>
        <w:t>).</w:t>
      </w:r>
      <w:r>
        <w:t xml:space="preserve"> Four shared-facility electron microscopes; all SEMs accept samples up to 6 inch diameter with up to 12 inch total length (no stage travel). Detector/mode matrix:</w:t>
      </w:r>
    </w:p>
    <w:tbl>
      <w:tblPr>
        <w:tblStyle w:val="Table"/>
        <w:tblW w:w="0" w:type="auto"/>
        <w:tblLook w:val="0020" w:firstRow="1" w:lastRow="0" w:firstColumn="0" w:lastColumn="0" w:noHBand="0" w:noVBand="0"/>
      </w:tblPr>
      <w:tblGrid>
        <w:gridCol w:w="3589"/>
        <w:gridCol w:w="1330"/>
        <w:gridCol w:w="1446"/>
        <w:gridCol w:w="1927"/>
        <w:gridCol w:w="1284"/>
      </w:tblGrid>
      <w:tr w:rsidR="00B10D2B" w14:paraId="725B3056" w14:textId="77777777" w:rsidTr="00B10D2B">
        <w:trPr>
          <w:cnfStyle w:val="100000000000" w:firstRow="1" w:lastRow="0" w:firstColumn="0" w:lastColumn="0" w:oddVBand="0" w:evenVBand="0" w:oddHBand="0" w:evenHBand="0" w:firstRowFirstColumn="0" w:firstRowLastColumn="0" w:lastRowFirstColumn="0" w:lastRowLastColumn="0"/>
          <w:tblHeader/>
        </w:trPr>
        <w:tc>
          <w:tcPr>
            <w:tcW w:w="0" w:type="auto"/>
          </w:tcPr>
          <w:p w14:paraId="56AB11F1" w14:textId="77777777" w:rsidR="00B10D2B" w:rsidRDefault="00000000">
            <w:pPr>
              <w:pStyle w:val="Compact"/>
            </w:pPr>
            <w:r>
              <w:t>Detector / Mode</w:t>
            </w:r>
          </w:p>
        </w:tc>
        <w:tc>
          <w:tcPr>
            <w:tcW w:w="0" w:type="auto"/>
          </w:tcPr>
          <w:p w14:paraId="7BDC249C" w14:textId="77777777" w:rsidR="00B10D2B" w:rsidRDefault="00000000">
            <w:pPr>
              <w:pStyle w:val="Compact"/>
              <w:jc w:val="center"/>
            </w:pPr>
            <w:r>
              <w:t>Tecnai F20 TEM</w:t>
            </w:r>
          </w:p>
        </w:tc>
        <w:tc>
          <w:tcPr>
            <w:tcW w:w="0" w:type="auto"/>
          </w:tcPr>
          <w:p w14:paraId="4775819D" w14:textId="77777777" w:rsidR="00B10D2B" w:rsidRDefault="00000000">
            <w:pPr>
              <w:pStyle w:val="Compact"/>
              <w:jc w:val="center"/>
            </w:pPr>
            <w:r>
              <w:t>Verios G4 UC SEM</w:t>
            </w:r>
          </w:p>
        </w:tc>
        <w:tc>
          <w:tcPr>
            <w:tcW w:w="0" w:type="auto"/>
          </w:tcPr>
          <w:p w14:paraId="01FA3124" w14:textId="77777777" w:rsidR="00B10D2B" w:rsidRDefault="00000000">
            <w:pPr>
              <w:pStyle w:val="Compact"/>
              <w:jc w:val="center"/>
            </w:pPr>
            <w:r>
              <w:t>Helios NanoLab 600</w:t>
            </w:r>
          </w:p>
        </w:tc>
        <w:tc>
          <w:tcPr>
            <w:tcW w:w="0" w:type="auto"/>
          </w:tcPr>
          <w:p w14:paraId="763BE207" w14:textId="77777777" w:rsidR="00B10D2B" w:rsidRDefault="00000000">
            <w:pPr>
              <w:pStyle w:val="Compact"/>
              <w:jc w:val="center"/>
            </w:pPr>
            <w:r>
              <w:t>Apreo C SEM</w:t>
            </w:r>
          </w:p>
        </w:tc>
      </w:tr>
      <w:tr w:rsidR="00B10D2B" w14:paraId="1F132878" w14:textId="77777777">
        <w:tc>
          <w:tcPr>
            <w:tcW w:w="0" w:type="auto"/>
          </w:tcPr>
          <w:p w14:paraId="2F5A4582" w14:textId="77777777" w:rsidR="00B10D2B" w:rsidRDefault="00000000">
            <w:pPr>
              <w:pStyle w:val="Compact"/>
            </w:pPr>
            <w:r>
              <w:t>Everhart–Thornley (ETD, SE/BSE)</w:t>
            </w:r>
          </w:p>
        </w:tc>
        <w:tc>
          <w:tcPr>
            <w:tcW w:w="0" w:type="auto"/>
          </w:tcPr>
          <w:p w14:paraId="35296637" w14:textId="77777777" w:rsidR="00B10D2B" w:rsidRDefault="00B10D2B">
            <w:pPr>
              <w:pStyle w:val="Compact"/>
            </w:pPr>
          </w:p>
        </w:tc>
        <w:tc>
          <w:tcPr>
            <w:tcW w:w="0" w:type="auto"/>
          </w:tcPr>
          <w:p w14:paraId="10432B98" w14:textId="77777777" w:rsidR="00B10D2B" w:rsidRDefault="00000000">
            <w:pPr>
              <w:pStyle w:val="Compact"/>
              <w:jc w:val="center"/>
            </w:pPr>
            <m:oMathPara>
              <m:oMath>
                <m:r>
                  <m:rPr>
                    <m:sty m:val="p"/>
                  </m:rPr>
                  <w:rPr>
                    <w:rFonts w:ascii="Cambria Math" w:hAnsi="Cambria Math"/>
                  </w:rPr>
                  <m:t>✓</m:t>
                </m:r>
              </m:oMath>
            </m:oMathPara>
          </w:p>
        </w:tc>
        <w:tc>
          <w:tcPr>
            <w:tcW w:w="0" w:type="auto"/>
          </w:tcPr>
          <w:p w14:paraId="7BEC1100" w14:textId="77777777" w:rsidR="00B10D2B" w:rsidRDefault="00000000">
            <w:pPr>
              <w:pStyle w:val="Compact"/>
              <w:jc w:val="center"/>
            </w:pPr>
            <m:oMathPara>
              <m:oMath>
                <m:r>
                  <m:rPr>
                    <m:sty m:val="p"/>
                  </m:rPr>
                  <w:rPr>
                    <w:rFonts w:ascii="Cambria Math" w:hAnsi="Cambria Math"/>
                  </w:rPr>
                  <m:t>✓</m:t>
                </m:r>
              </m:oMath>
            </m:oMathPara>
          </w:p>
        </w:tc>
        <w:tc>
          <w:tcPr>
            <w:tcW w:w="0" w:type="auto"/>
          </w:tcPr>
          <w:p w14:paraId="2A552257" w14:textId="77777777" w:rsidR="00B10D2B" w:rsidRDefault="00000000">
            <w:pPr>
              <w:pStyle w:val="Compact"/>
              <w:jc w:val="center"/>
            </w:pPr>
            <m:oMathPara>
              <m:oMath>
                <m:r>
                  <m:rPr>
                    <m:sty m:val="p"/>
                  </m:rPr>
                  <w:rPr>
                    <w:rFonts w:ascii="Cambria Math" w:hAnsi="Cambria Math"/>
                  </w:rPr>
                  <m:t>✓</m:t>
                </m:r>
              </m:oMath>
            </m:oMathPara>
          </w:p>
        </w:tc>
      </w:tr>
      <w:tr w:rsidR="00B10D2B" w14:paraId="7C287D21" w14:textId="77777777">
        <w:tc>
          <w:tcPr>
            <w:tcW w:w="0" w:type="auto"/>
          </w:tcPr>
          <w:p w14:paraId="3D04344C" w14:textId="77777777" w:rsidR="00B10D2B" w:rsidRDefault="00000000">
            <w:pPr>
              <w:pStyle w:val="Compact"/>
            </w:pPr>
            <w:r>
              <w:t xml:space="preserve">Backscatter electron (BSE, </w:t>
            </w:r>
            <m:oMath>
              <m:r>
                <w:rPr>
                  <w:rFonts w:ascii="Cambria Math" w:hAnsi="Cambria Math"/>
                </w:rPr>
                <m:t>Z</m:t>
              </m:r>
            </m:oMath>
            <w:r>
              <w:t>-contrast)</w:t>
            </w:r>
          </w:p>
        </w:tc>
        <w:tc>
          <w:tcPr>
            <w:tcW w:w="0" w:type="auto"/>
          </w:tcPr>
          <w:p w14:paraId="655723FE" w14:textId="77777777" w:rsidR="00B10D2B" w:rsidRDefault="00B10D2B">
            <w:pPr>
              <w:pStyle w:val="Compact"/>
            </w:pPr>
          </w:p>
        </w:tc>
        <w:tc>
          <w:tcPr>
            <w:tcW w:w="0" w:type="auto"/>
          </w:tcPr>
          <w:p w14:paraId="5B0CC60D" w14:textId="77777777" w:rsidR="00B10D2B" w:rsidRDefault="00000000">
            <w:pPr>
              <w:pStyle w:val="Compact"/>
              <w:jc w:val="center"/>
            </w:pPr>
            <m:oMathPara>
              <m:oMath>
                <m:r>
                  <m:rPr>
                    <m:sty m:val="p"/>
                  </m:rPr>
                  <w:rPr>
                    <w:rFonts w:ascii="Cambria Math" w:hAnsi="Cambria Math"/>
                  </w:rPr>
                  <m:t>✓</m:t>
                </m:r>
              </m:oMath>
            </m:oMathPara>
          </w:p>
        </w:tc>
        <w:tc>
          <w:tcPr>
            <w:tcW w:w="0" w:type="auto"/>
          </w:tcPr>
          <w:p w14:paraId="1416C774" w14:textId="77777777" w:rsidR="00B10D2B" w:rsidRDefault="00B10D2B">
            <w:pPr>
              <w:pStyle w:val="Compact"/>
            </w:pPr>
          </w:p>
        </w:tc>
        <w:tc>
          <w:tcPr>
            <w:tcW w:w="0" w:type="auto"/>
          </w:tcPr>
          <w:p w14:paraId="48EE61BD" w14:textId="77777777" w:rsidR="00B10D2B" w:rsidRDefault="00000000">
            <w:pPr>
              <w:pStyle w:val="Compact"/>
              <w:jc w:val="center"/>
            </w:pPr>
            <m:oMathPara>
              <m:oMath>
                <m:r>
                  <m:rPr>
                    <m:sty m:val="p"/>
                  </m:rPr>
                  <w:rPr>
                    <w:rFonts w:ascii="Cambria Math" w:hAnsi="Cambria Math"/>
                  </w:rPr>
                  <m:t>✓</m:t>
                </m:r>
              </m:oMath>
            </m:oMathPara>
          </w:p>
        </w:tc>
      </w:tr>
      <w:tr w:rsidR="00B10D2B" w14:paraId="6839FE36" w14:textId="77777777">
        <w:tc>
          <w:tcPr>
            <w:tcW w:w="0" w:type="auto"/>
          </w:tcPr>
          <w:p w14:paraId="3855434A" w14:textId="77777777" w:rsidR="00B10D2B" w:rsidRDefault="00000000">
            <w:pPr>
              <w:pStyle w:val="Compact"/>
            </w:pPr>
            <w:r>
              <w:t>Energy-dispersive X-ray (EDXA/EDS)</w:t>
            </w:r>
          </w:p>
        </w:tc>
        <w:tc>
          <w:tcPr>
            <w:tcW w:w="0" w:type="auto"/>
          </w:tcPr>
          <w:p w14:paraId="3A0341BA" w14:textId="77777777" w:rsidR="00B10D2B" w:rsidRDefault="00000000">
            <w:pPr>
              <w:pStyle w:val="Compact"/>
              <w:jc w:val="center"/>
            </w:pPr>
            <m:oMathPara>
              <m:oMath>
                <m:r>
                  <m:rPr>
                    <m:sty m:val="p"/>
                  </m:rPr>
                  <w:rPr>
                    <w:rFonts w:ascii="Cambria Math" w:hAnsi="Cambria Math"/>
                  </w:rPr>
                  <m:t>✓</m:t>
                </m:r>
              </m:oMath>
            </m:oMathPara>
          </w:p>
        </w:tc>
        <w:tc>
          <w:tcPr>
            <w:tcW w:w="0" w:type="auto"/>
          </w:tcPr>
          <w:p w14:paraId="29FD603A" w14:textId="77777777" w:rsidR="00B10D2B" w:rsidRDefault="00000000">
            <w:pPr>
              <w:pStyle w:val="Compact"/>
              <w:jc w:val="center"/>
            </w:pPr>
            <m:oMathPara>
              <m:oMath>
                <m:r>
                  <m:rPr>
                    <m:sty m:val="p"/>
                  </m:rPr>
                  <w:rPr>
                    <w:rFonts w:ascii="Cambria Math" w:hAnsi="Cambria Math"/>
                  </w:rPr>
                  <m:t>✓</m:t>
                </m:r>
              </m:oMath>
            </m:oMathPara>
          </w:p>
        </w:tc>
        <w:tc>
          <w:tcPr>
            <w:tcW w:w="0" w:type="auto"/>
          </w:tcPr>
          <w:p w14:paraId="78615ADF" w14:textId="77777777" w:rsidR="00B10D2B" w:rsidRDefault="00000000">
            <w:pPr>
              <w:pStyle w:val="Compact"/>
              <w:jc w:val="center"/>
            </w:pPr>
            <m:oMathPara>
              <m:oMath>
                <m:r>
                  <m:rPr>
                    <m:sty m:val="p"/>
                  </m:rPr>
                  <w:rPr>
                    <w:rFonts w:ascii="Cambria Math" w:hAnsi="Cambria Math"/>
                  </w:rPr>
                  <m:t>✓</m:t>
                </m:r>
              </m:oMath>
            </m:oMathPara>
          </w:p>
        </w:tc>
        <w:tc>
          <w:tcPr>
            <w:tcW w:w="0" w:type="auto"/>
          </w:tcPr>
          <w:p w14:paraId="49E819FE" w14:textId="77777777" w:rsidR="00B10D2B" w:rsidRDefault="00000000">
            <w:pPr>
              <w:pStyle w:val="Compact"/>
              <w:jc w:val="center"/>
            </w:pPr>
            <m:oMathPara>
              <m:oMath>
                <m:r>
                  <m:rPr>
                    <m:sty m:val="p"/>
                  </m:rPr>
                  <w:rPr>
                    <w:rFonts w:ascii="Cambria Math" w:hAnsi="Cambria Math"/>
                  </w:rPr>
                  <m:t>✓</m:t>
                </m:r>
              </m:oMath>
            </m:oMathPara>
          </w:p>
        </w:tc>
      </w:tr>
      <w:tr w:rsidR="00B10D2B" w14:paraId="59DC8039" w14:textId="77777777">
        <w:tc>
          <w:tcPr>
            <w:tcW w:w="0" w:type="auto"/>
          </w:tcPr>
          <w:p w14:paraId="13DA4EC3" w14:textId="77777777" w:rsidR="00B10D2B" w:rsidRDefault="00000000">
            <w:pPr>
              <w:pStyle w:val="Compact"/>
            </w:pPr>
            <w:r>
              <w:t>Electron backscatter diffraction (EBSD)</w:t>
            </w:r>
          </w:p>
        </w:tc>
        <w:tc>
          <w:tcPr>
            <w:tcW w:w="0" w:type="auto"/>
          </w:tcPr>
          <w:p w14:paraId="390C4CF5" w14:textId="77777777" w:rsidR="00B10D2B" w:rsidRDefault="00B10D2B">
            <w:pPr>
              <w:pStyle w:val="Compact"/>
            </w:pPr>
          </w:p>
        </w:tc>
        <w:tc>
          <w:tcPr>
            <w:tcW w:w="0" w:type="auto"/>
          </w:tcPr>
          <w:p w14:paraId="27F11CBC" w14:textId="77777777" w:rsidR="00B10D2B" w:rsidRDefault="00B10D2B">
            <w:pPr>
              <w:pStyle w:val="Compact"/>
            </w:pPr>
          </w:p>
        </w:tc>
        <w:tc>
          <w:tcPr>
            <w:tcW w:w="0" w:type="auto"/>
          </w:tcPr>
          <w:p w14:paraId="67E827F2" w14:textId="77777777" w:rsidR="00B10D2B" w:rsidRDefault="00000000">
            <w:pPr>
              <w:pStyle w:val="Compact"/>
              <w:jc w:val="center"/>
            </w:pPr>
            <m:oMathPara>
              <m:oMath>
                <m:r>
                  <m:rPr>
                    <m:sty m:val="p"/>
                  </m:rPr>
                  <w:rPr>
                    <w:rFonts w:ascii="Cambria Math" w:hAnsi="Cambria Math"/>
                  </w:rPr>
                  <m:t>✓</m:t>
                </m:r>
              </m:oMath>
            </m:oMathPara>
          </w:p>
        </w:tc>
        <w:tc>
          <w:tcPr>
            <w:tcW w:w="0" w:type="auto"/>
          </w:tcPr>
          <w:p w14:paraId="50514BF9" w14:textId="77777777" w:rsidR="00B10D2B" w:rsidRDefault="00000000">
            <w:pPr>
              <w:pStyle w:val="Compact"/>
              <w:jc w:val="center"/>
            </w:pPr>
            <m:oMathPara>
              <m:oMath>
                <m:r>
                  <m:rPr>
                    <m:sty m:val="p"/>
                  </m:rPr>
                  <w:rPr>
                    <w:rFonts w:ascii="Cambria Math" w:hAnsi="Cambria Math"/>
                  </w:rPr>
                  <m:t>✓</m:t>
                </m:r>
              </m:oMath>
            </m:oMathPara>
          </w:p>
        </w:tc>
      </w:tr>
      <w:tr w:rsidR="00B10D2B" w14:paraId="5CC37A06" w14:textId="77777777">
        <w:tc>
          <w:tcPr>
            <w:tcW w:w="0" w:type="auto"/>
          </w:tcPr>
          <w:p w14:paraId="7B2FF2B4" w14:textId="77777777" w:rsidR="00B10D2B" w:rsidRDefault="00000000">
            <w:pPr>
              <w:pStyle w:val="Compact"/>
            </w:pPr>
            <w:r>
              <w:t>Cathodoluminescence (CL)</w:t>
            </w:r>
          </w:p>
        </w:tc>
        <w:tc>
          <w:tcPr>
            <w:tcW w:w="0" w:type="auto"/>
          </w:tcPr>
          <w:p w14:paraId="797EE816" w14:textId="77777777" w:rsidR="00B10D2B" w:rsidRDefault="00B10D2B">
            <w:pPr>
              <w:pStyle w:val="Compact"/>
            </w:pPr>
          </w:p>
        </w:tc>
        <w:tc>
          <w:tcPr>
            <w:tcW w:w="0" w:type="auto"/>
          </w:tcPr>
          <w:p w14:paraId="149A8835" w14:textId="77777777" w:rsidR="00B10D2B" w:rsidRDefault="00B10D2B">
            <w:pPr>
              <w:pStyle w:val="Compact"/>
            </w:pPr>
          </w:p>
        </w:tc>
        <w:tc>
          <w:tcPr>
            <w:tcW w:w="0" w:type="auto"/>
          </w:tcPr>
          <w:p w14:paraId="0768289B" w14:textId="77777777" w:rsidR="00B10D2B" w:rsidRDefault="00B10D2B">
            <w:pPr>
              <w:pStyle w:val="Compact"/>
            </w:pPr>
          </w:p>
        </w:tc>
        <w:tc>
          <w:tcPr>
            <w:tcW w:w="0" w:type="auto"/>
          </w:tcPr>
          <w:p w14:paraId="41EA837F" w14:textId="77777777" w:rsidR="00B10D2B" w:rsidRDefault="00000000">
            <w:pPr>
              <w:pStyle w:val="Compact"/>
              <w:jc w:val="center"/>
            </w:pPr>
            <m:oMathPara>
              <m:oMath>
                <m:r>
                  <m:rPr>
                    <m:sty m:val="p"/>
                  </m:rPr>
                  <w:rPr>
                    <w:rFonts w:ascii="Cambria Math" w:hAnsi="Cambria Math"/>
                  </w:rPr>
                  <m:t>✓</m:t>
                </m:r>
              </m:oMath>
            </m:oMathPara>
          </w:p>
        </w:tc>
      </w:tr>
      <w:tr w:rsidR="00B10D2B" w14:paraId="5A3C5AB1" w14:textId="77777777">
        <w:tc>
          <w:tcPr>
            <w:tcW w:w="0" w:type="auto"/>
          </w:tcPr>
          <w:p w14:paraId="522D1EAE" w14:textId="77777777" w:rsidR="00B10D2B" w:rsidRDefault="00000000">
            <w:pPr>
              <w:pStyle w:val="Compact"/>
            </w:pPr>
            <w:r>
              <w:t>Focused ion beam (FIB, Ga</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t>
            </w:r>
          </w:p>
        </w:tc>
        <w:tc>
          <w:tcPr>
            <w:tcW w:w="0" w:type="auto"/>
          </w:tcPr>
          <w:p w14:paraId="27FEE5A2" w14:textId="77777777" w:rsidR="00B10D2B" w:rsidRDefault="00B10D2B">
            <w:pPr>
              <w:pStyle w:val="Compact"/>
            </w:pPr>
          </w:p>
        </w:tc>
        <w:tc>
          <w:tcPr>
            <w:tcW w:w="0" w:type="auto"/>
          </w:tcPr>
          <w:p w14:paraId="78BC4B52" w14:textId="77777777" w:rsidR="00B10D2B" w:rsidRDefault="00B10D2B">
            <w:pPr>
              <w:pStyle w:val="Compact"/>
            </w:pPr>
          </w:p>
        </w:tc>
        <w:tc>
          <w:tcPr>
            <w:tcW w:w="0" w:type="auto"/>
          </w:tcPr>
          <w:p w14:paraId="6AA26FF7" w14:textId="77777777" w:rsidR="00B10D2B" w:rsidRDefault="00000000">
            <w:pPr>
              <w:pStyle w:val="Compact"/>
              <w:jc w:val="center"/>
            </w:pPr>
            <m:oMathPara>
              <m:oMath>
                <m:r>
                  <m:rPr>
                    <m:sty m:val="p"/>
                  </m:rPr>
                  <w:rPr>
                    <w:rFonts w:ascii="Cambria Math" w:hAnsi="Cambria Math"/>
                  </w:rPr>
                  <m:t>✓</m:t>
                </m:r>
              </m:oMath>
            </m:oMathPara>
          </w:p>
        </w:tc>
        <w:tc>
          <w:tcPr>
            <w:tcW w:w="0" w:type="auto"/>
          </w:tcPr>
          <w:p w14:paraId="74AE3536" w14:textId="77777777" w:rsidR="00B10D2B" w:rsidRDefault="00B10D2B">
            <w:pPr>
              <w:pStyle w:val="Compact"/>
            </w:pPr>
          </w:p>
        </w:tc>
      </w:tr>
      <w:tr w:rsidR="00B10D2B" w14:paraId="060318B2" w14:textId="77777777">
        <w:tc>
          <w:tcPr>
            <w:tcW w:w="0" w:type="auto"/>
          </w:tcPr>
          <w:p w14:paraId="58701EBA" w14:textId="77777777" w:rsidR="00B10D2B" w:rsidRDefault="00000000">
            <w:pPr>
              <w:pStyle w:val="Compact"/>
            </w:pPr>
            <w:r>
              <w:t>Immersion lens (high-res mode)</w:t>
            </w:r>
          </w:p>
        </w:tc>
        <w:tc>
          <w:tcPr>
            <w:tcW w:w="0" w:type="auto"/>
          </w:tcPr>
          <w:p w14:paraId="6057AB06" w14:textId="77777777" w:rsidR="00B10D2B" w:rsidRDefault="00B10D2B">
            <w:pPr>
              <w:pStyle w:val="Compact"/>
            </w:pPr>
          </w:p>
        </w:tc>
        <w:tc>
          <w:tcPr>
            <w:tcW w:w="0" w:type="auto"/>
          </w:tcPr>
          <w:p w14:paraId="1E48DCC6" w14:textId="77777777" w:rsidR="00B10D2B" w:rsidRDefault="00000000">
            <w:pPr>
              <w:pStyle w:val="Compact"/>
              <w:jc w:val="center"/>
            </w:pPr>
            <m:oMathPara>
              <m:oMath>
                <m:r>
                  <m:rPr>
                    <m:sty m:val="p"/>
                  </m:rPr>
                  <w:rPr>
                    <w:rFonts w:ascii="Cambria Math" w:hAnsi="Cambria Math"/>
                  </w:rPr>
                  <m:t>✓</m:t>
                </m:r>
              </m:oMath>
            </m:oMathPara>
          </w:p>
        </w:tc>
        <w:tc>
          <w:tcPr>
            <w:tcW w:w="0" w:type="auto"/>
          </w:tcPr>
          <w:p w14:paraId="6C4A585E" w14:textId="77777777" w:rsidR="00B10D2B" w:rsidRDefault="00000000">
            <w:pPr>
              <w:pStyle w:val="Compact"/>
              <w:jc w:val="center"/>
            </w:pPr>
            <m:oMathPara>
              <m:oMath>
                <m:r>
                  <m:rPr>
                    <m:sty m:val="p"/>
                  </m:rPr>
                  <w:rPr>
                    <w:rFonts w:ascii="Cambria Math" w:hAnsi="Cambria Math"/>
                  </w:rPr>
                  <m:t>✓</m:t>
                </m:r>
              </m:oMath>
            </m:oMathPara>
          </w:p>
        </w:tc>
        <w:tc>
          <w:tcPr>
            <w:tcW w:w="0" w:type="auto"/>
          </w:tcPr>
          <w:p w14:paraId="7B2CF014" w14:textId="77777777" w:rsidR="00B10D2B" w:rsidRDefault="00B10D2B">
            <w:pPr>
              <w:pStyle w:val="Compact"/>
            </w:pPr>
          </w:p>
        </w:tc>
      </w:tr>
      <w:tr w:rsidR="00B10D2B" w14:paraId="41CE3EEA" w14:textId="77777777">
        <w:tc>
          <w:tcPr>
            <w:tcW w:w="0" w:type="auto"/>
          </w:tcPr>
          <w:p w14:paraId="3FD707A8" w14:textId="77777777" w:rsidR="00B10D2B" w:rsidRDefault="00000000">
            <w:pPr>
              <w:pStyle w:val="Compact"/>
            </w:pPr>
            <w:r>
              <w:t>Through-the-lens detector (TLD, SE)</w:t>
            </w:r>
          </w:p>
        </w:tc>
        <w:tc>
          <w:tcPr>
            <w:tcW w:w="0" w:type="auto"/>
          </w:tcPr>
          <w:p w14:paraId="374D8B34" w14:textId="77777777" w:rsidR="00B10D2B" w:rsidRDefault="00B10D2B">
            <w:pPr>
              <w:pStyle w:val="Compact"/>
            </w:pPr>
          </w:p>
        </w:tc>
        <w:tc>
          <w:tcPr>
            <w:tcW w:w="0" w:type="auto"/>
          </w:tcPr>
          <w:p w14:paraId="34E21532" w14:textId="77777777" w:rsidR="00B10D2B" w:rsidRDefault="00000000">
            <w:pPr>
              <w:pStyle w:val="Compact"/>
              <w:jc w:val="center"/>
            </w:pPr>
            <m:oMathPara>
              <m:oMath>
                <m:r>
                  <m:rPr>
                    <m:sty m:val="p"/>
                  </m:rPr>
                  <w:rPr>
                    <w:rFonts w:ascii="Cambria Math" w:hAnsi="Cambria Math"/>
                  </w:rPr>
                  <m:t>✓</m:t>
                </m:r>
              </m:oMath>
            </m:oMathPara>
          </w:p>
        </w:tc>
        <w:tc>
          <w:tcPr>
            <w:tcW w:w="0" w:type="auto"/>
          </w:tcPr>
          <w:p w14:paraId="6053E7B1" w14:textId="77777777" w:rsidR="00B10D2B" w:rsidRDefault="00000000">
            <w:pPr>
              <w:pStyle w:val="Compact"/>
              <w:jc w:val="center"/>
            </w:pPr>
            <m:oMathPara>
              <m:oMath>
                <m:r>
                  <m:rPr>
                    <m:sty m:val="p"/>
                  </m:rPr>
                  <w:rPr>
                    <w:rFonts w:ascii="Cambria Math" w:hAnsi="Cambria Math"/>
                  </w:rPr>
                  <m:t>✓</m:t>
                </m:r>
              </m:oMath>
            </m:oMathPara>
          </w:p>
        </w:tc>
        <w:tc>
          <w:tcPr>
            <w:tcW w:w="0" w:type="auto"/>
          </w:tcPr>
          <w:p w14:paraId="0DEC6AEA" w14:textId="77777777" w:rsidR="00B10D2B" w:rsidRDefault="00B10D2B">
            <w:pPr>
              <w:pStyle w:val="Compact"/>
            </w:pPr>
          </w:p>
        </w:tc>
      </w:tr>
      <w:tr w:rsidR="00B10D2B" w14:paraId="1178DAC2" w14:textId="77777777">
        <w:tc>
          <w:tcPr>
            <w:tcW w:w="0" w:type="auto"/>
          </w:tcPr>
          <w:p w14:paraId="205081C8" w14:textId="77777777" w:rsidR="00B10D2B" w:rsidRDefault="00000000">
            <w:pPr>
              <w:pStyle w:val="Compact"/>
            </w:pPr>
            <w:r>
              <w:t>Optiplan mode (short-WD T1/T2 imaging)</w:t>
            </w:r>
          </w:p>
        </w:tc>
        <w:tc>
          <w:tcPr>
            <w:tcW w:w="0" w:type="auto"/>
          </w:tcPr>
          <w:p w14:paraId="4B8FA947" w14:textId="77777777" w:rsidR="00B10D2B" w:rsidRDefault="00B10D2B">
            <w:pPr>
              <w:pStyle w:val="Compact"/>
            </w:pPr>
          </w:p>
        </w:tc>
        <w:tc>
          <w:tcPr>
            <w:tcW w:w="0" w:type="auto"/>
          </w:tcPr>
          <w:p w14:paraId="615DD78A" w14:textId="77777777" w:rsidR="00B10D2B" w:rsidRDefault="00B10D2B">
            <w:pPr>
              <w:pStyle w:val="Compact"/>
            </w:pPr>
          </w:p>
        </w:tc>
        <w:tc>
          <w:tcPr>
            <w:tcW w:w="0" w:type="auto"/>
          </w:tcPr>
          <w:p w14:paraId="6822C5A9" w14:textId="77777777" w:rsidR="00B10D2B" w:rsidRDefault="00B10D2B">
            <w:pPr>
              <w:pStyle w:val="Compact"/>
            </w:pPr>
          </w:p>
        </w:tc>
        <w:tc>
          <w:tcPr>
            <w:tcW w:w="0" w:type="auto"/>
          </w:tcPr>
          <w:p w14:paraId="1905E041" w14:textId="77777777" w:rsidR="00B10D2B" w:rsidRDefault="00000000">
            <w:pPr>
              <w:pStyle w:val="Compact"/>
              <w:jc w:val="center"/>
            </w:pPr>
            <m:oMathPara>
              <m:oMath>
                <m:r>
                  <m:rPr>
                    <m:sty m:val="p"/>
                  </m:rPr>
                  <w:rPr>
                    <w:rFonts w:ascii="Cambria Math" w:hAnsi="Cambria Math"/>
                  </w:rPr>
                  <m:t>✓</m:t>
                </m:r>
              </m:oMath>
            </m:oMathPara>
          </w:p>
        </w:tc>
      </w:tr>
      <w:tr w:rsidR="00B10D2B" w14:paraId="04E9F76C" w14:textId="77777777">
        <w:tc>
          <w:tcPr>
            <w:tcW w:w="0" w:type="auto"/>
          </w:tcPr>
          <w:p w14:paraId="646D0058" w14:textId="77777777" w:rsidR="00B10D2B" w:rsidRDefault="00000000">
            <w:pPr>
              <w:pStyle w:val="Compact"/>
            </w:pPr>
            <w:r>
              <w:t>Low-vacuum mode (dry/uncoated samples)</w:t>
            </w:r>
          </w:p>
        </w:tc>
        <w:tc>
          <w:tcPr>
            <w:tcW w:w="0" w:type="auto"/>
          </w:tcPr>
          <w:p w14:paraId="44B30ED4" w14:textId="77777777" w:rsidR="00B10D2B" w:rsidRDefault="00B10D2B">
            <w:pPr>
              <w:pStyle w:val="Compact"/>
            </w:pPr>
          </w:p>
        </w:tc>
        <w:tc>
          <w:tcPr>
            <w:tcW w:w="0" w:type="auto"/>
          </w:tcPr>
          <w:p w14:paraId="244CB335" w14:textId="77777777" w:rsidR="00B10D2B" w:rsidRDefault="00B10D2B">
            <w:pPr>
              <w:pStyle w:val="Compact"/>
            </w:pPr>
          </w:p>
        </w:tc>
        <w:tc>
          <w:tcPr>
            <w:tcW w:w="0" w:type="auto"/>
          </w:tcPr>
          <w:p w14:paraId="2D83CA14" w14:textId="77777777" w:rsidR="00B10D2B" w:rsidRDefault="00B10D2B">
            <w:pPr>
              <w:pStyle w:val="Compact"/>
            </w:pPr>
          </w:p>
        </w:tc>
        <w:tc>
          <w:tcPr>
            <w:tcW w:w="0" w:type="auto"/>
          </w:tcPr>
          <w:p w14:paraId="33EC223B" w14:textId="77777777" w:rsidR="00B10D2B" w:rsidRDefault="00000000">
            <w:pPr>
              <w:pStyle w:val="Compact"/>
              <w:jc w:val="center"/>
            </w:pPr>
            <m:oMathPara>
              <m:oMath>
                <m:r>
                  <m:rPr>
                    <m:sty m:val="p"/>
                  </m:rPr>
                  <w:rPr>
                    <w:rFonts w:ascii="Cambria Math" w:hAnsi="Cambria Math"/>
                  </w:rPr>
                  <m:t>✓</m:t>
                </m:r>
              </m:oMath>
            </m:oMathPara>
          </w:p>
        </w:tc>
      </w:tr>
      <w:tr w:rsidR="00B10D2B" w14:paraId="0ABFD8E5" w14:textId="77777777">
        <w:tc>
          <w:tcPr>
            <w:tcW w:w="0" w:type="auto"/>
          </w:tcPr>
          <w:p w14:paraId="1EC59060" w14:textId="77777777" w:rsidR="00B10D2B" w:rsidRDefault="00000000">
            <w:pPr>
              <w:pStyle w:val="Compact"/>
            </w:pPr>
            <w:r>
              <w:t>Scanning transmission (STEM)</w:t>
            </w:r>
          </w:p>
        </w:tc>
        <w:tc>
          <w:tcPr>
            <w:tcW w:w="0" w:type="auto"/>
          </w:tcPr>
          <w:p w14:paraId="1C4077D0" w14:textId="77777777" w:rsidR="00B10D2B" w:rsidRDefault="00000000">
            <w:pPr>
              <w:pStyle w:val="Compact"/>
              <w:jc w:val="center"/>
            </w:pPr>
            <m:oMathPara>
              <m:oMath>
                <m:r>
                  <m:rPr>
                    <m:sty m:val="p"/>
                  </m:rPr>
                  <w:rPr>
                    <w:rFonts w:ascii="Cambria Math" w:hAnsi="Cambria Math"/>
                  </w:rPr>
                  <m:t>✓</m:t>
                </m:r>
              </m:oMath>
            </m:oMathPara>
          </w:p>
        </w:tc>
        <w:tc>
          <w:tcPr>
            <w:tcW w:w="0" w:type="auto"/>
          </w:tcPr>
          <w:p w14:paraId="70411E3B" w14:textId="77777777" w:rsidR="00B10D2B" w:rsidRDefault="00000000">
            <w:pPr>
              <w:pStyle w:val="Compact"/>
              <w:jc w:val="center"/>
            </w:pPr>
            <m:oMathPara>
              <m:oMath>
                <m:r>
                  <m:rPr>
                    <m:sty m:val="p"/>
                  </m:rPr>
                  <w:rPr>
                    <w:rFonts w:ascii="Cambria Math" w:hAnsi="Cambria Math"/>
                  </w:rPr>
                  <m:t>✓</m:t>
                </m:r>
              </m:oMath>
            </m:oMathPara>
          </w:p>
        </w:tc>
        <w:tc>
          <w:tcPr>
            <w:tcW w:w="0" w:type="auto"/>
          </w:tcPr>
          <w:p w14:paraId="0D31BC11" w14:textId="77777777" w:rsidR="00B10D2B" w:rsidRDefault="00000000">
            <w:pPr>
              <w:pStyle w:val="Compact"/>
              <w:jc w:val="center"/>
            </w:pPr>
            <m:oMathPara>
              <m:oMath>
                <m:r>
                  <m:rPr>
                    <m:sty m:val="p"/>
                  </m:rPr>
                  <w:rPr>
                    <w:rFonts w:ascii="Cambria Math" w:hAnsi="Cambria Math"/>
                  </w:rPr>
                  <m:t>✓</m:t>
                </m:r>
              </m:oMath>
            </m:oMathPara>
          </w:p>
        </w:tc>
        <w:tc>
          <w:tcPr>
            <w:tcW w:w="0" w:type="auto"/>
          </w:tcPr>
          <w:p w14:paraId="48088AC1" w14:textId="77777777" w:rsidR="00B10D2B" w:rsidRDefault="00B10D2B">
            <w:pPr>
              <w:pStyle w:val="Compact"/>
            </w:pPr>
          </w:p>
        </w:tc>
      </w:tr>
      <w:tr w:rsidR="00B10D2B" w14:paraId="73801E69" w14:textId="77777777">
        <w:tc>
          <w:tcPr>
            <w:tcW w:w="0" w:type="auto"/>
          </w:tcPr>
          <w:p w14:paraId="7CF0874E" w14:textId="77777777" w:rsidR="00B10D2B" w:rsidRDefault="00000000">
            <w:pPr>
              <w:pStyle w:val="Compact"/>
            </w:pPr>
            <w:r>
              <w:t>T1 / T2 backscatter + SE detectors</w:t>
            </w:r>
          </w:p>
        </w:tc>
        <w:tc>
          <w:tcPr>
            <w:tcW w:w="0" w:type="auto"/>
          </w:tcPr>
          <w:p w14:paraId="3283AB6E" w14:textId="77777777" w:rsidR="00B10D2B" w:rsidRDefault="00B10D2B">
            <w:pPr>
              <w:pStyle w:val="Compact"/>
            </w:pPr>
          </w:p>
        </w:tc>
        <w:tc>
          <w:tcPr>
            <w:tcW w:w="0" w:type="auto"/>
          </w:tcPr>
          <w:p w14:paraId="00546A9D" w14:textId="77777777" w:rsidR="00B10D2B" w:rsidRDefault="00B10D2B">
            <w:pPr>
              <w:pStyle w:val="Compact"/>
            </w:pPr>
          </w:p>
        </w:tc>
        <w:tc>
          <w:tcPr>
            <w:tcW w:w="0" w:type="auto"/>
          </w:tcPr>
          <w:p w14:paraId="418ABFBC" w14:textId="77777777" w:rsidR="00B10D2B" w:rsidRDefault="00B10D2B">
            <w:pPr>
              <w:pStyle w:val="Compact"/>
            </w:pPr>
          </w:p>
        </w:tc>
        <w:tc>
          <w:tcPr>
            <w:tcW w:w="0" w:type="auto"/>
          </w:tcPr>
          <w:p w14:paraId="02EA59B5" w14:textId="77777777" w:rsidR="00B10D2B" w:rsidRDefault="00000000">
            <w:pPr>
              <w:pStyle w:val="Compact"/>
              <w:jc w:val="center"/>
            </w:pPr>
            <m:oMathPara>
              <m:oMath>
                <m:r>
                  <m:rPr>
                    <m:sty m:val="p"/>
                  </m:rPr>
                  <w:rPr>
                    <w:rFonts w:ascii="Cambria Math" w:hAnsi="Cambria Math"/>
                  </w:rPr>
                  <m:t>✓</m:t>
                </m:r>
              </m:oMath>
            </m:oMathPara>
          </w:p>
        </w:tc>
      </w:tr>
    </w:tbl>
    <w:p w14:paraId="151BA20D" w14:textId="77777777" w:rsidR="00B10D2B" w:rsidRDefault="00000000">
      <w:pPr>
        <w:pStyle w:val="BodyText"/>
      </w:pPr>
      <w:r>
        <w:rPr>
          <w:b/>
          <w:bCs/>
        </w:rPr>
        <w:t>FEI Tecnai G2 F20 TEM/STEM</w:t>
      </w:r>
      <w:r>
        <w:t xml:space="preserve"> (Schottky FEG, 20–200 kV). TEM point resolution 0.19 nm, line resolution 0.102 nm, magnification 25</w:t>
      </w:r>
      <m:oMath>
        <m:r>
          <m:rPr>
            <m:sty m:val="p"/>
          </m:rPr>
          <w:rPr>
            <w:rFonts w:ascii="Cambria Math" w:hAnsi="Cambria Math"/>
          </w:rPr>
          <m:t>×</m:t>
        </m:r>
      </m:oMath>
      <w:r>
        <w:t>–1,000,000</w:t>
      </w:r>
      <m:oMath>
        <m:r>
          <m:rPr>
            <m:sty m:val="p"/>
          </m:rPr>
          <w:rPr>
            <w:rFonts w:ascii="Cambria Math" w:hAnsi="Cambria Math"/>
          </w:rPr>
          <m:t>×</m:t>
        </m:r>
      </m:oMath>
      <w:r>
        <w:t xml:space="preserve">; STEM HAADF resolution 0.14 nm; energy spread </w:t>
      </w:r>
      <m:oMath>
        <m:r>
          <m:rPr>
            <m:sty m:val="p"/>
          </m:rPr>
          <w:rPr>
            <w:rFonts w:ascii="Cambria Math" w:hAnsi="Cambria Math"/>
          </w:rPr>
          <m:t>≤</m:t>
        </m:r>
      </m:oMath>
      <w:r>
        <w:t xml:space="preserve">0.7 eV; probe current </w:t>
      </w:r>
      <m:oMath>
        <m:r>
          <m:rPr>
            <m:sty m:val="p"/>
          </m:rPr>
          <w:rPr>
            <w:rFonts w:ascii="Cambria Math" w:hAnsi="Cambria Math"/>
          </w:rPr>
          <m:t>&gt;</m:t>
        </m:r>
      </m:oMath>
      <w:r>
        <w:t xml:space="preserve">0.5 nA in a 1 nm spot; eucentric CompuStage; accessories include HAADF, XEDS (Pathfinder), PEELS, EFTEM monochromator, low-background double-tilt and heating/cooling holders. Used for nanoscale precipitate </w:t>
      </w:r>
      <w:r>
        <w:lastRenderedPageBreak/>
        <w:t>characterization (L1</w:t>
      </w:r>
      <m:oMath>
        <m:sSub>
          <m:sSubPr>
            <m:ctrlPr>
              <w:rPr>
                <w:rFonts w:ascii="Cambria Math" w:hAnsi="Cambria Math"/>
              </w:rPr>
            </m:ctrlPr>
          </m:sSubPr>
          <m:e>
            <m:r>
              <w:rPr>
                <w:rFonts w:ascii="Cambria Math" w:hAnsi="Cambria Math"/>
              </w:rPr>
              <m:t>​</m:t>
            </m:r>
          </m:e>
          <m:sub>
            <m:r>
              <w:rPr>
                <w:rFonts w:ascii="Cambria Math" w:hAnsi="Cambria Math"/>
              </w:rPr>
              <m:t>2</m:t>
            </m:r>
          </m:sub>
        </m:sSub>
      </m:oMath>
      <w:r>
        <w:t xml:space="preserve"> Al</w:t>
      </w:r>
      <m:oMath>
        <m:sSub>
          <m:sSubPr>
            <m:ctrlPr>
              <w:rPr>
                <w:rFonts w:ascii="Cambria Math" w:hAnsi="Cambria Math"/>
              </w:rPr>
            </m:ctrlPr>
          </m:sSubPr>
          <m:e>
            <m:r>
              <w:rPr>
                <w:rFonts w:ascii="Cambria Math" w:hAnsi="Cambria Math"/>
              </w:rPr>
              <m:t>​</m:t>
            </m:r>
          </m:e>
          <m:sub>
            <m:r>
              <w:rPr>
                <w:rFonts w:ascii="Cambria Math" w:hAnsi="Cambria Math"/>
              </w:rPr>
              <m:t>3</m:t>
            </m:r>
          </m:sub>
        </m:sSub>
      </m:oMath>
      <w:r>
        <w:t xml:space="preserve">(Sc,Zr,Er),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-Al</w:t>
      </w:r>
      <m:oMath>
        <m:sSub>
          <m:sSubPr>
            <m:ctrlPr>
              <w:rPr>
                <w:rFonts w:ascii="Cambria Math" w:hAnsi="Cambria Math"/>
              </w:rPr>
            </m:ctrlPr>
          </m:sSubPr>
          <m:e>
            <m:r>
              <w:rPr>
                <w:rFonts w:ascii="Cambria Math" w:hAnsi="Cambria Math"/>
              </w:rPr>
              <m:t>​</m:t>
            </m:r>
          </m:e>
          <m:sub>
            <m:r>
              <w:rPr>
                <w:rFonts w:ascii="Cambria Math" w:hAnsi="Cambria Math"/>
              </w:rPr>
              <m:t>2</m:t>
            </m:r>
          </m:sub>
        </m:sSub>
      </m:oMath>
      <w:r>
        <w:t>Cu) and STEM-EDS line scans across solidification interfaces.</w:t>
      </w:r>
    </w:p>
    <w:p w14:paraId="60249986" w14:textId="77777777" w:rsidR="00B10D2B" w:rsidRDefault="00000000">
      <w:pPr>
        <w:pStyle w:val="BodyText"/>
      </w:pPr>
      <w:r>
        <w:rPr>
          <w:b/>
          <w:bCs/>
        </w:rPr>
        <w:t>ThermoScientific Verios G4 UC SEM</w:t>
      </w:r>
      <w:r>
        <w:t xml:space="preserve"> (Elstar monochromated XHR FESEM column). Landing energies 20 eV–30 keV with beam deceleration (stage bias </w:t>
      </w:r>
      <m:oMath>
        <m:r>
          <m:rPr>
            <m:sty m:val="p"/>
          </m:rPr>
          <w:rPr>
            <w:rFonts w:ascii="Cambria Math" w:hAnsi="Cambria Math"/>
          </w:rPr>
          <m:t>-</m:t>
        </m:r>
        <m:r>
          <w:rPr>
            <w:rFonts w:ascii="Cambria Math" w:hAnsi="Cambria Math"/>
          </w:rPr>
          <m:t>50</m:t>
        </m:r>
      </m:oMath>
      <w:r>
        <w:t xml:space="preserve"> V to </w:t>
      </w:r>
      <m:oMath>
        <m:r>
          <m:rPr>
            <m:sty m:val="p"/>
          </m:rPr>
          <w:rPr>
            <w:rFonts w:ascii="Cambria Math" w:hAnsi="Cambria Math"/>
          </w:rPr>
          <m:t>-</m:t>
        </m:r>
        <m:r>
          <w:rPr>
            <w:rFonts w:ascii="Cambria Math" w:hAnsi="Cambria Math"/>
          </w:rPr>
          <m:t>4</m:t>
        </m:r>
      </m:oMath>
      <w:r>
        <w:t> kV); 0.6 nm resolution at 15 kV, 0.7 nm at 1 kV; probe current 0.8 pA–100 nA; piezo 5-axis 100</w:t>
      </w:r>
      <m:oMath>
        <m:r>
          <m:rPr>
            <m:sty m:val="p"/>
          </m:rPr>
          <w:rPr>
            <w:rFonts w:ascii="Cambria Math" w:hAnsi="Cambria Math"/>
          </w:rPr>
          <m:t>×</m:t>
        </m:r>
      </m:oMath>
      <w:r>
        <w:t>100 mm stage; in-column/in-lens SE+BSE (TLD-SE, TLD-BSE, ICD, MD), ETD, retractable STEM 3+ and DBS detectors; UltraDry Premium EDS (60 mm</w:t>
      </w:r>
      <m:oMath>
        <m:sSup>
          <m:sSupPr>
            <m:ctrlPr>
              <w:rPr>
                <w:rFonts w:ascii="Cambria Math" w:hAnsi="Cambria Math"/>
              </w:rPr>
            </m:ctrlPr>
          </m:sSupPr>
          <m:e>
            <m:r>
              <w:rPr>
                <w:rFonts w:ascii="Cambria Math" w:hAnsi="Cambria Math"/>
              </w:rPr>
              <m:t>​</m:t>
            </m:r>
          </m:e>
          <m:sup>
            <m:r>
              <w:rPr>
                <w:rFonts w:ascii="Cambria Math" w:hAnsi="Cambria Math"/>
              </w:rPr>
              <m:t>2</m:t>
            </m:r>
          </m:sup>
        </m:sSup>
      </m:oMath>
      <w:r>
        <w:t>, 129 eV at Mn K</w:t>
      </w:r>
      <m:oMath>
        <m:r>
          <w:rPr>
            <w:rFonts w:ascii="Cambria Math" w:hAnsi="Cambria Math"/>
          </w:rPr>
          <m:t>α</m:t>
        </m:r>
      </m:oMath>
      <w:r>
        <w:t>) with Pathfinder XEDS. Primary workhorse for high-resolution surface morphology of atomized powders and polished LPBF cross-sections.</w:t>
      </w:r>
    </w:p>
    <w:p w14:paraId="77228A7C" w14:textId="77777777" w:rsidR="00B10D2B" w:rsidRDefault="00000000">
      <w:pPr>
        <w:pStyle w:val="BodyText"/>
      </w:pPr>
      <w:r>
        <w:rPr>
          <w:b/>
          <w:bCs/>
        </w:rPr>
        <w:t>FEI Helios NanoLab 600 DualBeam FIB/SEM</w:t>
      </w:r>
      <w:r>
        <w:t xml:space="preserve"> (Elstar UHR immersion lens FESEM 350 V–30 kV; Tomahawk Ga</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ion column 0.5–30 kV, 0.1 pA–65 nA, 15 apertures; coincident-point ion-beam resolution 2.5 nm at 30 kV). TLD-SE/BSE, ETD, EDS, and EBSD detectors; OmniProbe AutoProbe 200 in-situ lift-out; 5-axis motorized stage (XY 150 mm piezo, tilt accuracy 0.1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Enables site-specific TEM/APT lamella preparation from LPBF builds and cross-sectional serial sectioning of melt-pool boundaries.</w:t>
      </w:r>
    </w:p>
    <w:p w14:paraId="0327AAF7" w14:textId="77777777" w:rsidR="00B10D2B" w:rsidRDefault="00000000">
      <w:pPr>
        <w:pStyle w:val="BodyText"/>
      </w:pPr>
      <w:r>
        <w:rPr>
          <w:b/>
          <w:bCs/>
        </w:rPr>
        <w:t>ThermoFisher Apreo C SEM</w:t>
      </w:r>
      <w:r>
        <w:t xml:space="preserve"> (low-vac FESEM with T1/T2 in-chamber detectors; Optiplan mode). Routine characterization, low-vacuum/uncoated fine-powder imaging, and CL + EBSD for grain-level texture on polished LPBF cross-sections.</w:t>
      </w:r>
    </w:p>
    <w:p w14:paraId="75F4B7ED" w14:textId="77777777" w:rsidR="00B10D2B" w:rsidRDefault="00000000">
      <w:pPr>
        <w:pStyle w:val="BodyText"/>
      </w:pPr>
      <w:r>
        <w:rPr>
          <w:b/>
          <w:bCs/>
        </w:rPr>
        <w:t>Keyence VHX-7000 Optical Microscope</w:t>
      </w:r>
      <w:r>
        <w:t xml:space="preserve"> (BYU). High-resolution digital microscope with automated tiling, depth-of-field composition, and quantitative measurement; metallography and defect screening.</w:t>
      </w:r>
    </w:p>
    <w:p w14:paraId="4840EF7D" w14:textId="77777777" w:rsidR="00B10D2B" w:rsidRDefault="00000000">
      <w:pPr>
        <w:pStyle w:val="BodyText"/>
      </w:pPr>
      <w:r>
        <w:rPr>
          <w:b/>
          <w:bCs/>
        </w:rPr>
        <w:t>BYU XRD Facility</w:t>
      </w:r>
      <w:r>
        <w:t xml:space="preserve"> (</w:t>
      </w:r>
      <w:hyperlink r:id="rId10">
        <w:r>
          <w:rPr>
            <w:rStyle w:val="Hyperlink"/>
          </w:rPr>
          <w:t>https://labs.chem.byu.edu/xrd-facility</w:t>
        </w:r>
      </w:hyperlink>
      <w:r>
        <w:t>). Phase identification and crystallographic analysis.</w:t>
      </w:r>
    </w:p>
    <w:p w14:paraId="24C29267" w14:textId="77777777" w:rsidR="00B10D2B" w:rsidRDefault="00000000">
      <w:pPr>
        <w:pStyle w:val="BodyText"/>
      </w:pPr>
      <w:r>
        <w:rPr>
          <w:b/>
          <w:bCs/>
        </w:rPr>
        <w:t>Hommel Profilometer Roughness Tester</w:t>
      </w:r>
      <w:r>
        <w:t xml:space="preserve"> (BYU). Surface-roughness measurement with 0.01 μm precision;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roughness value calculation for LPBF surface quality assessment.</w:t>
      </w:r>
    </w:p>
    <w:p w14:paraId="57774578" w14:textId="77777777" w:rsidR="00B10D2B" w:rsidRDefault="00000000">
      <w:pPr>
        <w:pStyle w:val="BodyText"/>
      </w:pPr>
      <w:r>
        <w:rPr>
          <w:b/>
          <w:bCs/>
        </w:rPr>
        <w:t>BYU Geology Dept. Analytical Labs</w:t>
      </w:r>
      <w:r>
        <w:t xml:space="preserve"> (</w:t>
      </w:r>
      <w:hyperlink r:id="rId11">
        <w:r>
          <w:rPr>
            <w:rStyle w:val="Hyperlink"/>
          </w:rPr>
          <w:t>https://geology.byu.edu/labs</w:t>
        </w:r>
      </w:hyperlink>
      <w:r>
        <w:t>). XRF, ICP-OES, and powder XRD available for cross-validation of elemental composition and phase identification.</w:t>
      </w:r>
    </w:p>
    <w:p w14:paraId="15B0F473" w14:textId="77777777" w:rsidR="00B10D2B" w:rsidRDefault="00000000">
      <w:pPr>
        <w:pStyle w:val="BodyText"/>
      </w:pPr>
      <w:r>
        <w:rPr>
          <w:b/>
          <w:bCs/>
        </w:rPr>
        <w:t>BYU Spectroscopic Facility:</w:t>
      </w:r>
      <w:r>
        <w:t xml:space="preserve"> XPS surface analysis (</w:t>
      </w:r>
      <w:hyperlink r:id="rId12">
        <w:r>
          <w:rPr>
            <w:rStyle w:val="Hyperlink"/>
          </w:rPr>
          <w:t>https://labs.chem.byu.edu/byu-spectroscopic-facility/surface-analysis</w:t>
        </w:r>
      </w:hyperlink>
      <w:r>
        <w:t xml:space="preserve">); </w:t>
      </w:r>
      <w:r>
        <w:rPr>
          <w:b/>
          <w:bCs/>
        </w:rPr>
        <w:t>Agilent 8900 ICP-MS/MS</w:t>
      </w:r>
      <w:r>
        <w:t xml:space="preserve"> (</w:t>
      </w:r>
      <w:hyperlink r:id="rId13">
        <w:r>
          <w:rPr>
            <w:rStyle w:val="Hyperlink"/>
          </w:rPr>
          <w:t>https://labs.chem.byu.edu/byu-spectroscopic-facility/atomic-analysis</w:t>
        </w:r>
      </w:hyperlink>
      <w:r>
        <w:t>) for authoritative elemental composition verification.</w:t>
      </w:r>
    </w:p>
    <w:p w14:paraId="16417DB4" w14:textId="77777777" w:rsidR="00B10D2B" w:rsidRDefault="00000000">
      <w:pPr>
        <w:pStyle w:val="BodyText"/>
      </w:pPr>
      <w:r>
        <w:rPr>
          <w:b/>
          <w:bCs/>
          <w:smallCaps/>
        </w:rPr>
        <w:t>Sample Preparation</w:t>
      </w:r>
    </w:p>
    <w:p w14:paraId="767662A7" w14:textId="77777777" w:rsidR="00F13F41" w:rsidRDefault="00000000">
      <w:pPr>
        <w:pStyle w:val="BodyText"/>
      </w:pPr>
      <w:r>
        <w:rPr>
          <w:b/>
          <w:bCs/>
        </w:rPr>
        <w:t>Metallographic Polishing Lab</w:t>
      </w:r>
      <w:r>
        <w:t xml:space="preserve"> (BYU). PX500 Automatic Polisher (1.5" sample pucks), two PX300 Manual Polishers, non-crystallizing silica vibratory polishers, fume hood for chemical etching, and electrochemical polisher</w:t>
      </w:r>
      <w:r w:rsidR="00F13F41">
        <w:t>.</w:t>
      </w:r>
    </w:p>
    <w:p w14:paraId="69800CCC" w14:textId="08FD3F69" w:rsidR="00B10D2B" w:rsidRDefault="00000000">
      <w:pPr>
        <w:pStyle w:val="BodyText"/>
      </w:pPr>
      <w:r>
        <w:lastRenderedPageBreak/>
        <w:br/>
      </w:r>
      <w:r>
        <w:rPr>
          <w:b/>
          <w:bCs/>
        </w:rPr>
        <w:t>Rolling Mill</w:t>
      </w:r>
      <w:r>
        <w:t xml:space="preserve"> (BYU). Resolution 0.00005", width 6".</w:t>
      </w:r>
    </w:p>
    <w:p w14:paraId="42E49169" w14:textId="77777777" w:rsidR="00B10D2B" w:rsidRDefault="00000000">
      <w:pPr>
        <w:pStyle w:val="BodyText"/>
      </w:pPr>
      <w:r>
        <w:rPr>
          <w:b/>
          <w:bCs/>
          <w:smallCaps/>
        </w:rPr>
        <w:t>Mechanical Testing</w:t>
      </w:r>
    </w:p>
    <w:p w14:paraId="55AB3066" w14:textId="77777777" w:rsidR="00B10D2B" w:rsidRDefault="00000000">
      <w:pPr>
        <w:pStyle w:val="BodyText"/>
      </w:pPr>
      <w:r>
        <w:rPr>
          <w:b/>
          <w:bCs/>
        </w:rPr>
        <w:t>100 kip Landmark Tensile Tester</w:t>
      </w:r>
      <w:r>
        <w:t xml:space="preserve"> (BYU). Tensile/compressive loads; capacity 110,000 lb (</w:t>
      </w:r>
      <m:oMath>
        <m:r>
          <m:rPr>
            <m:sty m:val="p"/>
          </m:rPr>
          <w:rPr>
            <w:rFonts w:ascii="Cambria Math" w:hAnsi="Cambria Math"/>
          </w:rPr>
          <m:t>±</m:t>
        </m:r>
      </m:oMath>
      <w:r>
        <w:t>10 lb); stroke 6" (</w:t>
      </w:r>
      <m:oMath>
        <m:r>
          <m:rPr>
            <m:sty m:val="p"/>
          </m:rPr>
          <w:rPr>
            <w:rFonts w:ascii="Cambria Math" w:hAnsi="Cambria Math"/>
          </w:rPr>
          <m:t>±</m:t>
        </m:r>
      </m:oMath>
      <w:r>
        <w:t>0.001"); specimen width 0–0.83", diameter 0.25–2.02".</w:t>
      </w:r>
      <w:r>
        <w:br/>
      </w:r>
      <w:r>
        <w:rPr>
          <w:b/>
          <w:bCs/>
        </w:rPr>
        <w:t>20 kip 809 A/T Tensile Tester</w:t>
      </w:r>
      <w:r>
        <w:t xml:space="preserve"> (BYU). Tensile/compressive/torsional loads; axial capacity 20,000 lb (</w:t>
      </w:r>
      <m:oMath>
        <m:r>
          <m:rPr>
            <m:sty m:val="p"/>
          </m:rPr>
          <w:rPr>
            <w:rFonts w:ascii="Cambria Math" w:hAnsi="Cambria Math"/>
          </w:rPr>
          <m:t>±</m:t>
        </m:r>
      </m:oMath>
      <w:r>
        <w:t>2 lb); torsional capacity 10,000 in</w:t>
      </w:r>
      <m:oMath>
        <m:r>
          <m:rPr>
            <m:sty m:val="p"/>
          </m:rPr>
          <w:rPr>
            <w:rFonts w:ascii="Cambria Math" w:hAnsi="Cambria Math"/>
          </w:rPr>
          <m:t>⋅</m:t>
        </m:r>
      </m:oMath>
      <w:r>
        <w:t>lb.</w:t>
      </w:r>
      <w:r>
        <w:br/>
      </w:r>
      <w:r>
        <w:rPr>
          <w:b/>
          <w:bCs/>
        </w:rPr>
        <w:t>Impact Tester: Instron Model SI-1D3</w:t>
      </w:r>
      <w:r>
        <w:t xml:space="preserve"> (BYU). Striker weight 66.6 lb; drop height 4.51 ft; impact velocity 17 ft/s; range 0–300 ft-lbs. Equipped for Charpy and Izod impact tests.</w:t>
      </w:r>
      <w:r>
        <w:br/>
      </w:r>
      <w:r>
        <w:rPr>
          <w:b/>
          <w:bCs/>
        </w:rPr>
        <w:t>Elevated-Temperature Tensile Tester</w:t>
      </w:r>
      <w:r>
        <w:t xml:space="preserve"> (BYU). </w:t>
      </w:r>
      <w:r>
        <w:rPr>
          <w:i/>
          <w:iCs/>
        </w:rPr>
        <w:t>[TBD specification—placeholder for high-temperature uniaxial tester for Al–Zr L1</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i/>
          <w:iCs/>
        </w:rPr>
        <w:t xml:space="preserve"> precipitate stability validation at three temperatures; see Activity 2.]</w:t>
      </w:r>
      <w:r>
        <w:br/>
      </w:r>
      <w:r>
        <w:rPr>
          <w:b/>
          <w:bCs/>
        </w:rPr>
        <w:t>Vickers Micro Hardness Tester</w:t>
      </w:r>
      <w:r>
        <w:t xml:space="preserve"> (BYU). Surface hardness mapping across samples; used for screening hardness–composition trends before full tensile testing.</w:t>
      </w:r>
      <w:r>
        <w:br/>
      </w:r>
      <w:r>
        <w:rPr>
          <w:b/>
          <w:bCs/>
        </w:rPr>
        <w:t>Zeiss Xradia Versa 620 Nano-CT</w:t>
      </w:r>
      <w:r>
        <w:t xml:space="preserve"> (UofU EMSAL). Non-destructive 3D defect analysis; in-situ tensile stage (5 kN), heating/cooling capability, lab-DCT.</w:t>
      </w:r>
    </w:p>
    <w:p w14:paraId="22A0B83D" w14:textId="77777777" w:rsidR="00B10D2B" w:rsidRDefault="00000000">
      <w:pPr>
        <w:pStyle w:val="BodyText"/>
      </w:pPr>
      <w:r>
        <w:rPr>
          <w:b/>
          <w:bCs/>
          <w:smallCaps/>
        </w:rPr>
        <w:t>Heat Treatment</w:t>
      </w:r>
    </w:p>
    <w:p w14:paraId="52513781" w14:textId="1DDC285E" w:rsidR="00B10D2B" w:rsidRDefault="00000000">
      <w:pPr>
        <w:pStyle w:val="BodyText"/>
      </w:pPr>
      <w:r>
        <w:rPr>
          <w:b/>
          <w:bCs/>
        </w:rPr>
        <w:t>Recco Furnace</w:t>
      </w:r>
      <w:r>
        <w:t xml:space="preserve"> (BYU). Capacity 12"W </w:t>
      </w:r>
      <m:oMath>
        <m:r>
          <m:rPr>
            <m:sty m:val="p"/>
          </m:rPr>
          <w:rPr>
            <w:rFonts w:ascii="Cambria Math" w:hAnsi="Cambria Math"/>
          </w:rPr>
          <m:t>×</m:t>
        </m:r>
      </m:oMath>
      <w:r>
        <w:t xml:space="preserve"> 7"H </w:t>
      </w:r>
      <m:oMath>
        <m:r>
          <m:rPr>
            <m:sty m:val="p"/>
          </m:rPr>
          <w:rPr>
            <w:rFonts w:ascii="Cambria Math" w:hAnsi="Cambria Math"/>
          </w:rPr>
          <m:t>×</m:t>
        </m:r>
      </m:oMath>
      <w:r>
        <w:t xml:space="preserve"> 19"D; max temperature 2250°F; Ar/N</w:t>
      </w:r>
      <m:oMath>
        <m:sSub>
          <m:sSubPr>
            <m:ctrlPr>
              <w:rPr>
                <w:rFonts w:ascii="Cambria Math" w:hAnsi="Cambria Math"/>
              </w:rPr>
            </m:ctrlPr>
          </m:sSubPr>
          <m:e>
            <m:r>
              <w:rPr>
                <w:rFonts w:ascii="Cambria Math" w:hAnsi="Cambria Math"/>
              </w:rPr>
              <m:t>​</m:t>
            </m:r>
          </m:e>
          <m:sub>
            <m:r>
              <w:rPr>
                <w:rFonts w:ascii="Cambria Math" w:hAnsi="Cambria Math"/>
              </w:rPr>
              <m:t>2</m:t>
            </m:r>
          </m:sub>
        </m:sSub>
      </m:oMath>
      <w:r>
        <w:t xml:space="preserve"> atmosphere capability.</w:t>
      </w:r>
      <w:r>
        <w:br/>
      </w:r>
      <w:r>
        <w:rPr>
          <w:b/>
          <w:bCs/>
        </w:rPr>
        <w:t>Lucifer Furnace</w:t>
      </w:r>
      <w:r>
        <w:t xml:space="preserve"> (BYU, CB 121). Capacity 10"W </w:t>
      </w:r>
      <m:oMath>
        <m:r>
          <m:rPr>
            <m:sty m:val="p"/>
          </m:rPr>
          <w:rPr>
            <w:rFonts w:ascii="Cambria Math" w:hAnsi="Cambria Math"/>
          </w:rPr>
          <m:t>×</m:t>
        </m:r>
      </m:oMath>
      <w:r>
        <w:t xml:space="preserve"> 8"H </w:t>
      </w:r>
      <m:oMath>
        <m:r>
          <m:rPr>
            <m:sty m:val="p"/>
          </m:rPr>
          <w:rPr>
            <w:rFonts w:ascii="Cambria Math" w:hAnsi="Cambria Math"/>
          </w:rPr>
          <m:t>×</m:t>
        </m:r>
      </m:oMath>
      <w:r>
        <w:t xml:space="preserve"> 18"D; max temperature 2350°F.</w:t>
      </w:r>
      <w:r>
        <w:br/>
      </w:r>
      <w:r>
        <w:rPr>
          <w:b/>
          <w:bCs/>
        </w:rPr>
        <w:t>MTI Vacuum Furnace</w:t>
      </w:r>
      <w:r>
        <w:t xml:space="preserve"> (BYU). Capacity 40 mm diameter </w:t>
      </w:r>
      <m:oMath>
        <m:r>
          <m:rPr>
            <m:sty m:val="p"/>
          </m:rPr>
          <w:rPr>
            <w:rFonts w:ascii="Cambria Math" w:hAnsi="Cambria Math"/>
          </w:rPr>
          <m:t>×</m:t>
        </m:r>
      </m:oMath>
      <w:r>
        <w:t xml:space="preserve"> 200 mm length; max temperature 1100°C (1000°C continuous); vacuum level </w:t>
      </w:r>
      <m:oMath>
        <m:r>
          <w:rPr>
            <w:rFonts w:ascii="Cambria Math" w:hAnsi="Cambria Math"/>
          </w:rPr>
          <m:t>5.0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 mbar.</w:t>
      </w:r>
      <w:r>
        <w:br/>
      </w:r>
      <w:r>
        <w:rPr>
          <w:b/>
          <w:bCs/>
        </w:rPr>
        <w:t>CM Hydrogen Furnace</w:t>
      </w:r>
      <w:r>
        <w:t xml:space="preserve"> (BYU). Capacity 3" diameter; max temperature 1600°C; hydrogen, nitrogen, ethylene, and air atmospheres.</w:t>
      </w:r>
      <w:r>
        <w:br/>
      </w:r>
      <w:r>
        <w:rPr>
          <w:b/>
          <w:bCs/>
        </w:rPr>
        <w:t>Custom Ultra-High-Purity Induction Tube Furnace</w:t>
      </w:r>
      <w:r>
        <w:t xml:space="preserve"> (built by Lead PI). Semi-automated with PID temperature ramping (including rapid ramp/cool); high-vacuum (turbomolecular pump) or backfilled inert gas; non-contact 2-color pyrometer through replaceable quartz windows; custom crucibles/susceptors with sapphire windows. Max temperature 2500°C.</w:t>
      </w:r>
      <w:r>
        <w:br/>
      </w:r>
    </w:p>
    <w:p w14:paraId="10CB2C8E" w14:textId="77777777" w:rsidR="00B10D2B" w:rsidRDefault="00000000">
      <w:pPr>
        <w:pStyle w:val="BodyText"/>
      </w:pPr>
      <w:r>
        <w:rPr>
          <w:b/>
          <w:bCs/>
          <w:smallCaps/>
        </w:rPr>
        <w:t>Computing</w:t>
      </w:r>
    </w:p>
    <w:p w14:paraId="5D78EB26" w14:textId="07FFC47A" w:rsidR="00B10D2B" w:rsidRDefault="00000000">
      <w:pPr>
        <w:pStyle w:val="BodyText"/>
      </w:pPr>
      <w:r>
        <w:rPr>
          <w:b/>
          <w:bCs/>
        </w:rPr>
        <w:t>BYU HPC Cluster</w:t>
      </w:r>
      <w:r>
        <w:t xml:space="preserve"> (28K+ cores, 367 GPUs incl. H200/H100/A100, SLURM). No direct cost via fairshare scheduling.</w:t>
      </w:r>
      <w:bookmarkEnd w:id="1"/>
    </w:p>
    <w:sectPr w:rsidR="00B10D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3001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007F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27978456">
    <w:abstractNumId w:val="0"/>
  </w:num>
  <w:num w:numId="2" w16cid:durableId="999044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10D2B"/>
    <w:rsid w:val="00B10D2B"/>
    <w:rsid w:val="00F13F41"/>
    <w:rsid w:val="00F87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9279"/>
  <w15:docId w15:val="{2810B4E1-3A89-49A2-B08C-157C05FD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c.byu.edu" TargetMode="External"/><Relationship Id="rId13" Type="http://schemas.openxmlformats.org/officeDocument/2006/relationships/hyperlink" Target="https://labs.chem.byu.edu/byu-spectroscopic-facility/atomic-analysis" TargetMode="External"/><Relationship Id="rId3" Type="http://schemas.openxmlformats.org/officeDocument/2006/relationships/settings" Target="settings.xml"/><Relationship Id="rId7" Type="http://schemas.openxmlformats.org/officeDocument/2006/relationships/hyperlink" Target="https://emsal.nanofab.utah.edu" TargetMode="External"/><Relationship Id="rId12" Type="http://schemas.openxmlformats.org/officeDocument/2006/relationships/hyperlink" Target="https://labs.chem.byu.edu/byu-spectroscopic-facility/surface-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pstone.byu.edu/physical-prototyping-resources" TargetMode="External"/><Relationship Id="rId11" Type="http://schemas.openxmlformats.org/officeDocument/2006/relationships/hyperlink" Target="https://geology.byu.edu/labs" TargetMode="External"/><Relationship Id="rId5" Type="http://schemas.openxmlformats.org/officeDocument/2006/relationships/hyperlink" Target="https://microscopy.byu.edu" TargetMode="External"/><Relationship Id="rId15" Type="http://schemas.openxmlformats.org/officeDocument/2006/relationships/theme" Target="theme/theme1.xml"/><Relationship Id="rId10" Type="http://schemas.openxmlformats.org/officeDocument/2006/relationships/hyperlink" Target="https://labs.chem.byu.edu/xrd-facility" TargetMode="External"/><Relationship Id="rId4" Type="http://schemas.openxmlformats.org/officeDocument/2006/relationships/webSettings" Target="webSettings.xml"/><Relationship Id="rId9" Type="http://schemas.openxmlformats.org/officeDocument/2006/relationships/hyperlink" Target="https://microscopy.byu.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Sterling Baird</cp:lastModifiedBy>
  <cp:revision>2</cp:revision>
  <dcterms:created xsi:type="dcterms:W3CDTF">2026-06-05T21:42:00Z</dcterms:created>
  <dcterms:modified xsi:type="dcterms:W3CDTF">2026-06-05T21:50:00Z</dcterms:modified>
</cp:coreProperties>
</file>