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84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780"/>
        <w:gridCol w:w="7060"/>
      </w:tblGrid>
      <w:tr>
        <w:tc>
          <w:tcPr>
            <w:tcW w:w="2780" w:type="dxa"/>
            <w:tcMar>
              <w:top w:w="300" w:type="dxa"/>
              <w:right w:w="160" w:type="dxa"/>
            </w:tcMar>
          </w:tcPr>
          <w:p>
            <w:pPr>
              <w:pStyle w:val="AuthorName"/>
            </w:pPr>
            <w:r>
              <w:rPr/>
              <w:t xml:space="preserve">Marcus E. Madsen</w:t>
            </w:r>
            <w:r>
              <w:rPr>
                <w:vertAlign w:val="superscript"/>
              </w:rPr>
              <w:t xml:space="preserve">*</w:t>
            </w:r>
          </w:p>
          <w:p>
            <w:pPr>
              <w:pStyle w:val="AuthorAffiliation"/>
            </w:pPr>
            <w:r>
              <w:rPr/>
              <w:t xml:space="preserve">Department of Mechanical Engineering,</w:t>
            </w:r>
            <w:r>
              <w:br/>
            </w:r>
            <w:r>
              <w:rPr/>
              <w:t xml:space="preserve">Brigham Young University,</w:t>
            </w:r>
            <w:r>
              <w:br/>
            </w:r>
            <w:r>
              <w:rPr/>
              <w:t xml:space="preserve">Provo, UT 84602, USA</w:t>
            </w:r>
          </w:p>
          <w:p>
            <w:pPr>
              <w:pStyle w:val="AuthorName"/>
            </w:pPr>
            <w:r>
              <w:rPr/>
              <w:t xml:space="preserve">Audrey K. Christiansen</w:t>
            </w:r>
            <w:r>
              <w:rPr>
                <w:vertAlign w:val="superscript"/>
              </w:rPr>
              <w:t xml:space="preserve">*</w:t>
            </w:r>
          </w:p>
          <w:p>
            <w:pPr>
              <w:pStyle w:val="AuthorAffiliation"/>
            </w:pPr>
            <w:r>
              <w:rPr/>
              <w:t xml:space="preserve">Department of Mechanical Engineering,</w:t>
            </w:r>
            <w:r>
              <w:br/>
            </w:r>
            <w:r>
              <w:rPr/>
              <w:t xml:space="preserve">Brigham Young University,</w:t>
            </w:r>
            <w:r>
              <w:br/>
            </w:r>
            <w:r>
              <w:rPr/>
              <w:t xml:space="preserve">Provo, UT 84602, USA</w:t>
            </w:r>
          </w:p>
          <w:p>
            <w:pPr>
              <w:pStyle w:val="AuthorName"/>
            </w:pPr>
            <w:r>
              <w:rPr/>
              <w:t xml:space="preserve">Jinkwan Han</w:t>
            </w:r>
            <w:r>
              <w:rPr>
                <w:vertAlign w:val="superscript"/>
              </w:rPr>
              <w:t xml:space="preserve">*</w:t>
            </w:r>
          </w:p>
          <w:p>
            <w:pPr>
              <w:pStyle w:val="AuthorAffiliation"/>
            </w:pPr>
            <w:r>
              <w:rPr/>
              <w:t xml:space="preserve">Department of Mechanical Engineering,</w:t>
            </w:r>
            <w:r>
              <w:br/>
            </w:r>
            <w:r>
              <w:rPr/>
              <w:t xml:space="preserve">Brigham Young University,</w:t>
            </w:r>
            <w:r>
              <w:br/>
            </w:r>
            <w:r>
              <w:rPr/>
              <w:t xml:space="preserve">Provo, UT 84602, USA</w:t>
            </w:r>
          </w:p>
          <w:p>
            <w:pPr>
              <w:pStyle w:val="AuthorName"/>
            </w:pPr>
            <w:r>
              <w:rPr/>
              <w:t xml:space="preserve">Jeffrey R. Hill</w:t>
            </w:r>
            <w:r>
              <w:rPr>
                <w:vertAlign w:val="superscript"/>
              </w:rPr>
              <w:t xml:space="preserve">†‡</w:t>
            </w:r>
            <w:r>
              <w:rPr>
                <w:rStyle w:val="FootnoteReference"/>
                <w:rFonts w:ascii="Arial" w:hAnsi="Arial"/>
                <w:color w:val="0000FF"/>
              </w:rPr>
              <w:footnoteReference w:id="1"/>
            </w:r>
          </w:p>
          <w:p>
            <w:pPr>
              <w:pStyle w:val="AuthorAffiliation"/>
            </w:pPr>
            <w:r>
              <w:rPr/>
              <w:t xml:space="preserve">Department of Mechanical Engineering,</w:t>
            </w:r>
            <w:r>
              <w:br/>
            </w:r>
            <w:r>
              <w:rPr/>
              <w:t xml:space="preserve">Brigham Young University,</w:t>
            </w:r>
            <w:r>
              <w:br/>
            </w:r>
            <w:r>
              <w:rPr/>
              <w:t xml:space="preserve">Provo, UT 84602, USA</w:t>
            </w:r>
            <w:r>
              <w:br/>
            </w:r>
            <w:r>
              <w:rPr/>
              <w:t xml:space="preserve">email: jeff.hill@byu.edu</w:t>
            </w:r>
          </w:p>
          <w:p>
            <w:pPr>
              <w:pStyle w:val="AuthorName"/>
            </w:pPr>
            <w:r>
              <w:rPr/>
              <w:t xml:space="preserve">Sterling G. Baird</w:t>
            </w:r>
            <w:r>
              <w:rPr>
                <w:vertAlign w:val="superscript"/>
              </w:rPr>
              <w:t xml:space="preserve">†‡</w:t>
            </w:r>
            <w:r>
              <w:rPr>
                <w:rFonts w:ascii="Arial" w:hAnsi="Arial"/>
                <w:color w:val="0000FF"/>
                <w:vertAlign w:val="superscript"/>
              </w:rPr>
              <w:t xml:space="preserve">1</w:t>
            </w:r>
          </w:p>
          <w:p>
            <w:pPr>
              <w:pStyle w:val="AuthorAffiliation"/>
            </w:pPr>
            <w:r>
              <w:rPr/>
              <w:t xml:space="preserve">Department of Mechanical Engineering,</w:t>
            </w:r>
            <w:r>
              <w:br/>
            </w:r>
            <w:r>
              <w:rPr/>
              <w:t xml:space="preserve">Brigham Young University,</w:t>
            </w:r>
            <w:r>
              <w:br/>
            </w:r>
            <w:r>
              <w:rPr/>
              <w:t xml:space="preserve">Provo, UT 84602, USA</w:t>
            </w:r>
            <w:r>
              <w:br/>
            </w:r>
            <w:r>
              <w:rPr/>
              <w:t xml:space="preserve">email: sterling.baird@byu.edu</w:t>
            </w:r>
          </w:p>
        </w:tc>
        <w:tc>
          <w:tcPr>
            <w:tcW w:w="7060" w:type="dxa"/>
          </w:tcPr>
          <w:p>
            <w:pPr>
              <w:pStyle w:val="Title"/>
            </w:pPr>
            <w:r>
              <w:rPr/>
              <w:t xml:space="preserve">Experiment-Driven Bayesian Optimization of the Impact Response of Multi-Material 3D-Printed Tensegrity-Inspired Structures</w:t>
            </w:r>
          </w:p>
          <w:p>
            <w:pPr>
              <w:pStyle w:val="Abstract"/>
            </w:pPr>
            <w:r>
              <w:rPr/>
              <w:t xml:space="preserve">Tensegrity-inspired structures of rigid and soft members could cushion impacts, but the shock they transmit is hard to predict by simulation. We report a Bayesian optimization campaign, driven by drop tests, over three-strut prisms printed in one piece from polylactic acid and thermoplastic polyurethane. The search space begins with five geometry variables and, from the third batch, adds infill densities and filament settings. Each candidate is rescaled to a common mass, printed, and drop-tested repeatedly. The optimizer seeks low transmissibility (the top-to-base ratio of filtered peak accelerations) and a low velocity loss index (the fraction of impact velocity not returned at the top). Most printed articles amplify the peak shock. Over a quasi-random initial batch of experiments and three model-recommended batches (35 articles), the dominated hypervolume grew 65 percent and the model chose every design on the final Pareto front. The fourth batch's best-predicted design lowered transmissibility to 0.803, ten percent below the best seed article. After the conclusion of the campaign, several specimens were reprinted and tested multiple times to account for variability.</w:t>
            </w:r>
          </w:p>
          <w:p>
            <w:pPr>
              <w:pStyle w:val="Keywords"/>
            </w:pPr>
            <w:r>
              <w:rPr/>
              <w:t xml:space="preserve">Keywords: tensegrity, multi-material 3D printing, Bayesian optimization, impact mitigation, design of experiments</w:t>
            </w:r>
          </w:p>
        </w:tc>
      </w:tr>
    </w:tbl>
    <w:p>
      <w:pPr>
        <w:pStyle w:val="SectionBreak"/>
        <w:sectPr>
          <w:footerReference w:type="default" r:id="rId9"/>
          <w:footerReference w:type="even" r:id="rId10"/>
          <w:pgSz w:w="12240" w:h="16197"/>
          <w:pgMar w:left="1200" w:right="1200" w:top="920" w:bottom="1320" w:header="500" w:footer="820"/>
          <w:cols w:space="480"/>
        </w:sectPr>
      </w:pPr>
    </w:p>
    <w:p>
      <w:pPr>
        <w:pStyle w:val="DraftNote"/>
      </w:pPr>
      <w:r>
        <w:rPr>
          <w:b/>
          <w:bCs/>
        </w:rPr>
        <w:t xml:space="preserve">Draft note (remove before submission):</w:t>
      </w:r>
      <w:r>
        <w:t xml:space="preserve"> </w:t>
      </w:r>
      <w:r>
        <w:t xml:space="preserve">this</w:t>
      </w:r>
      <w:r>
        <w:t xml:space="preserve"> </w:t>
      </w:r>
      <w:r>
        <w:t xml:space="preserve">draft is written at the intended final scope of the study, and any value</w:t>
      </w:r>
      <w:r>
        <w:t xml:space="preserve"> </w:t>
      </w:r>
      <w:r>
        <w:t xml:space="preserve">printed in this violet color is a synthetic placeholder rather than a</w:t>
      </w:r>
      <w:r>
        <w:t xml:space="preserve"> </w:t>
      </w:r>
      <w:r>
        <w:t xml:space="preserve">measurement. The Results contain no violet values. The four reported</w:t>
      </w:r>
      <w:r>
        <w:t xml:space="preserve"> </w:t>
      </w:r>
      <w:r>
        <w:t xml:space="preserve">batches (35 articles) and the second and third prints of the batch-3</w:t>
      </w:r>
      <w:r>
        <w:t xml:space="preserve"> </w:t>
      </w:r>
      <w:r>
        <w:t xml:space="preserve">designs (18 articles, the third added 2026-10-11) are measured data from</w:t>
      </w:r>
      <w:r>
        <w:t xml:space="preserve"> </w:t>
      </w:r>
      <w:r>
        <w:t xml:space="preserve">the committed campaign record. The Conclusions carry one violet</w:t>
      </w:r>
      <w:r>
        <w:t xml:space="preserve"> </w:t>
      </w:r>
      <w:r>
        <w:t xml:space="preserve">placeholder for the outcome of the replicate study listed below. Still</w:t>
      </w:r>
      <w:r>
        <w:t xml:space="preserve"> </w:t>
      </w:r>
      <w:r>
        <w:t xml:space="preserve">pending, and written as future work: the re-seat confirmations of the</w:t>
      </w:r>
      <w:r>
        <w:t xml:space="preserve"> </w:t>
      </w:r>
      <w:r>
        <w:t xml:space="preserve">batch-4 record article and of</w:t>
      </w:r>
      <w:r>
        <w:t xml:space="preserve"> </w:t>
      </w:r>
      <w:r>
        <w:t xml:space="preserve">the third-print outlier dran35, the entry of the third print into the</w:t>
      </w:r>
      <w:r>
        <w:t xml:space="preserve"> </w:t>
      </w:r>
      <w:r>
        <w:t xml:space="preserve">surrogate fit, and any batches beyond the fourth. Also pending are the</w:t>
      </w:r>
      <w:r>
        <w:t xml:space="preserve"> </w:t>
      </w:r>
      <w:r>
        <w:t xml:space="preserve">replicate rank-stability study (best-, mid-, and worst-predicted</w:t>
      </w:r>
      <w:r>
        <w:t xml:space="preserve"> </w:t>
      </w:r>
      <w:r>
        <w:t xml:space="preserve">in-sample designs in nominal triplicate), the quasi-static crush</w:t>
      </w:r>
      <w:r>
        <w:t xml:space="preserve"> </w:t>
      </w:r>
      <w:r>
        <w:t xml:space="preserve">campaign, the metal-analog comparison, and the archival (Zenodo) code</w:t>
      </w:r>
      <w:r>
        <w:t xml:space="preserve"> </w:t>
      </w:r>
      <w:r>
        <w:t xml:space="preserve">release.</w:t>
      </w:r>
    </w:p>
    <w:bookmarkStart w:id="23" w:name="lbl_sec_introduction"/>
    <w:p>
      <w:pPr>
        <w:pStyle w:val="Heading1"/>
      </w:pPr>
      <w:r>
        <w:t xml:space="preserve">1 Introduction</w:t>
      </w:r>
    </w:p>
    <w:p>
      <w:pPr>
        <w:pStyle w:val="FirstParagraph"/>
      </w:pPr>
      <w:r>
        <w:t xml:space="preserve">Tensegrity structures are assemblies of rigid compression members</w:t>
      </w:r>
      <w:r>
        <w:t xml:space="preserve"> </w:t>
      </w:r>
      <w:r>
        <w:t xml:space="preserve">suspended within a continuous network of tension members. Their defining</w:t>
      </w:r>
      <w:r>
        <w:t xml:space="preserve"> </w:t>
      </w:r>
      <w:r>
        <w:t xml:space="preserve">property, that no two rigid bars touch, yields lightweight assemblies with</w:t>
      </w:r>
      <w:r>
        <w:t xml:space="preserve"> </w:t>
      </w:r>
      <w:r>
        <w:t xml:space="preserve">high strength-to-weight ratios and tunable nonlinear mechanical</w:t>
      </w:r>
      <w:r>
        <w:t xml:space="preserve"> </w:t>
      </w:r>
      <w:r>
        <w:t xml:space="preserve">responses [</w:t>
      </w:r>
      <w:hyperlink w:anchor="bib1">
        <w:r>
          <w:rPr>
            <w:rStyle w:val="Hyperlink"/>
          </w:rPr>
          <w:t xml:space="preserve">1</w:t>
        </w:r>
      </w:hyperlink>
      <w:r>
        <w:t xml:space="preserve">,</w:t>
      </w:r>
      <w:r>
        <w:t xml:space="preserve"> </w:t>
      </w:r>
      <w:hyperlink w:anchor="bib2">
        <w:r>
          <w:rPr>
            <w:rStyle w:val="Hyperlink"/>
          </w:rPr>
          <w:t xml:space="preserve">2</w:t>
        </w:r>
      </w:hyperlink>
      <w:r>
        <w:t xml:space="preserve">]. These</w:t>
      </w:r>
      <w:r>
        <w:t xml:space="preserve"> </w:t>
      </w:r>
      <w:r>
        <w:t xml:space="preserve">properties have made tensegrity attractive across scales, from</w:t>
      </w:r>
      <w:r>
        <w:t xml:space="preserve"> </w:t>
      </w:r>
      <w:r>
        <w:t xml:space="preserve">metamaterial unit cells [</w:t>
      </w:r>
      <w:hyperlink w:anchor="bib3">
        <w:r>
          <w:rPr>
            <w:rStyle w:val="Hyperlink"/>
          </w:rPr>
          <w:t xml:space="preserve">3</w:t>
        </w:r>
      </w:hyperlink>
      <w:r>
        <w:t xml:space="preserve">–</w:t>
      </w:r>
      <w:hyperlink w:anchor="bib5">
        <w:r>
          <w:rPr>
            <w:rStyle w:val="Hyperlink"/>
          </w:rPr>
          <w:t xml:space="preserve">5</w:t>
        </w:r>
      </w:hyperlink>
      <w:r>
        <w:t xml:space="preserve">] to compliant impact-absorbing</w:t>
      </w:r>
      <w:r>
        <w:t xml:space="preserve"> </w:t>
      </w:r>
      <w:r>
        <w:t xml:space="preserve">robots developed for planetary landing [</w:t>
      </w:r>
      <w:hyperlink w:anchor="bib6">
        <w:r>
          <w:rPr>
            <w:rStyle w:val="Hyperlink"/>
          </w:rPr>
          <w:t xml:space="preserve">6</w:t>
        </w:r>
      </w:hyperlink>
      <w:r>
        <w:t xml:space="preserve">–</w:t>
      </w:r>
      <w:hyperlink w:anchor="bib10">
        <w:r>
          <w:rPr>
            <w:rStyle w:val="Hyperlink"/>
          </w:rPr>
          <w:t xml:space="preserve">10</w:t>
        </w:r>
      </w:hyperlink>
      <w:r>
        <w:t xml:space="preserve">]. Recent work has shown that</w:t>
      </w:r>
      <w:r>
        <w:t xml:space="preserve"> </w:t>
      </w:r>
      <w:r>
        <w:rPr>
          <w:i/>
          <w:iCs/>
        </w:rPr>
        <w:t xml:space="preserve">tensegrity-inspired</w:t>
      </w:r>
      <w:r>
        <w:t xml:space="preserve"> </w:t>
      </w:r>
      <w:r>
        <w:t xml:space="preserve">unit cells can be directly 3D-printed and exhibit load-limiting plateaus</w:t>
      </w:r>
      <w:r>
        <w:t xml:space="preserve"> </w:t>
      </w:r>
      <w:r>
        <w:t xml:space="preserve">under drop-weight impact [</w:t>
      </w:r>
      <w:hyperlink w:anchor="bib11">
        <w:r>
          <w:rPr>
            <w:rStyle w:val="Hyperlink"/>
          </w:rPr>
          <w:t xml:space="preserve">11</w:t>
        </w:r>
      </w:hyperlink>
      <w:r>
        <w:t xml:space="preserve">]. Throughout, we use</w:t>
      </w:r>
      <w:r>
        <w:t xml:space="preserve"> </w:t>
      </w:r>
      <w:r>
        <w:rPr>
          <w:i/>
          <w:iCs/>
        </w:rPr>
        <w:t xml:space="preserve">tensegrity-inspired</w:t>
      </w:r>
      <w:r>
        <w:t xml:space="preserve"> </w:t>
      </w:r>
      <w:r>
        <w:t xml:space="preserve">for printable cells that borrow the separated</w:t>
      </w:r>
      <w:r>
        <w:t xml:space="preserve"> </w:t>
      </w:r>
      <w:r>
        <w:t xml:space="preserve">compression-member and tension-network geometry of tensegrity while</w:t>
      </w:r>
      <w:r>
        <w:t xml:space="preserve"> </w:t>
      </w:r>
      <w:r>
        <w:t xml:space="preserve">relaxing defining mechanical conditions of classical tensegrity. In the</w:t>
      </w:r>
      <w:r>
        <w:t xml:space="preserve"> </w:t>
      </w:r>
      <w:r>
        <w:t xml:space="preserve">present specimens, the printed soft tension elements are extensible,</w:t>
      </w:r>
      <w:r>
        <w:t xml:space="preserve"> </w:t>
      </w:r>
      <w:r>
        <w:t xml:space="preserve">the rigid struts may share printed junctions, and no pretension is activated or measured.</w:t>
      </w:r>
      <w:r>
        <w:t xml:space="preserve"> </w:t>
      </w:r>
      <w:r>
        <w:t xml:space="preserve">We therefore do not claim classical tensegrity, prestress-stabilized</w:t>
      </w:r>
      <w:r>
        <w:t xml:space="preserve"> </w:t>
      </w:r>
      <w:r>
        <w:t xml:space="preserve">behavior, or equivalence to an ideal cable-strut prism.</w:t>
      </w:r>
    </w:p>
    <w:p>
      <w:pPr>
        <w:pStyle w:val="BodyText"/>
      </w:pPr>
      <w:r>
        <w:t xml:space="preserve">Multi-material fused-deposition modeling (FDM) can pair a rigid polymer</w:t>
      </w:r>
      <w:r>
        <w:t xml:space="preserve"> </w:t>
      </w:r>
      <w:r>
        <w:t xml:space="preserve">such as polylactic acid (PLA) with a soft, rate-dependent elastomer such as</w:t>
      </w:r>
      <w:r>
        <w:t xml:space="preserve"> </w:t>
      </w:r>
      <w:r>
        <w:t xml:space="preserve">thermoplastic polyurethane (TPU) on a single platform. It has been used to</w:t>
      </w:r>
      <w:r>
        <w:t xml:space="preserve"> </w:t>
      </w:r>
      <w:r>
        <w:t xml:space="preserve">fabricate rigid-soft architected energy absorbers, including thick-panel</w:t>
      </w:r>
      <w:r>
        <w:t xml:space="preserve"> </w:t>
      </w:r>
      <w:r>
        <w:t xml:space="preserve">origami metamaterials with PLA panels and TPU hinges [</w:t>
      </w:r>
      <w:hyperlink w:anchor="bib12">
        <w:r>
          <w:rPr>
            <w:rStyle w:val="Hyperlink"/>
          </w:rPr>
          <w:t xml:space="preserve">12</w:t>
        </w:r>
      </w:hyperlink>
      <w:r>
        <w:t xml:space="preserve">]</w:t>
      </w:r>
      <w:r>
        <w:t xml:space="preserve"> </w:t>
      </w:r>
      <w:r>
        <w:t xml:space="preserve">and honeycombs of acrylonitrile butadiene styrene (ABS) and TPU with tunable</w:t>
      </w:r>
      <w:r>
        <w:t xml:space="preserve"> </w:t>
      </w:r>
      <w:r>
        <w:t xml:space="preserve">stiff/flexible proportions [</w:t>
      </w:r>
      <w:hyperlink w:anchor="bib13">
        <w:r>
          <w:rPr>
            <w:rStyle w:val="Hyperlink"/>
          </w:rPr>
          <w:t xml:space="preserve">13</w:t>
        </w:r>
      </w:hyperlink>
      <w:r>
        <w:t xml:space="preserve">]. The same rigid-soft</w:t>
      </w:r>
      <w:r>
        <w:t xml:space="preserve"> </w:t>
      </w:r>
      <w:r>
        <w:t xml:space="preserve">co-printing capability makes it possible to fabricate diverse</w:t>
      </w:r>
      <w:r>
        <w:t xml:space="preserve"> </w:t>
      </w:r>
      <w:r>
        <w:t xml:space="preserve">tensegrity-inspired geometries, which adopt a</w:t>
      </w:r>
      <w:r>
        <w:t xml:space="preserve"> </w:t>
      </w:r>
      <w:r>
        <w:t xml:space="preserve">discrete-compression/continuous-tension topology rather than an origami or</w:t>
      </w:r>
      <w:r>
        <w:t xml:space="preserve"> </w:t>
      </w:r>
      <w:r>
        <w:t xml:space="preserve">honeycomb one. Although extruded TPU does not behave as an idealized</w:t>
      </w:r>
      <w:r>
        <w:t xml:space="preserve"> </w:t>
      </w:r>
      <w:r>
        <w:t xml:space="preserve">inextensible cable, its rate-dependent damping is a desirable property</w:t>
      </w:r>
      <w:r>
        <w:t xml:space="preserve"> </w:t>
      </w:r>
      <w:r>
        <w:t xml:space="preserve">for impact-absorption applications and complements the elastic stiffness</w:t>
      </w:r>
      <w:r>
        <w:t xml:space="preserve"> </w:t>
      </w:r>
      <w:r>
        <w:t xml:space="preserve">of the PLA compression members.</w:t>
      </w:r>
    </w:p>
    <w:p>
      <w:pPr>
        <w:pStyle w:val="BodyText"/>
      </w:pPr>
      <w:r>
        <w:t xml:space="preserve">Designing such architected absorbers is a</w:t>
      </w:r>
      <w:r>
        <w:t xml:space="preserve"> </w:t>
      </w:r>
      <w:r>
        <w:rPr>
          <w:i/>
          <w:iCs/>
        </w:rPr>
        <w:t xml:space="preserve">design-of-experiments</w:t>
      </w:r>
      <w:r>
        <w:t xml:space="preserve"> </w:t>
      </w:r>
      <w:r>
        <w:t xml:space="preserve">problem. Strut geometry, tension-element</w:t>
      </w:r>
      <w:r>
        <w:t xml:space="preserve"> </w:t>
      </w:r>
      <w:r>
        <w:t xml:space="preserve">cross-section, connectivity, and unit-cell tiling span a large</w:t>
      </w:r>
      <w:r>
        <w:t xml:space="preserve"> </w:t>
      </w:r>
      <w:r>
        <w:t xml:space="preserve">configuration space. Each candidate must be physically printed</w:t>
      </w:r>
      <w:r>
        <w:t xml:space="preserve"> </w:t>
      </w:r>
      <w:r>
        <w:t xml:space="preserve">and tested, and the relevant impact-performance metrics (the shock</w:t>
      </w:r>
      <w:r>
        <w:t xml:space="preserve"> </w:t>
      </w:r>
      <w:r>
        <w:t xml:space="preserve">transmitted across the structure and the velocity it gives back to</w:t>
      </w:r>
      <w:r>
        <w:t xml:space="preserve"> </w:t>
      </w:r>
      <w:r>
        <w:t xml:space="preserve">the protected payload) are noisy and partially correlated. Bayesian</w:t>
      </w:r>
      <w:r>
        <w:t xml:space="preserve"> </w:t>
      </w:r>
      <w:r>
        <w:t xml:space="preserve">optimization (BO) suits this regime and has been applied to problems</w:t>
      </w:r>
      <w:r>
        <w:t xml:space="preserve"> </w:t>
      </w:r>
      <w:r>
        <w:t xml:space="preserve">ranging from hyperparameter tuning of</w:t>
      </w:r>
      <w:r>
        <w:t xml:space="preserve"> </w:t>
      </w:r>
      <w:r>
        <w:t xml:space="preserve">AlphaGo [</w:t>
      </w:r>
      <w:hyperlink w:anchor="bib14">
        <w:r>
          <w:rPr>
            <w:rStyle w:val="Hyperlink"/>
          </w:rPr>
          <w:t xml:space="preserve">14</w:t>
        </w:r>
      </w:hyperlink>
      <w:r>
        <w:t xml:space="preserve">] to sustainable</w:t>
      </w:r>
      <w:r>
        <w:t xml:space="preserve"> </w:t>
      </w:r>
      <w:r>
        <w:t xml:space="preserve">concrete [</w:t>
      </w:r>
      <w:hyperlink w:anchor="bib15">
        <w:r>
          <w:rPr>
            <w:rStyle w:val="Hyperlink"/>
          </w:rPr>
          <w:t xml:space="preserve">15</w:t>
        </w:r>
      </w:hyperlink>
      <w:r>
        <w:t xml:space="preserve">], autonomous discovery of organic</w:t>
      </w:r>
      <w:r>
        <w:t xml:space="preserve"> </w:t>
      </w:r>
      <w:r>
        <w:t xml:space="preserve">laser emitters [</w:t>
      </w:r>
      <w:hyperlink w:anchor="bib16">
        <w:r>
          <w:rPr>
            <w:rStyle w:val="Hyperlink"/>
          </w:rPr>
          <w:t xml:space="preserve">16</w:t>
        </w:r>
      </w:hyperlink>
      <w:r>
        <w:t xml:space="preserve">], and architected</w:t>
      </w:r>
      <w:r>
        <w:t xml:space="preserve"> </w:t>
      </w:r>
      <w:r>
        <w:t xml:space="preserve">materials [</w:t>
      </w:r>
      <w:hyperlink w:anchor="bib17">
        <w:r>
          <w:rPr>
            <w:rStyle w:val="Hyperlink"/>
          </w:rPr>
          <w:t xml:space="preserve">17</w:t>
        </w:r>
      </w:hyperlink>
      <w:r>
        <w:t xml:space="preserve">,</w:t>
      </w:r>
      <w:r>
        <w:t xml:space="preserve"> </w:t>
      </w:r>
      <w:hyperlink w:anchor="bib18">
        <w:r>
          <w:rPr>
            <w:rStyle w:val="Hyperlink"/>
          </w:rPr>
          <w:t xml:space="preserve">18</w:t>
        </w:r>
      </w:hyperlink>
      <w:r>
        <w:t xml:space="preserve">].</w:t>
      </w:r>
      <w:r>
        <w:t xml:space="preserve"> </w:t>
      </w:r>
      <w:r>
        <w:t xml:space="preserve">The gap this paper addresses is the combination of these two ideas.</w:t>
      </w:r>
      <w:r>
        <w:t xml:space="preserve"> </w:t>
      </w:r>
      <w:r>
        <w:t xml:space="preserve">Pajunen et al. [</w:t>
      </w:r>
      <w:hyperlink w:anchor="bib11">
        <w:r>
          <w:rPr>
            <w:rStyle w:val="Hyperlink"/>
          </w:rPr>
          <w:t xml:space="preserve">11</w:t>
        </w:r>
      </w:hyperlink>
      <w:r>
        <w:t xml:space="preserve">] printed tensegrity-inspired</w:t>
      </w:r>
      <w:r>
        <w:t xml:space="preserve"> </w:t>
      </w:r>
      <w:r>
        <w:t xml:space="preserve">cells under a single fabrication condition with no optimization loop,</w:t>
      </w:r>
      <w:r>
        <w:t xml:space="preserve"> </w:t>
      </w:r>
      <w:r>
        <w:t xml:space="preserve">and Mo et al. [</w:t>
      </w:r>
      <w:hyperlink w:anchor="bib17">
        <w:r>
          <w:rPr>
            <w:rStyle w:val="Hyperlink"/>
          </w:rPr>
          <w:t xml:space="preserve">17</w:t>
        </w:r>
      </w:hyperlink>
      <w:r>
        <w:t xml:space="preserve">] closed a multifidelity BO loop</w:t>
      </w:r>
      <w:r>
        <w:t xml:space="preserve"> </w:t>
      </w:r>
      <w:r>
        <w:t xml:space="preserve">entirely in simulation. Among the studies reviewed here, prior work</w:t>
      </w:r>
      <w:r>
        <w:t xml:space="preserve"> </w:t>
      </w:r>
      <w:r>
        <w:t xml:space="preserve">separately demonstrates physical impact testing of printed</w:t>
      </w:r>
      <w:r>
        <w:t xml:space="preserve"> </w:t>
      </w:r>
      <w:r>
        <w:t xml:space="preserve">tensegrity-inspired structures, rigid-flexible additive fabrication,</w:t>
      </w:r>
      <w:r>
        <w:t xml:space="preserve"> </w:t>
      </w:r>
      <w:r>
        <w:t xml:space="preserve">and Bayesian optimization of architected materials. We found no prior</w:t>
      </w:r>
      <w:r>
        <w:t xml:space="preserve"> </w:t>
      </w:r>
      <w:r>
        <w:t xml:space="preserve">report combining these elements in a BO campaign over co-printed</w:t>
      </w:r>
      <w:r>
        <w:t xml:space="preserve"> </w:t>
      </w:r>
      <w:r>
        <w:t xml:space="preserve">multi-material tensegrity-inspired hardware with physical impact</w:t>
      </w:r>
      <w:r>
        <w:t xml:space="preserve"> </w:t>
      </w:r>
      <w:r>
        <w:t xml:space="preserve">measurements as the optimization ground truth. In the campaign reported</w:t>
      </w:r>
      <w:r>
        <w:t xml:space="preserve"> </w:t>
      </w:r>
      <w:r>
        <w:t xml:space="preserve">here, we close the recommend, fabricate, measure, and update cycle three</w:t>
      </w:r>
      <w:r>
        <w:t xml:space="preserve"> </w:t>
      </w:r>
      <w:r>
        <w:t xml:space="preserve">times. We trained the surrogate on a seed batch drawn from a Sobol</w:t>
      </w:r>
      <w:r>
        <w:t xml:space="preserve"> </w:t>
      </w:r>
      <w:r>
        <w:t xml:space="preserve">sequence, and each of three</w:t>
      </w:r>
      <w:r>
        <w:t xml:space="preserve"> </w:t>
      </w:r>
      <w:r>
        <w:t xml:space="preserve">successive model-recommended batches was fabricated, tested under the</w:t>
      </w:r>
      <w:r>
        <w:t xml:space="preserve"> </w:t>
      </w:r>
      <w:r>
        <w:t xml:space="preserve">identical protocol, and folded back into the refit that produced the</w:t>
      </w:r>
      <w:r>
        <w:t xml:space="preserve"> </w:t>
      </w:r>
      <w:r>
        <w:t xml:space="preserve">next.</w:t>
      </w:r>
    </w:p>
    <w:p>
      <w:pPr>
        <w:pStyle w:val="BodyText"/>
      </w:pPr>
      <w:r>
        <w:t xml:space="preserve">The printed PLA/TPU</w:t>
      </w:r>
      <w:r>
        <w:t xml:space="preserve"> </w:t>
      </w:r>
      <w:r>
        <w:rPr>
          <w:i/>
          <w:iCs/>
        </w:rPr>
        <w:t xml:space="preserve">T</w:t>
      </w:r>
      <w:r>
        <w:rPr>
          <w:vertAlign w:val="subscript"/>
        </w:rPr>
        <w:t xml:space="preserve">3</w:t>
      </w:r>
      <w:r>
        <w:t xml:space="preserve"> </w:t>
      </w:r>
      <w:r>
        <w:t xml:space="preserve">prism studied here is a testbed for developing</w:t>
      </w:r>
      <w:r>
        <w:t xml:space="preserve"> </w:t>
      </w:r>
      <w:r>
        <w:t xml:space="preserve">and validating the closed-loop workflow, not flight hardware, and not the</w:t>
      </w:r>
      <w:r>
        <w:t xml:space="preserve"> </w:t>
      </w:r>
      <w:r>
        <w:t xml:space="preserve">end of the design space we intend to search. The planetary-lander setting</w:t>
      </w:r>
      <w:r>
        <w:t xml:space="preserve"> </w:t>
      </w:r>
      <w:r>
        <w:t xml:space="preserve">motivates the objectives (limit the shock delivered to a payload,</w:t>
      </w:r>
      <w:r>
        <w:t xml:space="preserve"> </w:t>
      </w:r>
      <w:r>
        <w:t xml:space="preserve">limit the velocity returned to it) and the constant-mass fairness</w:t>
      </w:r>
      <w:r>
        <w:t xml:space="preserve"> </w:t>
      </w:r>
      <w:r>
        <w:t xml:space="preserve">constraint. Our contribution is the loop itself, a stepping stone</w:t>
      </w:r>
      <w:r>
        <w:t xml:space="preserve"> </w:t>
      </w:r>
      <w:r>
        <w:t xml:space="preserve">toward optimizing tensegrity-inspired structures generally, independent</w:t>
      </w:r>
      <w:r>
        <w:t xml:space="preserve"> </w:t>
      </w:r>
      <w:r>
        <w:t xml:space="preserve">of the eventual application scale.</w:t>
      </w:r>
    </w:p>
    <w:p>
      <w:pPr>
        <w:pStyle w:val="RuninHeading4"/>
      </w:pPr>
      <w:r>
        <w:rPr>
          <w:i/>
          <w:iCs/>
        </w:rPr>
        <w:t xml:space="preserve">Contributions.</w:t>
      </w:r>
      <w:r>
        <w:t xml:space="preserve"> </w:t>
      </w:r>
      <w:r>
        <w:t xml:space="preserve">This paper makes the following contributions:</w:t>
      </w:r>
    </w:p>
    <w:p>
      <w:pPr>
        <w:pStyle w:val="Compact"/>
        <w:numPr>
          <w:ilvl w:val="0"/>
          <w:numId w:val="1001"/>
        </w:numPr>
      </w:pPr>
      <w:r>
        <w:t xml:space="preserve">A parameterized family of multi-material 3D-printable</w:t>
      </w:r>
      <w:r>
        <w:t xml:space="preserve"> </w:t>
      </w:r>
      <w:r>
        <w:t xml:space="preserve">tensegrity-inspired unit cells that uses TPU in place of the</w:t>
      </w:r>
      <w:r>
        <w:t xml:space="preserve"> </w:t>
      </w:r>
      <w:r>
        <w:t xml:space="preserve">tension elements of the traditional tensegrity topology, with PLA</w:t>
      </w:r>
      <w:r>
        <w:t xml:space="preserve"> </w:t>
      </w:r>
      <w:r>
        <w:t xml:space="preserve">members that carry compression most of the time. The cells are</w:t>
      </w:r>
      <w:r>
        <w:t xml:space="preserve"> </w:t>
      </w:r>
      <w:r>
        <w:t xml:space="preserve">not prestressed, so neither member type acts as a pure tension or</w:t>
      </w:r>
      <w:r>
        <w:t xml:space="preserve"> </w:t>
      </w:r>
      <w:r>
        <w:t xml:space="preserve">compression element. Under impact some tendons stretch while</w:t>
      </w:r>
      <w:r>
        <w:t xml:space="preserve"> </w:t>
      </w:r>
      <w:r>
        <w:t xml:space="preserve">others buckle. The TPU tendons are anchored</w:t>
      </w:r>
      <w:r>
        <w:t xml:space="preserve"> </w:t>
      </w:r>
      <w:r>
        <w:rPr>
          <w:i/>
          <w:iCs/>
        </w:rPr>
        <w:t xml:space="preserve">inside</w:t>
      </w:r>
      <w:r>
        <w:t xml:space="preserve"> </w:t>
      </w:r>
      <w:r>
        <w:t xml:space="preserve">the</w:t>
      </w:r>
      <w:r>
        <w:t xml:space="preserve"> </w:t>
      </w:r>
      <w:r>
        <w:t xml:space="preserve">ends of each PLA strut, the strut acting as a rigid cage in which</w:t>
      </w:r>
      <w:r>
        <w:t xml:space="preserve"> </w:t>
      </w:r>
      <w:r>
        <w:t xml:space="preserve">the tendons meeting at a given end join before exiting through</w:t>
      </w:r>
      <w:r>
        <w:t xml:space="preserve"> </w:t>
      </w:r>
      <w:r>
        <w:t xml:space="preserve">discrete outlets. We report the resulting printable</w:t>
      </w:r>
      <w:r>
        <w:t xml:space="preserve"> </w:t>
      </w:r>
      <w:r>
        <w:t xml:space="preserve">joint geometry. Pull-out strength and fatigue life remain</w:t>
      </w:r>
      <w:r>
        <w:t xml:space="preserve"> </w:t>
      </w:r>
      <w:r>
        <w:t xml:space="preserve">untested and are an area of planned follow-on work. We compare</w:t>
      </w:r>
      <w:r>
        <w:t xml:space="preserve"> </w:t>
      </w:r>
      <w:r>
        <w:t xml:space="preserve">candidate designs fairly through a constant-mass projection</w:t>
      </w:r>
      <w:r>
        <w:t xml:space="preserve"> </w:t>
      </w:r>
      <w:r>
        <w:t xml:space="preserve">that rescales every geometry to a common material budget before</w:t>
      </w:r>
      <w:r>
        <w:t xml:space="preserve"> </w:t>
      </w:r>
      <w:r>
        <w:t xml:space="preserve">printing (Section </w:t>
      </w:r>
      <w:hyperlink w:anchor="lbl_sec_methods_parameterization">
        <w:r>
          <w:rPr>
            <w:rStyle w:val="Hyperlink"/>
          </w:rPr>
          <w:t xml:space="preserve">3.1</w:t>
        </w:r>
      </w:hyperlink>
      <w:r>
        <w:t xml:space="preserve">).</w:t>
      </w:r>
    </w:p>
    <w:p>
      <w:pPr>
        <w:pStyle w:val="Compact"/>
        <w:numPr>
          <w:ilvl w:val="0"/>
          <w:numId w:val="1001"/>
        </w:numPr>
      </w:pPr>
      <w:r>
        <w:t xml:space="preserve">A characterized drop-tower protocol and objective stack for</w:t>
      </w:r>
      <w:r>
        <w:t xml:space="preserve"> </w:t>
      </w:r>
      <w:r>
        <w:t xml:space="preserve">printed impact absorbers. We drop-test each article repeatedly</w:t>
      </w:r>
      <w:r>
        <w:t xml:space="preserve"> </w:t>
      </w:r>
      <w:r>
        <w:t xml:space="preserve">(101 stabilized captures in the seed batch, about twenty recorded</w:t>
      </w:r>
      <w:r>
        <w:t xml:space="preserve"> </w:t>
      </w:r>
      <w:r>
        <w:t xml:space="preserve">drops in later batches) with standardized</w:t>
      </w:r>
      <w:r>
        <w:t xml:space="preserve"> </w:t>
      </w:r>
      <w:r>
        <w:t xml:space="preserve">SAE J211 filtering [</w:t>
      </w:r>
      <w:hyperlink w:anchor="bib19">
        <w:r>
          <w:rPr>
            <w:rStyle w:val="Hyperlink"/>
          </w:rPr>
          <w:t xml:space="preserve">19</w:t>
        </w:r>
      </w:hyperlink>
      <w:r>
        <w:t xml:space="preserve">]. The measured within-session</w:t>
      </w:r>
      <w:r>
        <w:t xml:space="preserve"> </w:t>
      </w:r>
      <w:r>
        <w:t xml:space="preserve">variance justifies the smaller count in later batches</w:t>
      </w:r>
      <w:r>
        <w:t xml:space="preserve"> </w:t>
      </w:r>
      <w:r>
        <w:t xml:space="preserve">(Section </w:t>
      </w:r>
      <w:hyperlink w:anchor="lbl_sec_methods_testing">
        <w:r>
          <w:rPr>
            <w:rStyle w:val="Hyperlink"/>
          </w:rPr>
          <w:t xml:space="preserve">3.3</w:t>
        </w:r>
      </w:hyperlink>
      <w:r>
        <w:t xml:space="preserve">). The two per-article</w:t>
      </w:r>
      <w:r>
        <w:t xml:space="preserve"> </w:t>
      </w:r>
      <w:r>
        <w:t xml:space="preserve">objectives, the transmissibility after channel-frequency-class (CFC)</w:t>
      </w:r>
      <w:r>
        <w:t xml:space="preserve"> </w:t>
      </w:r>
      <w:r>
        <w:t xml:space="preserve">180 filtering and the velocity loss index (optimized in a</w:t>
      </w:r>
      <w:r>
        <w:t xml:space="preserve"> </w:t>
      </w:r>
      <w:r>
        <w:t xml:space="preserve">mass-weighted form), are each characterized for repeatability</w:t>
      </w:r>
      <w:r>
        <w:t xml:space="preserve"> </w:t>
      </w:r>
      <w:r>
        <w:t xml:space="preserve">before entering the optimizer.</w:t>
      </w:r>
    </w:p>
    <w:p>
      <w:pPr>
        <w:pStyle w:val="Compact"/>
        <w:numPr>
          <w:ilvl w:val="0"/>
          <w:numId w:val="1001"/>
        </w:numPr>
      </w:pPr>
      <w:r>
        <w:t xml:space="preserve">An experiment-driven BO loop, built on</w:t>
      </w:r>
      <w:r>
        <w:t xml:space="preserve"> </w:t>
      </w:r>
      <w:r>
        <w:t xml:space="preserve">BoTorch/Ax [</w:t>
      </w:r>
      <w:hyperlink w:anchor="bib20">
        <w:r>
          <w:rPr>
            <w:rStyle w:val="Hyperlink"/>
          </w:rPr>
          <w:t xml:space="preserve">20</w:t>
        </w:r>
      </w:hyperlink>
      <w:r>
        <w:t xml:space="preserve">,</w:t>
      </w:r>
      <w:r>
        <w:t xml:space="preserve"> </w:t>
      </w:r>
      <w:hyperlink w:anchor="bib21">
        <w:r>
          <w:rPr>
            <w:rStyle w:val="Hyperlink"/>
          </w:rPr>
          <w:t xml:space="preserve">21</w:t>
        </w:r>
      </w:hyperlink>
      <w:r>
        <w:t xml:space="preserve">] with a</w:t>
      </w:r>
      <w:r>
        <w:t xml:space="preserve"> </w:t>
      </w:r>
      <w:r>
        <w:t xml:space="preserve">fully Bayesian sparse axis-aligned subspace surrogate</w:t>
      </w:r>
      <w:r>
        <w:t xml:space="preserve"> </w:t>
      </w:r>
      <w:r>
        <w:t xml:space="preserve">(SAASBO) [</w:t>
      </w:r>
      <w:hyperlink w:anchor="bib22">
        <w:r>
          <w:rPr>
            <w:rStyle w:val="Hyperlink"/>
          </w:rPr>
          <w:t xml:space="preserve">22</w:t>
        </w:r>
      </w:hyperlink>
      <w:r>
        <w:t xml:space="preserve">], that ingests the physical</w:t>
      </w:r>
      <w:r>
        <w:t xml:space="preserve"> </w:t>
      </w:r>
      <w:r>
        <w:t xml:space="preserve">drop measurements, models per-print mass explicitly, and</w:t>
      </w:r>
      <w:r>
        <w:t xml:space="preserve"> </w:t>
      </w:r>
      <w:r>
        <w:t xml:space="preserve">recommends each next batch of designs to fabricate. We report</w:t>
      </w:r>
      <w:r>
        <w:t xml:space="preserve"> </w:t>
      </w:r>
      <w:r>
        <w:t xml:space="preserve">all four measured batches (35 articles). The final</w:t>
      </w:r>
      <w:r>
        <w:t xml:space="preserve"> </w:t>
      </w:r>
      <w:r>
        <w:t xml:space="preserve">Pareto front is entirely model-chosen, and the best-predicted</w:t>
      </w:r>
      <w:r>
        <w:t xml:space="preserve"> </w:t>
      </w:r>
      <w:r>
        <w:t xml:space="preserve">design of the fourth batch had the lowest transmissibility</w:t>
      </w:r>
      <w:r>
        <w:t xml:space="preserve"> </w:t>
      </w:r>
      <w:r>
        <w:t xml:space="preserve">measured in the campaign</w:t>
      </w:r>
      <w:r>
        <w:t xml:space="preserve"> </w:t>
      </w:r>
      <w:r>
        <w:t xml:space="preserve">(Sections </w:t>
      </w:r>
      <w:hyperlink w:anchor="lbl_sec_methods_bo">
        <w:r>
          <w:rPr>
            <w:rStyle w:val="Hyperlink"/>
          </w:rPr>
          <w:t xml:space="preserve">3.4</w:t>
        </w:r>
      </w:hyperlink>
      <w:r>
        <w:t xml:space="preserve"> </w:t>
      </w:r>
      <w:r>
        <w:t xml:space="preserve">and </w:t>
      </w:r>
      <w:hyperlink w:anchor="lbl_sec_results">
        <w:r>
          <w:rPr>
            <w:rStyle w:val="Hyperlink"/>
          </w:rPr>
          <w:t xml:space="preserve">4</w:t>
        </w:r>
      </w:hyperlink>
      <w:r>
        <w:t xml:space="preserve">).</w:t>
      </w:r>
    </w:p>
    <w:p>
      <w:pPr>
        <w:pStyle w:val="Compact"/>
        <w:numPr>
          <w:ilvl w:val="0"/>
          <w:numId w:val="1001"/>
        </w:numPr>
      </w:pPr>
      <w:r>
        <w:t xml:space="preserve">A measured error budget for drop-tower ranking of printed</w:t>
      </w:r>
      <w:r>
        <w:t xml:space="preserve"> </w:t>
      </w:r>
      <w:r>
        <w:t xml:space="preserve">articles. We printed and tested one full nine-design batch two</w:t>
      </w:r>
      <w:r>
        <w:t xml:space="preserve"> </w:t>
      </w:r>
      <w:r>
        <w:t xml:space="preserve">more times (360 additional drops). Print-to-print and seating</w:t>
      </w:r>
      <w:r>
        <w:t xml:space="preserve"> </w:t>
      </w:r>
      <w:r>
        <w:t xml:space="preserve">variation exceed the within-session scatter, a broadband seat gauge</w:t>
      </w:r>
      <w:r>
        <w:t xml:space="preserve"> </w:t>
      </w:r>
      <w:r>
        <w:t xml:space="preserve">(Section </w:t>
      </w:r>
      <w:hyperlink w:anchor="lbl_sec_methods_testing">
        <w:r>
          <w:rPr>
            <w:rStyle w:val="Hyperlink"/>
          </w:rPr>
          <w:t xml:space="preserve">3.3</w:t>
        </w:r>
      </w:hyperlink>
      <w:r>
        <w:t xml:space="preserve">) flags the largest single-print</w:t>
      </w:r>
      <w:r>
        <w:t xml:space="preserve"> </w:t>
      </w:r>
      <w:r>
        <w:t xml:space="preserve">errors, and we adopted a between-seat</w:t>
      </w:r>
      <w:r>
        <w:t xml:space="preserve"> </w:t>
      </w:r>
      <w:r>
        <w:t xml:space="preserve">replication rule in response (Section </w:t>
      </w:r>
      <w:hyperlink w:anchor="lbl_sec_results_batches">
        <w:r>
          <w:rPr>
            <w:rStyle w:val="Hyperlink"/>
          </w:rPr>
          <w:t xml:space="preserve">4.2</w:t>
        </w:r>
      </w:hyperlink>
      <w:r>
        <w:t xml:space="preserve">).</w:t>
      </w:r>
    </w:p>
    <w:p>
      <w:pPr>
        <w:pStyle w:val="FirstParagraph"/>
      </w:pPr>
      <w:r>
        <w:t xml:space="preserve">The completed evidence in this paper is restricted to single-cell,</w:t>
      </w:r>
      <w:r>
        <w:t xml:space="preserve"> </w:t>
      </w:r>
      <w:r>
        <w:t xml:space="preserve">fixed-topology</w:t>
      </w:r>
      <w:r>
        <w:t xml:space="preserve"> </w:t>
      </w:r>
      <w:r>
        <w:rPr>
          <w:i/>
          <w:iCs/>
        </w:rPr>
        <w:t xml:space="preserve">T</w:t>
      </w:r>
      <w:r>
        <w:rPr>
          <w:vertAlign w:val="subscript"/>
        </w:rPr>
        <w:t xml:space="preserve">3</w:t>
      </w:r>
      <w:r>
        <w:t xml:space="preserve">-prism-inspired specimens under one</w:t>
      </w:r>
      <w:r>
        <w:t xml:space="preserve"> </w:t>
      </w:r>
      <w:r>
        <w:rPr>
          <w:i/>
          <w:iCs/>
        </w:rPr>
        <w:t xml:space="preserve">axial</w:t>
      </w:r>
      <w:r>
        <w:t xml:space="preserve"> </w:t>
      </w:r>
      <w:r>
        <w:t xml:space="preserve">drop condition. Quasi-static testing is planned as an extension for</w:t>
      </w:r>
      <w:r>
        <w:t xml:space="preserve"> </w:t>
      </w:r>
      <w:r>
        <w:t xml:space="preserve">future work.</w:t>
      </w:r>
      <w:r>
        <w:t xml:space="preserve"> </w:t>
      </w:r>
      <w:r>
        <w:t xml:space="preserve">Off-axis and combined loading, controlled fatigue and</w:t>
      </w:r>
      <w:r>
        <w:t xml:space="preserve"> </w:t>
      </w:r>
      <w:r>
        <w:t xml:space="preserve">damage-accumulation testing, multi-cell behavior, and landing-attitude</w:t>
      </w:r>
      <w:r>
        <w:t xml:space="preserve"> </w:t>
      </w:r>
      <w:r>
        <w:t xml:space="preserve">variability are likewise future work (Section </w:t>
      </w:r>
      <w:hyperlink w:anchor="lbl_sec_discussion">
        <w:r>
          <w:rPr>
            <w:rStyle w:val="Hyperlink"/>
          </w:rPr>
          <w:t xml:space="preserve">5</w:t>
        </w:r>
      </w:hyperlink>
      <w:r>
        <w:t xml:space="preserve">).</w:t>
      </w:r>
      <w:r>
        <w:t xml:space="preserve"> </w:t>
      </w:r>
      <w:r>
        <w:t xml:space="preserve">We limit the novelty and generality claims above to this restricted</w:t>
      </w:r>
      <w:r>
        <w:t xml:space="preserve"> </w:t>
      </w:r>
      <w:r>
        <w:t xml:space="preserve">prototype design space.</w:t>
      </w:r>
    </w:p>
    <w:p>
      <w:pPr>
        <w:pStyle w:val="SectionBreak"/>
        <w:sectPr>
          <w:type w:val="continuous"/>
          <w:pgSz w:w="12240" w:h="16197"/>
          <w:pgMar w:left="1200" w:right="1200" w:top="920" w:bottom="1320" w:header="500" w:footer="820"/>
          <w:lnNumType w:countBy="1" w:distance="80" w:restart="continuous"/>
          <w:cols w:num="2" w:space="480"/>
        </w:sectPr>
      </w:pPr>
    </w:p>
    <w:p>
      <w:pPr>
        <w:pStyle w:val="CaptionedFigure"/>
      </w:pPr>
      <w:r>
        <w:drawing>
          <wp:inline>
            <wp:extent cx="4373575" cy="3730659"/>
            <wp:effectExtent b="0" l="0" r="0" t="0"/>
            <wp:docPr descr="" title="" id="21" name="Picture"/>
            <a:graphic>
              <a:graphicData uri="http://schemas.openxmlformats.org/drawingml/2006/picture">
                <pic:pic>
                  <pic:nvPicPr>
                    <pic:cNvPr descr="/home/runner/work/tensegrity-optimization/tensegrity-optimization/figures/overview-updated.png" id="22" name="Picture"/>
                    <pic:cNvPicPr>
                      <a:picLocks noChangeArrowheads="1" noChangeAspect="1"/>
                    </pic:cNvPicPr>
                  </pic:nvPicPr>
                  <pic:blipFill>
                    <a:blip r:embed="rId20"/>
                    <a:stretch>
                      <a:fillRect/>
                    </a:stretch>
                  </pic:blipFill>
                  <pic:spPr bwMode="auto">
                    <a:xfrm>
                      <a:off x="0" y="0"/>
                      <a:ext cx="4373575" cy="3730659"/>
                    </a:xfrm>
                    <a:prstGeom prst="rect">
                      <a:avLst/>
                    </a:prstGeom>
                    <a:noFill/>
                    <a:ln w="9525">
                      <a:noFill/>
                      <a:headEnd/>
                      <a:tailEnd/>
                    </a:ln>
                  </pic:spPr>
                </pic:pic>
              </a:graphicData>
            </a:graphic>
          </wp:inline>
        </w:drawing>
      </w:r>
    </w:p>
    <w:p>
      <w:pPr>
        <w:pStyle w:val="ImageCaption"/>
      </w:pPr>
      <w:bookmarkStart w:id="90000" w:name="cap_fig1"/>
      <w:r>
        <w:t xml:space="preserve">Fig. 1 Closed-loop, experiment-driven design framework. Parameterized</w:t>
      </w:r>
      <w:r>
        <w:t xml:space="preserve"> </w:t>
      </w:r>
      <w:r>
        <w:t xml:space="preserve">PLA/TPU tensegrity-inspired unit cells are printed, characterized by</w:t>
      </w:r>
      <w:r>
        <w:t xml:space="preserve"> </w:t>
      </w:r>
      <w:r>
        <w:t xml:space="preserve">repeated instrumented drop-weight impacts, and the resulting</w:t>
      </w:r>
      <w:r>
        <w:t xml:space="preserve"> </w:t>
      </w:r>
      <w:r>
        <w:t xml:space="preserve">performance data drive a Gaussian-process surrogate that recommends the</w:t>
      </w:r>
      <w:r>
        <w:t xml:space="preserve"> </w:t>
      </w:r>
      <w:r>
        <w:t xml:space="preserve">next batch of designs to fabricate.</w:t>
      </w:r>
      <w:bookmarkEnd w:id="90000"/>
    </w:p>
    <w:p>
      <w:pPr>
        <w:pStyle w:val="SectionBreak"/>
        <w:sectPr>
          <w:type w:val="continuous"/>
          <w:pgSz w:w="12240" w:h="16197"/>
          <w:pgMar w:left="1200" w:right="1200" w:top="920" w:bottom="1320" w:header="500" w:footer="820"/>
          <w:cols w:space="480"/>
        </w:sectPr>
      </w:pPr>
    </w:p>
    <w:p>
      <w:pPr>
        <w:pStyle w:val="BodyText"/>
      </w:pPr>
      <w:r>
        <w:t xml:space="preserve">The remainder of the paper is organized as follows.</w:t>
      </w:r>
      <w:r>
        <w:t xml:space="preserve"> </w:t>
      </w:r>
      <w:r>
        <w:t xml:space="preserve">Section </w:t>
      </w:r>
      <w:hyperlink w:anchor="lbl_sec_background">
        <w:r>
          <w:rPr>
            <w:rStyle w:val="Hyperlink"/>
          </w:rPr>
          <w:t xml:space="preserve">2</w:t>
        </w:r>
      </w:hyperlink>
      <w:r>
        <w:t xml:space="preserve"> </w:t>
      </w:r>
      <w:r>
        <w:t xml:space="preserve">reviews tensegrity mechanics, multi-material</w:t>
      </w:r>
      <w:r>
        <w:t xml:space="preserve"> </w:t>
      </w:r>
      <w:r>
        <w:t xml:space="preserve">3D printing for energy absorption, and Bayesian optimization with an</w:t>
      </w:r>
      <w:r>
        <w:t xml:space="preserve"> </w:t>
      </w:r>
      <w:r>
        <w:t xml:space="preserve">emphasis on multi-objective and noise-robust acquisition functions.</w:t>
      </w:r>
      <w:r>
        <w:t xml:space="preserve"> </w:t>
      </w:r>
      <w:r>
        <w:t xml:space="preserve">Section </w:t>
      </w:r>
      <w:hyperlink w:anchor="lbl_sec_methods">
        <w:r>
          <w:rPr>
            <w:rStyle w:val="Hyperlink"/>
          </w:rPr>
          <w:t xml:space="preserve">3</w:t>
        </w:r>
      </w:hyperlink>
      <w:r>
        <w:t xml:space="preserve"> </w:t>
      </w:r>
      <w:r>
        <w:t xml:space="preserve">introduces the design parameterization,</w:t>
      </w:r>
      <w:r>
        <w:t xml:space="preserve"> </w:t>
      </w:r>
      <w:r>
        <w:t xml:space="preserve">fabrication workflow, drop-tower protocol and objectives, and BO loop,</w:t>
      </w:r>
      <w:r>
        <w:t xml:space="preserve"> </w:t>
      </w:r>
      <w:r>
        <w:t xml:space="preserve">and states the planned metal-analog comparison.</w:t>
      </w:r>
      <w:r>
        <w:t xml:space="preserve"> </w:t>
      </w:r>
      <w:r>
        <w:t xml:space="preserve">Section </w:t>
      </w:r>
      <w:hyperlink w:anchor="lbl_sec_results">
        <w:r>
          <w:rPr>
            <w:rStyle w:val="Hyperlink"/>
          </w:rPr>
          <w:t xml:space="preserve">4</w:t>
        </w:r>
      </w:hyperlink>
      <w:r>
        <w:t xml:space="preserve"> </w:t>
      </w:r>
      <w:r>
        <w:t xml:space="preserve">reports all four measured batches, the</w:t>
      </w:r>
      <w:r>
        <w:t xml:space="preserve"> </w:t>
      </w:r>
      <w:r>
        <w:t xml:space="preserve">surrogate audits, and the replication findings, and</w:t>
      </w:r>
      <w:r>
        <w:t xml:space="preserve"> </w:t>
      </w:r>
      <w:r>
        <w:t xml:space="preserve">Section </w:t>
      </w:r>
      <w:hyperlink w:anchor="lbl_sec_discussion">
        <w:r>
          <w:rPr>
            <w:rStyle w:val="Hyperlink"/>
          </w:rPr>
          <w:t xml:space="preserve">5</w:t>
        </w:r>
      </w:hyperlink>
      <w:r>
        <w:t xml:space="preserve"> </w:t>
      </w:r>
      <w:r>
        <w:t xml:space="preserve">discusses the</w:t>
      </w:r>
      <w:r>
        <w:t xml:space="preserve"> </w:t>
      </w:r>
      <w:r>
        <w:t xml:space="preserve">implications and limitations of the approach. Section </w:t>
      </w:r>
      <w:hyperlink w:anchor="lbl_sec_conclusions">
        <w:r>
          <w:rPr>
            <w:rStyle w:val="Hyperlink"/>
          </w:rPr>
          <w:t xml:space="preserve">6</w:t>
        </w:r>
      </w:hyperlink>
      <w:r>
        <w:t xml:space="preserve"> </w:t>
      </w:r>
      <w:r>
        <w:t xml:space="preserve">concludes.</w:t>
      </w:r>
    </w:p>
    <w:bookmarkEnd w:id="23"/>
    <w:bookmarkStart w:id="25" w:name="lbl_sec_background"/>
    <w:p>
      <w:pPr>
        <w:pStyle w:val="Heading1"/>
      </w:pPr>
      <w:r>
        <w:t xml:space="preserve">2 Background</w:t>
      </w:r>
    </w:p>
    <w:p>
      <w:pPr>
        <w:pStyle w:val="RuninHeading2"/>
      </w:pPr>
      <w:r>
        <w:rPr>
          <w:b/>
          <w:bCs/>
        </w:rPr>
        <w:t xml:space="preserve">2.1 Tensegrity-Inspired Architectures for Energy Absorption.</w:t>
      </w:r>
      <w:r>
        <w:t xml:space="preserve"> </w:t>
      </w:r>
      <w:r>
        <w:t xml:space="preserve">Tensegrity prisms and their planar extensions exhibit a</w:t>
      </w:r>
      <w:r>
        <w:t xml:space="preserve"> </w:t>
      </w:r>
      <w:r>
        <w:t xml:space="preserve">softening-stiffening response under</w:t>
      </w:r>
      <w:r>
        <w:t xml:space="preserve"> </w:t>
      </w:r>
      <w:r>
        <w:t xml:space="preserve">compression [</w:t>
      </w:r>
      <w:hyperlink w:anchor="bib3">
        <w:r>
          <w:rPr>
            <w:rStyle w:val="Hyperlink"/>
          </w:rPr>
          <w:t xml:space="preserve">3</w:t>
        </w:r>
      </w:hyperlink>
      <w:r>
        <w:t xml:space="preserve">–</w:t>
      </w:r>
      <w:hyperlink w:anchor="bib5">
        <w:r>
          <w:rPr>
            <w:rStyle w:val="Hyperlink"/>
          </w:rPr>
          <w:t xml:space="preserve">5</w:t>
        </w:r>
      </w:hyperlink>
      <w:r>
        <w:t xml:space="preserve">], which is desirable for impact</w:t>
      </w:r>
      <w:r>
        <w:t xml:space="preserve"> </w:t>
      </w:r>
      <w:r>
        <w:t xml:space="preserve">mitigation because the structure can absorb a large fraction of the</w:t>
      </w:r>
      <w:r>
        <w:t xml:space="preserve"> </w:t>
      </w:r>
      <w:r>
        <w:t xml:space="preserve">input energy at a controlled force plateau.</w:t>
      </w:r>
      <w:r>
        <w:t xml:space="preserve"> </w:t>
      </w:r>
      <w:r>
        <w:t xml:space="preserve">Santos [</w:t>
      </w:r>
      <w:hyperlink w:anchor="bib23">
        <w:r>
          <w:rPr>
            <w:rStyle w:val="Hyperlink"/>
          </w:rPr>
          <w:t xml:space="preserve">23</w:t>
        </w:r>
      </w:hyperlink>
      <w:r>
        <w:t xml:space="preserve">] characterized a tensegrity</w:t>
      </w:r>
      <w:r>
        <w:t xml:space="preserve"> </w:t>
      </w:r>
      <w:r>
        <w:t xml:space="preserve">energy-dissipation metamaterial with equivalent viscous damping</w:t>
      </w:r>
      <w:r>
        <w:t xml:space="preserve"> </w:t>
      </w:r>
      <w:r>
        <w:t xml:space="preserve">of ∼23% and negligible residual strain per impact,</w:t>
      </w:r>
      <w:r>
        <w:t xml:space="preserve"> </w:t>
      </w:r>
      <w:r>
        <w:t xml:space="preserve">which suggests that tensegrity-inspired architectures suit</w:t>
      </w:r>
      <w:r>
        <w:t xml:space="preserve"> </w:t>
      </w:r>
      <w:r>
        <w:t xml:space="preserve">repeated-impact use.</w:t>
      </w:r>
      <w:r>
        <w:t xml:space="preserve"> </w:t>
      </w:r>
      <w:r>
        <w:t xml:space="preserve">The space program literature documents large-scale tensegrity-inspired</w:t>
      </w:r>
      <w:r>
        <w:t xml:space="preserve"> </w:t>
      </w:r>
      <w:r>
        <w:t xml:space="preserve">absorbers for planetary landing [</w:t>
      </w:r>
      <w:hyperlink w:anchor="bib6">
        <w:r>
          <w:rPr>
            <w:rStyle w:val="Hyperlink"/>
          </w:rPr>
          <w:t xml:space="preserve">6</w:t>
        </w:r>
      </w:hyperlink>
      <w:r>
        <w:t xml:space="preserve">–</w:t>
      </w:r>
      <w:hyperlink w:anchor="bib10">
        <w:r>
          <w:rPr>
            <w:rStyle w:val="Hyperlink"/>
          </w:rPr>
          <w:t xml:space="preserve">10</w:t>
        </w:r>
      </w:hyperlink>
      <w:r>
        <w:t xml:space="preserve">] and a long history of crushable energy-absorbing</w:t>
      </w:r>
      <w:r>
        <w:t xml:space="preserve"> </w:t>
      </w:r>
      <w:r>
        <w:t xml:space="preserve">landing systems [</w:t>
      </w:r>
      <w:hyperlink w:anchor="bib24">
        <w:r>
          <w:rPr>
            <w:rStyle w:val="Hyperlink"/>
          </w:rPr>
          <w:t xml:space="preserve">24</w:t>
        </w:r>
      </w:hyperlink>
      <w:r>
        <w:t xml:space="preserve">–</w:t>
      </w:r>
      <w:hyperlink w:anchor="bib26">
        <w:r>
          <w:rPr>
            <w:rStyle w:val="Hyperlink"/>
          </w:rPr>
          <w:t xml:space="preserve">26</w:t>
        </w:r>
      </w:hyperlink>
      <w:r>
        <w:t xml:space="preserve">]. Pajunen et al. [</w:t>
      </w:r>
      <w:hyperlink w:anchor="bib11">
        <w:r>
          <w:rPr>
            <w:rStyle w:val="Hyperlink"/>
          </w:rPr>
          <w:t xml:space="preserve">11</w:t>
        </w:r>
      </w:hyperlink>
      <w:r>
        <w:t xml:space="preserve">] directly</w:t>
      </w:r>
      <w:r>
        <w:t xml:space="preserve"> </w:t>
      </w:r>
      <w:r>
        <w:t xml:space="preserve">3D-printed truncated-tetrahedral tensegrity-inspired unit cells and</w:t>
      </w:r>
      <w:r>
        <w:t xml:space="preserve"> </w:t>
      </w:r>
      <w:r>
        <w:t xml:space="preserve">measured load-limiting plateaus, which motivates the present</w:t>
      </w:r>
      <w:r>
        <w:t xml:space="preserve"> </w:t>
      </w:r>
      <w:r>
        <w:t xml:space="preserve">focus on additively manufactured PLA/TPU composites.</w:t>
      </w:r>
      <w:r>
        <w:t xml:space="preserve"> </w:t>
      </w:r>
      <w:r>
        <w:t xml:space="preserve">Davami et al. measured the dynamic energy absorption of additively</w:t>
      </w:r>
      <w:r>
        <w:t xml:space="preserve"> </w:t>
      </w:r>
      <w:r>
        <w:t xml:space="preserve">manufactured, shape-recovering lattices [</w:t>
      </w:r>
      <w:hyperlink w:anchor="bib27">
        <w:r>
          <w:rPr>
            <w:rStyle w:val="Hyperlink"/>
          </w:rPr>
          <w:t xml:space="preserve">27</w:t>
        </w:r>
      </w:hyperlink>
      <w:r>
        <w:t xml:space="preserve">],</w:t>
      </w:r>
      <w:r>
        <w:t xml:space="preserve"> </w:t>
      </w:r>
      <w:r>
        <w:t xml:space="preserve">and Intrigila et al. fabricated and characterized a bistable</w:t>
      </w:r>
      <w:r>
        <w:t xml:space="preserve"> </w:t>
      </w:r>
      <w:r>
        <w:t xml:space="preserve">tensegrity-like unit cell for lattice</w:t>
      </w:r>
      <w:r>
        <w:t xml:space="preserve"> </w:t>
      </w:r>
      <w:r>
        <w:t xml:space="preserve">metamaterials [</w:t>
      </w:r>
      <w:hyperlink w:anchor="bib28">
        <w:r>
          <w:rPr>
            <w:rStyle w:val="Hyperlink"/>
          </w:rPr>
          <w:t xml:space="preserve">28</w:t>
        </w:r>
      </w:hyperlink>
      <w:r>
        <w:t xml:space="preserve">], the closest</w:t>
      </w:r>
      <w:r>
        <w:t xml:space="preserve"> </w:t>
      </w:r>
      <w:r>
        <w:t xml:space="preserve">published analog to the present cells. Neither study used multi-material</w:t>
      </w:r>
      <w:r>
        <w:t xml:space="preserve"> </w:t>
      </w:r>
      <w:r>
        <w:t xml:space="preserve">FDM or closed-loop design optimization.</w:t>
      </w:r>
      <w:r>
        <w:t xml:space="preserve"> </w:t>
      </w:r>
      <w:r>
        <w:t xml:space="preserve">Table </w:t>
      </w:r>
      <w:hyperlink w:anchor="lbl_tab_novelty">
        <w:r>
          <w:rPr>
            <w:rStyle w:val="Hyperlink"/>
          </w:rPr>
          <w:t xml:space="preserve">1</w:t>
        </w:r>
      </w:hyperlink>
      <w:r>
        <w:t xml:space="preserve"> </w:t>
      </w:r>
      <w:r>
        <w:t xml:space="preserve">compares the present work with selected</w:t>
      </w:r>
      <w:r>
        <w:t xml:space="preserve"> </w:t>
      </w:r>
      <w:r>
        <w:t xml:space="preserve">prior efforts spanning the three elements combined here (impact-tested</w:t>
      </w:r>
      <w:r>
        <w:t xml:space="preserve"> </w:t>
      </w:r>
      <w:r>
        <w:t xml:space="preserve">printed tensegrity-inspired structures, rigid-flexible fabrication,</w:t>
      </w:r>
      <w:r>
        <w:t xml:space="preserve"> </w:t>
      </w:r>
      <w:r>
        <w:t xml:space="preserve">and BO of architected materials). None of the</w:t>
      </w:r>
      <w:r>
        <w:t xml:space="preserve"> </w:t>
      </w:r>
      <w:r>
        <w:t xml:space="preserve">studies we reviewed combines a multi-material FDM</w:t>
      </w:r>
      <w:r>
        <w:t xml:space="preserve"> </w:t>
      </w:r>
      <w:r>
        <w:t xml:space="preserve">tensegrity-inspired architecture with an</w:t>
      </w:r>
      <w:r>
        <w:t xml:space="preserve"> </w:t>
      </w:r>
      <w:r>
        <w:rPr>
          <w:i/>
          <w:iCs/>
        </w:rPr>
        <w:t xml:space="preserve">experiment</w:t>
      </w:r>
      <w:r>
        <w:t xml:space="preserve">-driven</w:t>
      </w:r>
      <w:r>
        <w:t xml:space="preserve"> </w:t>
      </w:r>
      <w:r>
        <w:t xml:space="preserve">optimization loop.</w:t>
      </w:r>
    </w:p>
    <w:p>
      <w:pPr>
        <w:pStyle w:val="SectionBreak"/>
        <w:sectPr>
          <w:type w:val="continuous"/>
          <w:pgSz w:w="12240" w:h="16197"/>
          <w:pgMar w:left="1200" w:right="1200" w:top="920" w:bottom="1320" w:header="500" w:footer="820"/>
          <w:lnNumType w:countBy="1" w:distance="80" w:restart="continuous"/>
          <w:cols w:num="2" w:space="480"/>
        </w:sectPr>
      </w:pPr>
    </w:p>
    <w:bookmarkStart w:id="24" w:name="lbl_tab_novelty"/>
    <w:p>
      <w:pPr>
        <w:pStyle w:val="TableCaption"/>
      </w:pPr>
      <w:bookmarkStart w:id="90001" w:name="cap_tab1"/>
      <w:r>
        <w:t xml:space="preserve">Table 1 Positioning of this work against selected prior efforts</w:t>
      </w:r>
      <w:r>
        <w:t xml:space="preserve"> </w:t>
      </w:r>
      <w:r>
        <w:t xml:space="preserve">spanning the elements combined here. The present campaign uses</w:t>
      </w:r>
      <w:r>
        <w:t xml:space="preserve"> </w:t>
      </w:r>
      <w:r>
        <w:t xml:space="preserve">physical drop measurements of the transmissibility (</w:t>
      </w:r>
      <w:r>
        <w:rPr>
          <w:i/>
          <w:iCs/>
        </w:rPr>
        <w:t xml:space="preserve">t</w:t>
      </w:r>
      <w:r>
        <w:rPr>
          <w:vertAlign w:val="subscript"/>
        </w:rPr>
        <w:t xml:space="preserve">180</w:t>
      </w:r>
      <w:r>
        <w:t xml:space="preserve">)</w:t>
      </w:r>
      <w:r>
        <w:t xml:space="preserve"> </w:t>
      </w:r>
      <w:r>
        <w:t xml:space="preserve">and a mass-weighted form of the velocity loss index</w:t>
      </w:r>
      <w:r>
        <w:t xml:space="preserve"> </w:t>
      </w:r>
      <w:r>
        <w:t xml:space="preserve">(</w:t>
      </w:r>
      <w:r>
        <w:rPr>
          <w:i/>
          <w:iCs/>
        </w:rPr>
        <w:t xml:space="preserve">E</w:t>
      </w:r>
      <w:r>
        <w:rPr>
          <w:vertAlign w:val="subscript"/>
        </w:rPr>
        <w:t xml:space="preserve">reb</w:t>
      </w:r>
      <w:r>
        <w:t xml:space="preserve">, Eq. </w:t>
      </w:r>
      <w:hyperlink w:anchor="lbl_eq_objectives">
        <w:r>
          <w:rPr>
            <w:rStyle w:val="Hyperlink"/>
          </w:rPr>
          <w:t xml:space="preserve">(1)</w:t>
        </w:r>
      </w:hyperlink>
      <w:r>
        <w:t xml:space="preserve">)</w:t>
      </w:r>
      <w:r>
        <w:t xml:space="preserve"> </w:t>
      </w:r>
      <w:r>
        <w:t xml:space="preserve">as its BO responses. It does not optimize specific energy</w:t>
      </w:r>
      <w:r>
        <w:t xml:space="preserve"> </w:t>
      </w:r>
      <w:r>
        <w:t xml:space="preserve">absorption or crush energy.</w:t>
      </w:r>
      <w:bookmarkEnd w:id="90001"/>
    </w:p>
    <w:tbl>
      <w:tblPr>
        <w:tblStyle w:val="Table"/>
        <w:tblW w:type="dxa" w:w="9840"/>
        <w:jc w:val="start"/>
        <w:tblLayout w:type="fixed"/>
        <w:tblLook w:firstRow="1" w:lastRow="0" w:firstColumn="0" w:lastColumn="0" w:noHBand="0" w:noVBand="0" w:val="0020"/>
        <w:tblCaption w:val="Table 1 Positioning of this work against selected prior efforts spanning the elements combined here. The present campaign uses physical drop measurements of the transmissibility (t180) and a mass-weighted form of the velocity loss index (Ereb, Eq. (1)) as its BO responses. It does not optimize specific energy absorption or crush energy."/>
      </w:tblPr>
      <w:tblGrid>
        <w:gridCol w:w="2033"/>
        <w:gridCol w:w="1890"/>
        <w:gridCol w:w="1318"/>
        <w:gridCol w:w="1461"/>
        <w:gridCol w:w="1461"/>
        <w:gridCol w:w="1677"/>
      </w:tblGrid>
      <w:tr>
        <w:trPr>
          <w:tblHeader w:val="true"/>
        </w:trPr>
        <w:tc>
          <w:tcPr/>
          <w:p>
            <w:pPr>
              <w:pStyle w:val="TableText"/>
              <w:jc w:val="left"/>
            </w:pPr>
            <w:r>
              <w:t xml:space="preserve">Study</w:t>
            </w:r>
          </w:p>
        </w:tc>
        <w:tc>
          <w:tcPr/>
          <w:p>
            <w:pPr>
              <w:pStyle w:val="TableText"/>
              <w:jc w:val="left"/>
            </w:pPr>
            <w:r>
              <w:t xml:space="preserve">Architecture</w:t>
            </w:r>
          </w:p>
        </w:tc>
        <w:tc>
          <w:tcPr/>
          <w:p>
            <w:pPr>
              <w:pStyle w:val="TableText"/>
              <w:jc w:val="left"/>
            </w:pPr>
            <w:r>
              <w:t xml:space="preserve">Fabrication</w:t>
            </w:r>
          </w:p>
        </w:tc>
        <w:tc>
          <w:tcPr/>
          <w:p>
            <w:pPr>
              <w:pStyle w:val="TableText"/>
              <w:jc w:val="left"/>
            </w:pPr>
            <w:r>
              <w:t xml:space="preserve">Optimization</w:t>
            </w:r>
          </w:p>
        </w:tc>
        <w:tc>
          <w:tcPr/>
          <w:p>
            <w:pPr>
              <w:pStyle w:val="TableText"/>
              <w:jc w:val="left"/>
            </w:pPr>
            <w:r>
              <w:t xml:space="preserve">Response optimized</w:t>
            </w:r>
          </w:p>
        </w:tc>
        <w:tc>
          <w:tcPr/>
          <w:p>
            <w:pPr>
              <w:pStyle w:val="TableText"/>
              <w:jc w:val="left"/>
            </w:pPr>
            <w:r>
              <w:t xml:space="preserve">Ground truth</w:t>
            </w:r>
          </w:p>
        </w:tc>
      </w:tr>
      <w:tr>
        <w:tc>
          <w:tcPr/>
          <w:p>
            <w:pPr>
              <w:pStyle w:val="TableText"/>
              <w:jc w:val="left"/>
            </w:pPr>
            <w:r>
              <w:t xml:space="preserve">Pajunen et al. 2019 [</w:t>
            </w:r>
            <w:hyperlink w:anchor="bib11">
              <w:r>
                <w:rPr>
                  <w:rStyle w:val="Hyperlink"/>
                </w:rPr>
                <w:t xml:space="preserve">11</w:t>
              </w:r>
            </w:hyperlink>
            <w:r>
              <w:t xml:space="preserve">]</w:t>
            </w:r>
          </w:p>
        </w:tc>
        <w:tc>
          <w:tcPr/>
          <w:p>
            <w:pPr>
              <w:pStyle w:val="TableText"/>
              <w:jc w:val="left"/>
            </w:pPr>
            <w:r>
              <w:t xml:space="preserve">Truncated-tetrahedral</w:t>
            </w:r>
          </w:p>
        </w:tc>
        <w:tc>
          <w:tcPr/>
          <w:p>
            <w:pPr>
              <w:pStyle w:val="TableText"/>
              <w:jc w:val="left"/>
            </w:pPr>
            <w:r>
              <w:t xml:space="preserve">Single-material</w:t>
            </w:r>
          </w:p>
        </w:tc>
        <w:tc>
          <w:tcPr/>
          <w:p>
            <w:pPr>
              <w:pStyle w:val="TableText"/>
              <w:jc w:val="left"/>
            </w:pPr>
            <w:r>
              <w:t xml:space="preserve">None</w:t>
            </w:r>
          </w:p>
        </w:tc>
        <w:tc>
          <w:tcPr/>
          <w:p>
            <w:pPr>
              <w:pStyle w:val="TableText"/>
              <w:jc w:val="left"/>
            </w:pPr>
            <w:r>
              <w:t xml:space="preserve">n/a</w:t>
            </w:r>
          </w:p>
        </w:tc>
        <w:tc>
          <w:tcPr/>
          <w:p>
            <w:pPr>
              <w:pStyle w:val="TableText"/>
              <w:jc w:val="left"/>
            </w:pPr>
            <w:r>
              <w:t xml:space="preserve">Experiment</w:t>
            </w:r>
          </w:p>
        </w:tc>
      </w:tr>
      <w:tr>
        <w:tc>
          <w:tcPr/>
          <w:p>
            <w:pPr>
              <w:pStyle w:val="TableText"/>
            </w:pPr>
          </w:p>
        </w:tc>
        <w:tc>
          <w:tcPr/>
          <w:p>
            <w:pPr>
              <w:pStyle w:val="TableText"/>
              <w:jc w:val="left"/>
            </w:pPr>
            <w:r>
              <w:t xml:space="preserve">tensegrity-inspired</w:t>
            </w:r>
          </w:p>
        </w:tc>
        <w:tc>
          <w:tcPr/>
          <w:p>
            <w:pPr>
              <w:pStyle w:val="TableText"/>
              <w:jc w:val="left"/>
            </w:pPr>
            <w:r>
              <w:t xml:space="preserve">3D print</w:t>
            </w:r>
          </w:p>
        </w:tc>
        <w:tc>
          <w:tcPr/>
          <w:p>
            <w:pPr>
              <w:pStyle w:val="TableText"/>
              <w:jc w:val="left"/>
            </w:pPr>
            <w:r>
              <w:t xml:space="preserve">(single condition)</w:t>
            </w:r>
          </w:p>
        </w:tc>
        <w:tc>
          <w:tcPr/>
          <w:p>
            <w:pPr>
              <w:pStyle w:val="TableText"/>
            </w:pPr>
          </w:p>
        </w:tc>
        <w:tc>
          <w:tcPr/>
          <w:p>
            <w:pPr>
              <w:pStyle w:val="TableText"/>
              <w:jc w:val="left"/>
            </w:pPr>
            <w:r>
              <w:t xml:space="preserve">(drop impact)</w:t>
            </w:r>
          </w:p>
        </w:tc>
      </w:tr>
      <w:tr>
        <w:tc>
          <w:tcPr/>
          <w:p>
            <w:pPr>
              <w:pStyle w:val="TableText"/>
              <w:jc w:val="left"/>
            </w:pPr>
            <w:r>
              <w:t xml:space="preserve">Intrigila et al. 2022 [</w:t>
            </w:r>
            <w:hyperlink w:anchor="bib28">
              <w:r>
                <w:rPr>
                  <w:rStyle w:val="Hyperlink"/>
                </w:rPr>
                <w:t xml:space="preserve">28</w:t>
              </w:r>
            </w:hyperlink>
            <w:r>
              <w:t xml:space="preserve">]</w:t>
            </w:r>
          </w:p>
        </w:tc>
        <w:tc>
          <w:tcPr/>
          <w:p>
            <w:pPr>
              <w:pStyle w:val="TableText"/>
              <w:jc w:val="left"/>
            </w:pPr>
            <w:r>
              <w:t xml:space="preserve">Bistable tensegrity-like</w:t>
            </w:r>
          </w:p>
        </w:tc>
        <w:tc>
          <w:tcPr/>
          <w:p>
            <w:pPr>
              <w:pStyle w:val="TableText"/>
              <w:jc w:val="left"/>
            </w:pPr>
            <w:r>
              <w:t xml:space="preserve">Single-material</w:t>
            </w:r>
          </w:p>
        </w:tc>
        <w:tc>
          <w:tcPr/>
          <w:p>
            <w:pPr>
              <w:pStyle w:val="TableText"/>
              <w:jc w:val="left"/>
            </w:pPr>
            <w:r>
              <w:t xml:space="preserve">None</w:t>
            </w:r>
          </w:p>
        </w:tc>
        <w:tc>
          <w:tcPr/>
          <w:p>
            <w:pPr>
              <w:pStyle w:val="TableText"/>
              <w:jc w:val="left"/>
            </w:pPr>
            <w:r>
              <w:t xml:space="preserve">n/a</w:t>
            </w:r>
          </w:p>
        </w:tc>
        <w:tc>
          <w:tcPr/>
          <w:p>
            <w:pPr>
              <w:pStyle w:val="TableText"/>
              <w:jc w:val="left"/>
            </w:pPr>
            <w:r>
              <w:t xml:space="preserve">Experiment</w:t>
            </w:r>
          </w:p>
        </w:tc>
      </w:tr>
      <w:tr>
        <w:tc>
          <w:tcPr/>
          <w:p>
            <w:pPr>
              <w:pStyle w:val="TableText"/>
            </w:pPr>
          </w:p>
        </w:tc>
        <w:tc>
          <w:tcPr/>
          <w:p>
            <w:pPr>
              <w:pStyle w:val="TableText"/>
              <w:jc w:val="left"/>
            </w:pPr>
            <w:r>
              <w:t xml:space="preserve">lattice unit cell</w:t>
            </w:r>
          </w:p>
        </w:tc>
        <w:tc>
          <w:tcPr/>
          <w:p>
            <w:pPr>
              <w:pStyle w:val="TableText"/>
              <w:jc w:val="left"/>
            </w:pPr>
            <w:r>
              <w:t xml:space="preserve">3D print</w:t>
            </w:r>
          </w:p>
        </w:tc>
        <w:tc>
          <w:tcPr/>
          <w:p>
            <w:pPr>
              <w:pStyle w:val="TableText"/>
            </w:pPr>
          </w:p>
        </w:tc>
        <w:tc>
          <w:tcPr/>
          <w:p>
            <w:pPr>
              <w:pStyle w:val="TableText"/>
            </w:pPr>
          </w:p>
        </w:tc>
        <w:tc>
          <w:tcPr/>
          <w:p>
            <w:pPr>
              <w:pStyle w:val="TableText"/>
              <w:jc w:val="left"/>
            </w:pPr>
            <w:r>
              <w:t xml:space="preserve">(quasi-static compr.)</w:t>
            </w:r>
          </w:p>
        </w:tc>
      </w:tr>
      <w:tr>
        <w:tc>
          <w:tcPr/>
          <w:p>
            <w:pPr>
              <w:pStyle w:val="TableText"/>
              <w:jc w:val="left"/>
            </w:pPr>
            <w:r>
              <w:t xml:space="preserve">Mo et al. 2023 [</w:t>
            </w:r>
            <w:hyperlink w:anchor="bib17">
              <w:r>
                <w:rPr>
                  <w:rStyle w:val="Hyperlink"/>
                </w:rPr>
                <w:t xml:space="preserve">17</w:t>
              </w:r>
            </w:hyperlink>
            <w:r>
              <w:t xml:space="preserve">]</w:t>
            </w:r>
          </w:p>
        </w:tc>
        <w:tc>
          <w:tcPr/>
          <w:p>
            <w:pPr>
              <w:pStyle w:val="TableText"/>
              <w:jc w:val="left"/>
            </w:pPr>
            <w:r>
              <w:t xml:space="preserve">Architected lattices</w:t>
            </w:r>
          </w:p>
        </w:tc>
        <w:tc>
          <w:tcPr/>
          <w:p>
            <w:pPr>
              <w:pStyle w:val="TableText"/>
              <w:jc w:val="left"/>
            </w:pPr>
            <w:r>
              <w:t xml:space="preserve">n/a (simulation)</w:t>
            </w:r>
          </w:p>
        </w:tc>
        <w:tc>
          <w:tcPr/>
          <w:p>
            <w:pPr>
              <w:pStyle w:val="TableText"/>
              <w:jc w:val="left"/>
            </w:pPr>
            <w:r>
              <w:t xml:space="preserve">Multifidelity BO</w:t>
            </w:r>
          </w:p>
        </w:tc>
        <w:tc>
          <w:tcPr/>
          <w:p>
            <w:pPr>
              <w:pStyle w:val="TableText"/>
              <w:jc w:val="left"/>
            </w:pPr>
            <w:r>
              <w:t xml:space="preserve">Simulated response</w:t>
            </w:r>
          </w:p>
        </w:tc>
        <w:tc>
          <w:tcPr/>
          <w:p>
            <w:pPr>
              <w:pStyle w:val="TableText"/>
              <w:jc w:val="left"/>
            </w:pPr>
            <w:r>
              <w:t xml:space="preserve">Simulation</w:t>
            </w:r>
          </w:p>
        </w:tc>
      </w:tr>
      <w:tr>
        <w:tc>
          <w:tcPr/>
          <w:p>
            <w:pPr>
              <w:pStyle w:val="TableText"/>
            </w:pPr>
          </w:p>
        </w:tc>
        <w:tc>
          <w:tcPr/>
          <w:p>
            <w:pPr>
              <w:pStyle w:val="TableText"/>
            </w:pPr>
          </w:p>
        </w:tc>
        <w:tc>
          <w:tcPr/>
          <w:p>
            <w:pPr>
              <w:pStyle w:val="TableText"/>
            </w:pPr>
          </w:p>
        </w:tc>
        <w:tc>
          <w:tcPr/>
          <w:p>
            <w:pPr>
              <w:pStyle w:val="TableText"/>
            </w:pPr>
          </w:p>
        </w:tc>
        <w:tc>
          <w:tcPr/>
          <w:p>
            <w:pPr>
              <w:pStyle w:val="TableText"/>
              <w:jc w:val="left"/>
            </w:pPr>
            <w:r>
              <w:t xml:space="preserve">metric</w:t>
            </w:r>
          </w:p>
        </w:tc>
        <w:tc>
          <w:tcPr/>
          <w:p>
            <w:pPr>
              <w:pStyle w:val="TableText"/>
              <w:jc w:val="left"/>
            </w:pPr>
            <w:r>
              <w:t xml:space="preserve">(+ sparse high-fid.)</w:t>
            </w:r>
          </w:p>
        </w:tc>
      </w:tr>
      <w:tr>
        <w:tc>
          <w:tcPr/>
          <w:p>
            <w:pPr>
              <w:pStyle w:val="TableText"/>
              <w:jc w:val="left"/>
            </w:pPr>
            <w:r>
              <w:t xml:space="preserve">Almeida 2025 [</w:t>
            </w:r>
            <w:hyperlink w:anchor="bib29">
              <w:r>
                <w:rPr>
                  <w:rStyle w:val="Hyperlink"/>
                </w:rPr>
                <w:t xml:space="preserve">29</w:t>
              </w:r>
            </w:hyperlink>
            <w:r>
              <w:t xml:space="preserve">];</w:t>
            </w:r>
          </w:p>
        </w:tc>
        <w:tc>
          <w:tcPr/>
          <w:p>
            <w:pPr>
              <w:pStyle w:val="TableText"/>
              <w:jc w:val="left"/>
            </w:pPr>
            <w:r>
              <w:t xml:space="preserve">Tensegrity-inspired</w:t>
            </w:r>
          </w:p>
        </w:tc>
        <w:tc>
          <w:tcPr/>
          <w:p>
            <w:pPr>
              <w:pStyle w:val="TableText"/>
              <w:jc w:val="left"/>
            </w:pPr>
            <w:r>
              <w:t xml:space="preserve">Additive</w:t>
            </w:r>
          </w:p>
        </w:tc>
        <w:tc>
          <w:tcPr/>
          <w:p>
            <w:pPr>
              <w:pStyle w:val="TableText"/>
              <w:jc w:val="left"/>
            </w:pPr>
            <w:r>
              <w:t xml:space="preserve">None reported</w:t>
            </w:r>
          </w:p>
        </w:tc>
        <w:tc>
          <w:tcPr/>
          <w:p>
            <w:pPr>
              <w:pStyle w:val="TableText"/>
              <w:jc w:val="left"/>
            </w:pPr>
            <w:r>
              <w:t xml:space="preserve">n/a</w:t>
            </w:r>
          </w:p>
        </w:tc>
        <w:tc>
          <w:tcPr/>
          <w:p>
            <w:pPr>
              <w:pStyle w:val="TableText"/>
              <w:jc w:val="left"/>
            </w:pPr>
            <w:r>
              <w:t xml:space="preserve">Experiment</w:t>
            </w:r>
          </w:p>
        </w:tc>
      </w:tr>
      <w:tr>
        <w:tc>
          <w:tcPr/>
          <w:p>
            <w:pPr>
              <w:pStyle w:val="TableText"/>
              <w:jc w:val="left"/>
            </w:pPr>
            <w:r>
              <w:t xml:space="preserve">  Davami 2025 [</w:t>
            </w:r>
            <w:hyperlink w:anchor="bib30">
              <w:r>
                <w:rPr>
                  <w:rStyle w:val="Hyperlink"/>
                </w:rPr>
                <w:t xml:space="preserve">30</w:t>
              </w:r>
            </w:hyperlink>
            <w:r>
              <w:t xml:space="preserve">]</w:t>
            </w:r>
          </w:p>
        </w:tc>
        <w:tc>
          <w:tcPr/>
          <w:p>
            <w:pPr>
              <w:pStyle w:val="TableText"/>
              <w:jc w:val="left"/>
            </w:pPr>
            <w:r>
              <w:t xml:space="preserve">structures</w:t>
            </w:r>
          </w:p>
        </w:tc>
        <w:tc>
          <w:tcPr/>
          <w:p>
            <w:pPr>
              <w:pStyle w:val="TableText"/>
              <w:jc w:val="left"/>
            </w:pPr>
            <w:r>
              <w:t xml:space="preserve">manufacturing</w:t>
            </w:r>
          </w:p>
        </w:tc>
        <w:tc>
          <w:tcPr/>
          <w:p>
            <w:pPr>
              <w:pStyle w:val="TableText"/>
            </w:pPr>
          </w:p>
        </w:tc>
        <w:tc>
          <w:tcPr/>
          <w:p>
            <w:pPr>
              <w:pStyle w:val="TableText"/>
            </w:pPr>
          </w:p>
        </w:tc>
        <w:tc>
          <w:tcPr/>
          <w:p>
            <w:pPr>
              <w:pStyle w:val="TableText"/>
              <w:jc w:val="left"/>
            </w:pPr>
            <w:r>
              <w:t xml:space="preserve">(high-rate/dynamic)</w:t>
            </w:r>
          </w:p>
        </w:tc>
      </w:tr>
      <w:tr>
        <w:tc>
          <w:tcPr/>
          <w:p>
            <w:pPr>
              <w:pStyle w:val="TableText"/>
              <w:jc w:val="left"/>
            </w:pPr>
            <w:r>
              <w:t xml:space="preserve">Wang et al. 2026 [</w:t>
            </w:r>
            <w:hyperlink w:anchor="bib31">
              <w:r>
                <w:rPr>
                  <w:rStyle w:val="Hyperlink"/>
                </w:rPr>
                <w:t xml:space="preserve">31</w:t>
              </w:r>
            </w:hyperlink>
            <w:r>
              <w:t xml:space="preserve">]</w:t>
            </w:r>
          </w:p>
        </w:tc>
        <w:tc>
          <w:tcPr/>
          <w:p>
            <w:pPr>
              <w:pStyle w:val="TableText"/>
              <w:jc w:val="left"/>
            </w:pPr>
            <w:r>
              <w:t xml:space="preserve">Tensegrity-inspired</w:t>
            </w:r>
          </w:p>
        </w:tc>
        <w:tc>
          <w:tcPr/>
          <w:p>
            <w:pPr>
              <w:pStyle w:val="TableText"/>
              <w:jc w:val="left"/>
            </w:pPr>
            <w:r>
              <w:t xml:space="preserve">Integrated</w:t>
            </w:r>
          </w:p>
        </w:tc>
        <w:tc>
          <w:tcPr/>
          <w:p>
            <w:pPr>
              <w:pStyle w:val="TableText"/>
              <w:jc w:val="left"/>
            </w:pPr>
            <w:r>
              <w:t xml:space="preserve">None reported</w:t>
            </w:r>
          </w:p>
        </w:tc>
        <w:tc>
          <w:tcPr/>
          <w:p>
            <w:pPr>
              <w:pStyle w:val="TableText"/>
              <w:jc w:val="left"/>
            </w:pPr>
            <w:r>
              <w:t xml:space="preserve">n/a</w:t>
            </w:r>
          </w:p>
        </w:tc>
        <w:tc>
          <w:tcPr/>
          <w:p>
            <w:pPr>
              <w:pStyle w:val="TableText"/>
              <w:jc w:val="left"/>
            </w:pPr>
            <w:r>
              <w:t xml:space="preserve">Physical</w:t>
            </w:r>
          </w:p>
        </w:tc>
      </w:tr>
      <w:tr>
        <w:tc>
          <w:tcPr/>
          <w:p>
            <w:pPr>
              <w:pStyle w:val="TableText"/>
            </w:pPr>
          </w:p>
        </w:tc>
        <w:tc>
          <w:tcPr/>
          <w:p>
            <w:pPr>
              <w:pStyle w:val="TableText"/>
              <w:jc w:val="left"/>
            </w:pPr>
            <w:r>
              <w:t xml:space="preserve">rigid-flexible metamat.</w:t>
            </w:r>
          </w:p>
        </w:tc>
        <w:tc>
          <w:tcPr/>
          <w:p>
            <w:pPr>
              <w:pStyle w:val="TableText"/>
              <w:jc w:val="left"/>
            </w:pPr>
            <w:r>
              <w:t xml:space="preserve">dual-material</w:t>
            </w:r>
          </w:p>
        </w:tc>
        <w:tc>
          <w:tcPr/>
          <w:p>
            <w:pPr>
              <w:pStyle w:val="TableText"/>
            </w:pPr>
          </w:p>
        </w:tc>
        <w:tc>
          <w:tcPr/>
          <w:p>
            <w:pPr>
              <w:pStyle w:val="TableText"/>
            </w:pPr>
          </w:p>
        </w:tc>
        <w:tc>
          <w:tcPr/>
          <w:p>
            <w:pPr>
              <w:pStyle w:val="TableText"/>
              <w:jc w:val="left"/>
            </w:pPr>
            <w:r>
              <w:t xml:space="preserve">validation</w:t>
            </w:r>
          </w:p>
        </w:tc>
      </w:tr>
      <w:tr>
        <w:tc>
          <w:tcPr/>
          <w:p>
            <w:pPr>
              <w:pStyle w:val="TableText"/>
              <w:jc w:val="left"/>
            </w:pPr>
            <w:r>
              <w:rPr>
                <w:b/>
                <w:bCs/>
              </w:rPr>
              <w:t xml:space="preserve">This work</w:t>
            </w:r>
          </w:p>
        </w:tc>
        <w:tc>
          <w:tcPr/>
          <w:p>
            <w:pPr>
              <w:pStyle w:val="TableText"/>
              <w:jc w:val="left"/>
            </w:pPr>
            <w:r>
              <w:t xml:space="preserve">Tensegrity-inspired</w:t>
            </w:r>
          </w:p>
        </w:tc>
        <w:tc>
          <w:tcPr/>
          <w:p>
            <w:pPr>
              <w:pStyle w:val="TableText"/>
              <w:jc w:val="left"/>
            </w:pPr>
            <w:r>
              <w:t xml:space="preserve">Multi-material</w:t>
            </w:r>
          </w:p>
        </w:tc>
        <w:tc>
          <w:tcPr/>
          <w:p>
            <w:pPr>
              <w:pStyle w:val="TableText"/>
              <w:jc w:val="left"/>
            </w:pPr>
            <w:r>
              <w:t xml:space="preserve">Experiment-driven</w:t>
            </w:r>
          </w:p>
        </w:tc>
        <w:tc>
          <w:tcPr/>
          <w:p>
            <w:pPr>
              <w:pStyle w:val="TableText"/>
              <w:jc w:val="left"/>
            </w:pPr>
            <w:r>
              <w:rPr>
                <w:i/>
                <w:iCs/>
              </w:rPr>
              <w:t xml:space="preserve">t</w:t>
            </w:r>
            <w:r>
              <w:rPr>
                <w:vertAlign w:val="subscript"/>
              </w:rPr>
              <w:t xml:space="preserve">180</w:t>
            </w:r>
            <w:r>
              <w:t xml:space="preserve">; provisional</w:t>
            </w:r>
          </w:p>
        </w:tc>
        <w:tc>
          <w:tcPr/>
          <w:p>
            <w:pPr>
              <w:pStyle w:val="TableText"/>
              <w:jc w:val="left"/>
            </w:pPr>
            <w:r>
              <w:t xml:space="preserve">Physical</w:t>
            </w:r>
          </w:p>
        </w:tc>
      </w:tr>
      <w:tr>
        <w:tc>
          <w:tcPr/>
          <w:p>
            <w:pPr>
              <w:pStyle w:val="TableText"/>
            </w:pPr>
          </w:p>
        </w:tc>
        <w:tc>
          <w:tcPr/>
          <w:p>
            <w:pPr>
              <w:pStyle w:val="TableText"/>
              <w:jc w:val="left"/>
            </w:pPr>
            <w:r>
              <w:rPr>
                <w:i/>
                <w:iCs/>
              </w:rPr>
              <w:t xml:space="preserve">T</w:t>
            </w:r>
            <w:r>
              <w:rPr>
                <w:vertAlign w:val="subscript"/>
              </w:rPr>
              <w:t xml:space="preserve">3</w:t>
            </w:r>
            <w:r>
              <w:t xml:space="preserve">-prism cell (PLA/TPU)</w:t>
            </w:r>
          </w:p>
        </w:tc>
        <w:tc>
          <w:tcPr/>
          <w:p>
            <w:pPr>
              <w:pStyle w:val="TableText"/>
              <w:jc w:val="left"/>
            </w:pPr>
            <w:r>
              <w:t xml:space="preserve">FDM (PLA + TPU)</w:t>
            </w:r>
          </w:p>
        </w:tc>
        <w:tc>
          <w:tcPr/>
          <w:p>
            <w:pPr>
              <w:pStyle w:val="TableText"/>
              <w:jc w:val="left"/>
            </w:pPr>
            <w:r>
              <w:t xml:space="preserve">BO (SAASBO/qNEHVI)</w:t>
            </w:r>
          </w:p>
        </w:tc>
        <w:tc>
          <w:tcPr/>
          <w:p>
            <w:pPr>
              <w:pStyle w:val="TableText"/>
              <w:jc w:val="left"/>
            </w:pPr>
            <w:r>
              <w:rPr>
                <w:i/>
                <w:iCs/>
              </w:rPr>
              <w:t xml:space="preserve">E</w:t>
            </w:r>
            <w:r>
              <w:rPr>
                <w:vertAlign w:val="subscript"/>
              </w:rPr>
              <w:t xml:space="preserve">reb</w:t>
            </w:r>
          </w:p>
        </w:tc>
        <w:tc>
          <w:tcPr/>
          <w:p>
            <w:pPr>
              <w:pStyle w:val="TableText"/>
              <w:jc w:val="left"/>
            </w:pPr>
            <w:r>
              <w:t xml:space="preserve">experiment</w:t>
            </w:r>
          </w:p>
        </w:tc>
      </w:tr>
    </w:tbl>
    <w:bookmarkEnd w:id="24"/>
    <w:p>
      <w:pPr>
        <w:pStyle w:val="SectionBreak"/>
        <w:sectPr>
          <w:type w:val="continuous"/>
          <w:pgSz w:w="12240" w:h="16197"/>
          <w:pgMar w:left="1200" w:right="1200" w:top="920" w:bottom="1320" w:header="500" w:footer="820"/>
          <w:cols w:space="480"/>
        </w:sectPr>
      </w:pPr>
    </w:p>
    <w:p>
      <w:pPr>
        <w:pStyle w:val="RuninHeading2"/>
      </w:pPr>
      <w:r>
        <w:rPr>
          <w:b/>
          <w:bCs/>
        </w:rPr>
        <w:t xml:space="preserve">2.2 Multi-Material 3D Printing of PLA/TPU Composites.</w:t>
      </w:r>
      <w:r>
        <w:t xml:space="preserve"> </w:t>
      </w:r>
      <w:r>
        <w:t xml:space="preserve">Multi-material rigid-soft FDM enables stiff/compliant combinations on a</w:t>
      </w:r>
      <w:r>
        <w:t xml:space="preserve"> </w:t>
      </w:r>
      <w:r>
        <w:t xml:space="preserve">single platform with tunable energy absorption, demonstrated for thick-panel</w:t>
      </w:r>
      <w:r>
        <w:t xml:space="preserve"> </w:t>
      </w:r>
      <w:r>
        <w:t xml:space="preserve">origami whose PLA panels are joined by TPU hinges [</w:t>
      </w:r>
      <w:hyperlink w:anchor="bib12">
        <w:r>
          <w:rPr>
            <w:rStyle w:val="Hyperlink"/>
          </w:rPr>
          <w:t xml:space="preserve">12</w:t>
        </w:r>
      </w:hyperlink>
      <w:r>
        <w:t xml:space="preserve">]</w:t>
      </w:r>
      <w:r>
        <w:t xml:space="preserve"> </w:t>
      </w:r>
      <w:r>
        <w:t xml:space="preserve">and for ABS/TPU honeycombs [</w:t>
      </w:r>
      <w:hyperlink w:anchor="bib13">
        <w:r>
          <w:rPr>
            <w:rStyle w:val="Hyperlink"/>
          </w:rPr>
          <w:t xml:space="preserve">13</w:t>
        </w:r>
      </w:hyperlink>
      <w:r>
        <w:t xml:space="preserve">]. Neither study is itself a</w:t>
      </w:r>
      <w:r>
        <w:t xml:space="preserve"> </w:t>
      </w:r>
      <w:r>
        <w:t xml:space="preserve">tensegrity, but both establish the rigid-soft co-printing route we adopt. Ye</w:t>
      </w:r>
      <w:r>
        <w:t xml:space="preserve"> </w:t>
      </w:r>
      <w:r>
        <w:t xml:space="preserve">et al. [</w:t>
      </w:r>
      <w:hyperlink w:anchor="bib12">
        <w:r>
          <w:rPr>
            <w:rStyle w:val="Hyperlink"/>
          </w:rPr>
          <w:t xml:space="preserve">12</w:t>
        </w:r>
      </w:hyperlink>
      <w:r>
        <w:t xml:space="preserve">]</w:t>
      </w:r>
      <w:r>
        <w:t xml:space="preserve"> </w:t>
      </w:r>
      <w:r>
        <w:t xml:space="preserve">introduced a</w:t>
      </w:r>
      <w:r>
        <w:t xml:space="preserve"> </w:t>
      </w:r>
      <w:r>
        <w:rPr>
          <w:i/>
          <w:iCs/>
        </w:rPr>
        <w:t xml:space="preserve">wrapping-based</w:t>
      </w:r>
      <w:r>
        <w:t xml:space="preserve"> </w:t>
      </w:r>
      <w:r>
        <w:t xml:space="preserve">strategy in which rigid cores are</w:t>
      </w:r>
      <w:r>
        <w:t xml:space="preserve"> </w:t>
      </w:r>
      <w:r>
        <w:t xml:space="preserve">encapsulated by continuous soft skins, reported to reduce interface</w:t>
      </w:r>
      <w:r>
        <w:t xml:space="preserve"> </w:t>
      </w:r>
      <w:r>
        <w:t xml:space="preserve">delamination under cyclic loading, something we take inspiration from in our</w:t>
      </w:r>
      <w:r>
        <w:t xml:space="preserve"> </w:t>
      </w:r>
      <w:r>
        <w:t xml:space="preserve">designs.</w:t>
      </w:r>
      <w:r>
        <w:t xml:space="preserve"> </w:t>
      </w:r>
      <w:r>
        <w:t xml:space="preserve">Beyond these rigid-soft demonstrations, several studies show</w:t>
      </w:r>
      <w:r>
        <w:t xml:space="preserve"> </w:t>
      </w:r>
      <w:r>
        <w:t xml:space="preserve">that tensegrity-inspired architectures can be additively</w:t>
      </w:r>
      <w:r>
        <w:t xml:space="preserve"> </w:t>
      </w:r>
      <w:r>
        <w:t xml:space="preserve">manufactured with tunable mechanical response. Bauer</w:t>
      </w:r>
      <w:r>
        <w:t xml:space="preserve"> </w:t>
      </w:r>
      <w:r>
        <w:t xml:space="preserve">et al. [</w:t>
      </w:r>
      <w:hyperlink w:anchor="bib32">
        <w:r>
          <w:rPr>
            <w:rStyle w:val="Hyperlink"/>
          </w:rPr>
          <w:t xml:space="preserve">32</w:t>
        </w:r>
      </w:hyperlink>
      <w:r>
        <w:t xml:space="preserve">] showed that 3D-printed tensegrity</w:t>
      </w:r>
      <w:r>
        <w:t xml:space="preserve"> </w:t>
      </w:r>
      <w:r>
        <w:t xml:space="preserve">metamaterials delocalize deformation to resist catastrophic failure, while</w:t>
      </w:r>
      <w:r>
        <w:t xml:space="preserve"> </w:t>
      </w:r>
      <w:r>
        <w:t xml:space="preserve">Pajunen et al. [</w:t>
      </w:r>
      <w:hyperlink w:anchor="bib33">
        <w:r>
          <w:rPr>
            <w:rStyle w:val="Hyperlink"/>
          </w:rPr>
          <w:t xml:space="preserve">33</w:t>
        </w:r>
      </w:hyperlink>
      <w:r>
        <w:t xml:space="preserve">] tuned acoustic bandgaps in</w:t>
      </w:r>
      <w:r>
        <w:t xml:space="preserve"> </w:t>
      </w:r>
      <w:r>
        <w:t xml:space="preserve">3D-printed tensegrity-inspired lattices through prestrain, and</w:t>
      </w:r>
      <w:r>
        <w:t xml:space="preserve"> </w:t>
      </w:r>
      <w:r>
        <w:t xml:space="preserve">Sabouni-Zawadzka et al. [</w:t>
      </w:r>
      <w:hyperlink w:anchor="bib34">
        <w:r>
          <w:rPr>
            <w:rStyle w:val="Hyperlink"/>
          </w:rPr>
          <w:t xml:space="preserve">34</w:t>
        </w:r>
      </w:hyperlink>
      <w:r>
        <w:t xml:space="preserve">]</w:t>
      </w:r>
      <w:r>
        <w:t xml:space="preserve"> </w:t>
      </w:r>
      <w:r>
        <w:t xml:space="preserve">experimentally characterized 3D-printed tensegrity-inspired metamaterials</w:t>
      </w:r>
      <w:r>
        <w:t xml:space="preserve"> </w:t>
      </w:r>
      <w:r>
        <w:t xml:space="preserve">built on the simplex module. More directly relevant to impact, Almeida</w:t>
      </w:r>
      <w:r>
        <w:t xml:space="preserve"> </w:t>
      </w:r>
      <w:r>
        <w:t xml:space="preserve">et al. [</w:t>
      </w:r>
      <w:hyperlink w:anchor="bib29">
        <w:r>
          <w:rPr>
            <w:rStyle w:val="Hyperlink"/>
          </w:rPr>
          <w:t xml:space="preserve">29</w:t>
        </w:r>
      </w:hyperlink>
      <w:r>
        <w:t xml:space="preserve">] and Davami</w:t>
      </w:r>
      <w:r>
        <w:t xml:space="preserve"> </w:t>
      </w:r>
      <w:r>
        <w:t xml:space="preserve">et al. [</w:t>
      </w:r>
      <w:hyperlink w:anchor="bib30">
        <w:r>
          <w:rPr>
            <w:rStyle w:val="Hyperlink"/>
          </w:rPr>
          <w:t xml:space="preserve">30</w:t>
        </w:r>
      </w:hyperlink>
      <w:r>
        <w:t xml:space="preserve">] characterized the high-strain-rate</w:t>
      </w:r>
      <w:r>
        <w:t xml:space="preserve"> </w:t>
      </w:r>
      <w:r>
        <w:t xml:space="preserve">and dynamic response of additively manufactured tensegrity-inspired</w:t>
      </w:r>
      <w:r>
        <w:t xml:space="preserve"> </w:t>
      </w:r>
      <w:r>
        <w:t xml:space="preserve">structures, and Wang et al. [</w:t>
      </w:r>
      <w:hyperlink w:anchor="bib31">
        <w:r>
          <w:rPr>
            <w:rStyle w:val="Hyperlink"/>
          </w:rPr>
          <w:t xml:space="preserve">31</w:t>
        </w:r>
      </w:hyperlink>
      <w:r>
        <w:t xml:space="preserve">] reported an</w:t>
      </w:r>
      <w:r>
        <w:t xml:space="preserve"> </w:t>
      </w:r>
      <w:r>
        <w:t xml:space="preserve">integrated fabrication-and-validation workflow for tensegrity-inspired</w:t>
      </w:r>
      <w:r>
        <w:t xml:space="preserve"> </w:t>
      </w:r>
      <w:r>
        <w:t xml:space="preserve">rigid-flexible metamaterials. None of these studies combines</w:t>
      </w:r>
      <w:r>
        <w:t xml:space="preserve"> </w:t>
      </w:r>
      <w:r>
        <w:t xml:space="preserve">multi-material FDM with an experiment-driven optimization loop.</w:t>
      </w:r>
      <w:r>
        <w:t xml:space="preserve"> </w:t>
      </w:r>
      <w:r>
        <w:t xml:space="preserve">Work on multi-material PLA/TPU sandwich and layered</w:t>
      </w:r>
      <w:r>
        <w:t xml:space="preserve"> </w:t>
      </w:r>
      <w:r>
        <w:t xml:space="preserve">composites [</w:t>
      </w:r>
      <w:hyperlink w:anchor="bib35">
        <w:r>
          <w:rPr>
            <w:rStyle w:val="Hyperlink"/>
          </w:rPr>
          <w:t xml:space="preserve">35</w:t>
        </w:r>
      </w:hyperlink>
      <w:r>
        <w:t xml:space="preserve">] reports</w:t>
      </w:r>
      <w:r>
        <w:t xml:space="preserve"> </w:t>
      </w:r>
      <w:r>
        <w:t xml:space="preserve">quantitative bounds on</w:t>
      </w:r>
      <w:r>
        <w:t xml:space="preserve"> </w:t>
      </w:r>
      <w:r>
        <w:t xml:space="preserve">stiffness, strength, and energy absorption for the same PLA/TPU pair</w:t>
      </w:r>
      <w:r>
        <w:t xml:space="preserve"> </w:t>
      </w:r>
      <w:r>
        <w:t xml:space="preserve">used here, while FDM PLA fatigue</w:t>
      </w:r>
      <w:r>
        <w:t xml:space="preserve"> </w:t>
      </w:r>
      <w:r>
        <w:t xml:space="preserve">data [</w:t>
      </w:r>
      <w:hyperlink w:anchor="bib36">
        <w:r>
          <w:rPr>
            <w:rStyle w:val="Hyperlink"/>
          </w:rPr>
          <w:t xml:space="preserve">36</w:t>
        </w:r>
      </w:hyperlink>
      <w:r>
        <w:t xml:space="preserve">,</w:t>
      </w:r>
      <w:r>
        <w:t xml:space="preserve"> </w:t>
      </w:r>
      <w:hyperlink w:anchor="bib37">
        <w:r>
          <w:rPr>
            <w:rStyle w:val="Hyperlink"/>
          </w:rPr>
          <w:t xml:space="preserve">37</w:t>
        </w:r>
      </w:hyperlink>
      <w:r>
        <w:t xml:space="preserve">]</w:t>
      </w:r>
      <w:r>
        <w:t xml:space="preserve"> </w:t>
      </w:r>
      <w:r>
        <w:t xml:space="preserve">can inform conservative design bounds for the rigid struts.</w:t>
      </w:r>
      <w:r>
        <w:t xml:space="preserve"> </w:t>
      </w:r>
      <w:r>
        <w:t xml:space="preserve">Architected multi-material lattices with co-printed compliant skins</w:t>
      </w:r>
      <w:r>
        <w:t xml:space="preserve"> </w:t>
      </w:r>
      <w:r>
        <w:t xml:space="preserve">have been designed for high specific energy</w:t>
      </w:r>
      <w:r>
        <w:t xml:space="preserve"> </w:t>
      </w:r>
      <w:r>
        <w:t xml:space="preserve">absorption [</w:t>
      </w:r>
      <w:hyperlink w:anchor="bib38">
        <w:r>
          <w:rPr>
            <w:rStyle w:val="Hyperlink"/>
          </w:rPr>
          <w:t xml:space="preserve">38</w:t>
        </w:r>
      </w:hyperlink>
      <w:r>
        <w:t xml:space="preserve">]. Recent surveys review</w:t>
      </w:r>
      <w:r>
        <w:t xml:space="preserve"> </w:t>
      </w:r>
      <w:r>
        <w:t xml:space="preserve">additively manufactured polymeric energy</w:t>
      </w:r>
      <w:r>
        <w:t xml:space="preserve"> </w:t>
      </w:r>
      <w:r>
        <w:t xml:space="preserve">absorbers [</w:t>
      </w:r>
      <w:hyperlink w:anchor="bib39">
        <w:r>
          <w:rPr>
            <w:rStyle w:val="Hyperlink"/>
          </w:rPr>
          <w:t xml:space="preserve">39</w:t>
        </w:r>
      </w:hyperlink>
      <w:r>
        <w:t xml:space="preserve">,</w:t>
      </w:r>
      <w:r>
        <w:t xml:space="preserve"> </w:t>
      </w:r>
      <w:hyperlink w:anchor="bib40">
        <w:r>
          <w:rPr>
            <w:rStyle w:val="Hyperlink"/>
          </w:rPr>
          <w:t xml:space="preserve">40</w:t>
        </w:r>
      </w:hyperlink>
      <w:r>
        <w:t xml:space="preserve">].</w:t>
      </w:r>
    </w:p>
    <w:p>
      <w:pPr>
        <w:pStyle w:val="RuninHeading2"/>
      </w:pPr>
      <w:r>
        <w:rPr>
          <w:b/>
          <w:bCs/>
        </w:rPr>
        <w:t xml:space="preserve">2.3 Bayesian Optimization for Architected-Material Design.</w:t>
      </w:r>
      <w:r>
        <w:t xml:space="preserve"> </w:t>
      </w:r>
      <w:r>
        <w:t xml:space="preserve">Bayesian optimization is a sequential, model-based strategy for</w:t>
      </w:r>
      <w:r>
        <w:t xml:space="preserve"> </w:t>
      </w:r>
      <w:r>
        <w:t xml:space="preserve">optimizing expensive black-box functions using a Gaussian-process</w:t>
      </w:r>
      <w:r>
        <w:t xml:space="preserve"> </w:t>
      </w:r>
      <w:r>
        <w:t xml:space="preserve">surrogate [</w:t>
      </w:r>
      <w:hyperlink w:anchor="bib41">
        <w:r>
          <w:rPr>
            <w:rStyle w:val="Hyperlink"/>
          </w:rPr>
          <w:t xml:space="preserve">41</w:t>
        </w:r>
      </w:hyperlink>
      <w:r>
        <w:t xml:space="preserve">,</w:t>
      </w:r>
      <w:r>
        <w:t xml:space="preserve"> </w:t>
      </w:r>
      <w:hyperlink w:anchor="bib42">
        <w:r>
          <w:rPr>
            <w:rStyle w:val="Hyperlink"/>
          </w:rPr>
          <w:t xml:space="preserve">42</w:t>
        </w:r>
      </w:hyperlink>
      <w:r>
        <w:t xml:space="preserve">]. Modern</w:t>
      </w:r>
      <w:r>
        <w:t xml:space="preserve"> </w:t>
      </w:r>
      <w:r>
        <w:t xml:space="preserve">implementations such as BoTorch [</w:t>
      </w:r>
      <w:hyperlink w:anchor="bib20">
        <w:r>
          <w:rPr>
            <w:rStyle w:val="Hyperlink"/>
          </w:rPr>
          <w:t xml:space="preserve">20</w:t>
        </w:r>
      </w:hyperlink>
      <w:r>
        <w:t xml:space="preserve">] and the Ax</w:t>
      </w:r>
      <w:r>
        <w:t xml:space="preserve"> </w:t>
      </w:r>
      <w:r>
        <w:t xml:space="preserve">platform built atop it [</w:t>
      </w:r>
      <w:hyperlink w:anchor="bib21">
        <w:r>
          <w:rPr>
            <w:rStyle w:val="Hyperlink"/>
          </w:rPr>
          <w:t xml:space="preserve">21</w:t>
        </w:r>
      </w:hyperlink>
      <w:r>
        <w:t xml:space="preserve">] support</w:t>
      </w:r>
      <w:r>
        <w:t xml:space="preserve"> </w:t>
      </w:r>
      <w:r>
        <w:t xml:space="preserve">parallel batched evaluations and many acquisition functions. Recent algorithmic advances include log expected improvement</w:t>
      </w:r>
      <w:r>
        <w:t xml:space="preserve"> </w:t>
      </w:r>
      <w:r>
        <w:t xml:space="preserve">(log-EI) for numerical robustness [</w:t>
      </w:r>
      <w:hyperlink w:anchor="bib43">
        <w:r>
          <w:rPr>
            <w:rStyle w:val="Hyperlink"/>
          </w:rPr>
          <w:t xml:space="preserve">43</w:t>
        </w:r>
      </w:hyperlink>
      <w:r>
        <w:t xml:space="preserve">], noisy expected</w:t>
      </w:r>
      <w:r>
        <w:t xml:space="preserve"> </w:t>
      </w:r>
      <w:r>
        <w:t xml:space="preserve">hypervolume improvement (qNEHVI) for multi-objective</w:t>
      </w:r>
      <w:r>
        <w:t xml:space="preserve"> </w:t>
      </w:r>
      <w:r>
        <w:t xml:space="preserve">settings [</w:t>
      </w:r>
      <w:hyperlink w:anchor="bib44">
        <w:r>
          <w:rPr>
            <w:rStyle w:val="Hyperlink"/>
          </w:rPr>
          <w:t xml:space="preserve">44</w:t>
        </w:r>
      </w:hyperlink>
      <w:r>
        <w:t xml:space="preserve">],</w:t>
      </w:r>
      <w:r>
        <w:t xml:space="preserve"> </w:t>
      </w:r>
      <w:r>
        <w:t xml:space="preserve">input-noise-robust acquisitions [</w:t>
      </w:r>
      <w:hyperlink w:anchor="bib45">
        <w:r>
          <w:rPr>
            <w:rStyle w:val="Hyperlink"/>
          </w:rPr>
          <w:t xml:space="preserve">45</w:t>
        </w:r>
      </w:hyperlink>
      <w:r>
        <w:t xml:space="preserve">], and</w:t>
      </w:r>
      <w:r>
        <w:t xml:space="preserve"> </w:t>
      </w:r>
      <w:r>
        <w:t xml:space="preserve">evolution-guided constrained multi-objective BO for self-driving</w:t>
      </w:r>
      <w:r>
        <w:t xml:space="preserve"> </w:t>
      </w:r>
      <w:r>
        <w:t xml:space="preserve">labs [</w:t>
      </w:r>
      <w:hyperlink w:anchor="bib46">
        <w:r>
          <w:rPr>
            <w:rStyle w:val="Hyperlink"/>
          </w:rPr>
          <w:t xml:space="preserve">46</w:t>
        </w:r>
      </w:hyperlink>
      <w:r>
        <w:t xml:space="preserve">]. Mixed/categorical search spaces, needed</w:t>
      </w:r>
      <w:r>
        <w:t xml:space="preserve"> </w:t>
      </w:r>
      <w:r>
        <w:t xml:space="preserve">for the planned connectivity-topology extension rather than the</w:t>
      </w:r>
      <w:r>
        <w:t xml:space="preserve"> </w:t>
      </w:r>
      <w:r>
        <w:t xml:space="preserve">continuous</w:t>
      </w:r>
      <w:r>
        <w:t xml:space="preserve"> </w:t>
      </w:r>
      <w:r>
        <w:rPr>
          <w:i/>
          <w:iCs/>
        </w:rPr>
        <w:t xml:space="preserve">T</w:t>
      </w:r>
      <w:r>
        <w:rPr>
          <w:vertAlign w:val="subscript"/>
        </w:rPr>
        <w:t xml:space="preserve">3</w:t>
      </w:r>
      <w:r>
        <w:t xml:space="preserve">-prism prototype studied here, have dedicated</w:t>
      </w:r>
      <w:r>
        <w:t xml:space="preserve"> </w:t>
      </w:r>
      <w:r>
        <w:t xml:space="preserve">treatments in Bayesian optimization of combinatorial structures</w:t>
      </w:r>
      <w:r>
        <w:t xml:space="preserve"> </w:t>
      </w:r>
      <w:r>
        <w:t xml:space="preserve">(BOCS) [</w:t>
      </w:r>
      <w:hyperlink w:anchor="bib47">
        <w:r>
          <w:rPr>
            <w:rStyle w:val="Hyperlink"/>
          </w:rPr>
          <w:t xml:space="preserve">47</w:t>
        </w:r>
      </w:hyperlink>
      <w:r>
        <w:t xml:space="preserve">] and the</w:t>
      </w:r>
      <w:r>
        <w:t xml:space="preserve"> </w:t>
      </w:r>
      <w:r>
        <w:t xml:space="preserve">one-hot-with-rounded-kernel construction</w:t>
      </w:r>
      <w:r>
        <w:t xml:space="preserve"> </w:t>
      </w:r>
      <w:r>
        <w:t xml:space="preserve">of [</w:t>
      </w:r>
      <w:hyperlink w:anchor="bib48">
        <w:r>
          <w:rPr>
            <w:rStyle w:val="Hyperlink"/>
          </w:rPr>
          <w:t xml:space="preserve">48</w:t>
        </w:r>
      </w:hyperlink>
      <w:r>
        <w:t xml:space="preserve">]. BO has been</w:t>
      </w:r>
      <w:r>
        <w:t xml:space="preserve"> </w:t>
      </w:r>
      <w:r>
        <w:t xml:space="preserve">applied to architected-material</w:t>
      </w:r>
      <w:r>
        <w:t xml:space="preserve"> </w:t>
      </w:r>
      <w:r>
        <w:t xml:space="preserve">design [</w:t>
      </w:r>
      <w:hyperlink w:anchor="bib17">
        <w:r>
          <w:rPr>
            <w:rStyle w:val="Hyperlink"/>
          </w:rPr>
          <w:t xml:space="preserve">17</w:t>
        </w:r>
      </w:hyperlink>
      <w:r>
        <w:t xml:space="preserve">]</w:t>
      </w:r>
      <w:r>
        <w:t xml:space="preserve"> </w:t>
      </w:r>
      <w:r>
        <w:t xml:space="preserve">and to additive manufacturing [</w:t>
      </w:r>
      <w:hyperlink w:anchor="bib18">
        <w:r>
          <w:rPr>
            <w:rStyle w:val="Hyperlink"/>
          </w:rPr>
          <w:t xml:space="preserve">18</w:t>
        </w:r>
      </w:hyperlink>
      <w:r>
        <w:t xml:space="preserve">].</w:t>
      </w:r>
      <w:r>
        <w:t xml:space="preserve"> </w:t>
      </w:r>
      <w:r>
        <w:t xml:space="preserve">Mo et al. [</w:t>
      </w:r>
      <w:hyperlink w:anchor="bib17">
        <w:r>
          <w:rPr>
            <w:rStyle w:val="Hyperlink"/>
          </w:rPr>
          <w:t xml:space="preserve">17</w:t>
        </w:r>
      </w:hyperlink>
      <w:r>
        <w:t xml:space="preserve">] in</w:t>
      </w:r>
      <w:r>
        <w:t xml:space="preserve"> </w:t>
      </w:r>
      <w:r>
        <w:t xml:space="preserve">particular established a multifidelity BO framework for architected</w:t>
      </w:r>
      <w:r>
        <w:t xml:space="preserve"> </w:t>
      </w:r>
      <w:r>
        <w:t xml:space="preserve">materials by fusing low-fidelity simulations with high-fidelity</w:t>
      </w:r>
      <w:r>
        <w:t xml:space="preserve"> </w:t>
      </w:r>
      <w:r>
        <w:t xml:space="preserve">ground truth via nonlinear information-fusion</w:t>
      </w:r>
      <w:r>
        <w:t xml:space="preserve"> </w:t>
      </w:r>
      <w:r>
        <w:t xml:space="preserve">priors [</w:t>
      </w:r>
      <w:hyperlink w:anchor="bib49">
        <w:r>
          <w:rPr>
            <w:rStyle w:val="Hyperlink"/>
          </w:rPr>
          <w:t xml:space="preserve">49</w:t>
        </w:r>
      </w:hyperlink>
      <w:r>
        <w:t xml:space="preserve">]. We shift the</w:t>
      </w:r>
      <w:r>
        <w:t xml:space="preserve"> </w:t>
      </w:r>
      <w:r>
        <w:t xml:space="preserve">emphasis from simulation surrogates to direct experimental data,</w:t>
      </w:r>
      <w:r>
        <w:t xml:space="preserve"> </w:t>
      </w:r>
      <w:r>
        <w:t xml:space="preserve">which suits materials whose constitutive response is difficult to</w:t>
      </w:r>
      <w:r>
        <w:t xml:space="preserve"> </w:t>
      </w:r>
      <w:r>
        <w:t xml:space="preserve">calibrate from first principles.</w:t>
      </w:r>
    </w:p>
    <w:bookmarkEnd w:id="25"/>
    <w:bookmarkStart w:id="46" w:name="lbl_sec_methods"/>
    <w:p>
      <w:pPr>
        <w:pStyle w:val="Heading1"/>
      </w:pPr>
      <w:r>
        <w:t xml:space="preserve">3 Materials and Methods</w:t>
      </w:r>
    </w:p>
    <w:bookmarkStart w:id="26" w:name="lbl_sec_methods_parameterization"/>
    <w:p>
      <w:pPr>
        <w:pStyle w:val="RuninHeading2"/>
      </w:pPr>
      <w:r>
        <w:rPr>
          <w:b/>
          <w:bCs/>
        </w:rPr>
        <w:t xml:space="preserve">3.1 Design Parameterization.</w:t>
      </w:r>
      <w:r>
        <w:t xml:space="preserve"> </w:t>
      </w:r>
      <w:r>
        <w:t xml:space="preserve">We parameterize a family of tensegrity-inspired unit cells via four</w:t>
      </w:r>
      <w:r>
        <w:t xml:space="preserve"> </w:t>
      </w:r>
      <w:r>
        <w:t xml:space="preserve">groups of design variables. For the working</w:t>
      </w:r>
      <w:r>
        <w:t xml:space="preserve"> </w:t>
      </w:r>
      <w:r>
        <w:rPr>
          <w:i/>
          <w:iCs/>
        </w:rPr>
        <w:t xml:space="preserve">T</w:t>
      </w:r>
      <w:r>
        <w:rPr>
          <w:vertAlign w:val="subscript"/>
        </w:rPr>
        <w:t xml:space="preserve">3</w:t>
      </w:r>
      <w:r>
        <w:t xml:space="preserve">-prism prototype that</w:t>
      </w:r>
      <w:r>
        <w:t xml:space="preserve"> </w:t>
      </w:r>
      <w:r>
        <w:t xml:space="preserve">defines the initial BO search space (Section </w:t>
      </w:r>
      <w:hyperlink w:anchor="lbl_sec_methods_bo">
        <w:r>
          <w:rPr>
            <w:rStyle w:val="Hyperlink"/>
          </w:rPr>
          <w:t xml:space="preserve">3.4</w:t>
        </w:r>
      </w:hyperlink>
      <w:r>
        <w:t xml:space="preserve">),</w:t>
      </w:r>
      <w:r>
        <w:t xml:space="preserve"> </w:t>
      </w:r>
      <w:r>
        <w:t xml:space="preserve">only the first two groups are active and all of their variables are</w:t>
      </w:r>
      <w:r>
        <w:t xml:space="preserve"> </w:t>
      </w:r>
      <w:r>
        <w:rPr>
          <w:i/>
          <w:iCs/>
        </w:rPr>
        <w:t xml:space="preserve">continuous</w:t>
      </w:r>
      <w:r>
        <w:t xml:space="preserve">. We hold the connectivity-topology and tiling groups</w:t>
      </w:r>
      <w:r>
        <w:t xml:space="preserve"> </w:t>
      </w:r>
      <w:r>
        <w:t xml:space="preserve">fixed for this prototype and list them here as planned extensions of</w:t>
      </w:r>
      <w:r>
        <w:t xml:space="preserve"> </w:t>
      </w:r>
      <w:r>
        <w:t xml:space="preserve">the design family:</w:t>
      </w:r>
    </w:p>
    <w:bookmarkEnd w:id="26"/>
    <w:p>
      <w:pPr>
        <w:pStyle w:val="Compact"/>
        <w:numPr>
          <w:ilvl w:val="0"/>
          <w:numId w:val="1002"/>
        </w:numPr>
      </w:pPr>
      <w:r>
        <w:rPr>
          <w:b/>
          <w:bCs/>
        </w:rPr>
        <w:t xml:space="preserve">PLA compression members.</w:t>
      </w:r>
      <w:r>
        <w:t xml:space="preserve"> </w:t>
      </w:r>
      <w:r>
        <w:t xml:space="preserve">Strut diameter</w:t>
      </w:r>
      <w:r>
        <w:t xml:space="preserve"> </w:t>
      </w:r>
      <w:r>
        <w:rPr>
          <w:i/>
          <w:iCs/>
        </w:rPr>
        <w:t xml:space="preserve">d</w:t>
      </w:r>
      <w:r>
        <w:rPr>
          <w:i/>
          <w:iCs/>
          <w:vertAlign w:val="subscript"/>
        </w:rPr>
        <w:t xml:space="preserve">s</w:t>
      </w:r>
      <w:r>
        <w:t xml:space="preserve"> </w:t>
      </w:r>
      <w:r>
        <w:t xml:space="preserve">and</w:t>
      </w:r>
      <w:r>
        <w:t xml:space="preserve"> </w:t>
      </w:r>
      <w:r>
        <w:t xml:space="preserve">length</w:t>
      </w:r>
      <w:r>
        <w:t xml:space="preserve"> </w:t>
      </w:r>
      <w:r>
        <w:rPr>
          <w:i/>
          <w:iCs/>
        </w:rPr>
        <w:t xml:space="preserve">ℓ</w:t>
      </w:r>
      <w:r>
        <w:rPr>
          <w:i/>
          <w:iCs/>
          <w:vertAlign w:val="subscript"/>
        </w:rPr>
        <w:t xml:space="preserve">s</w:t>
      </w:r>
      <w:r>
        <w:t xml:space="preserve">, with the slenderness ratio</w:t>
      </w:r>
      <w:r>
        <w:t xml:space="preserve"> </w:t>
      </w:r>
      <w:r>
        <w:rPr>
          <w:i/>
          <w:iCs/>
        </w:rPr>
        <w:t xml:space="preserve">ℓ</w:t>
      </w:r>
      <w:r>
        <w:rPr>
          <w:i/>
          <w:iCs/>
          <w:vertAlign w:val="subscript"/>
        </w:rPr>
        <w:t xml:space="preserve">s</w:t>
      </w:r>
      <w:r>
        <w:t xml:space="preserve">/</w:t>
      </w:r>
      <w:r>
        <w:rPr>
          <w:i/>
          <w:iCs/>
        </w:rPr>
        <w:t xml:space="preserve">d</w:t>
      </w:r>
      <w:r>
        <w:rPr>
          <w:i/>
          <w:iCs/>
          <w:vertAlign w:val="subscript"/>
        </w:rPr>
        <w:t xml:space="preserve">s</w:t>
      </w:r>
      <w:r>
        <w:t xml:space="preserve"> </w:t>
      </w:r>
      <w:r>
        <w:t xml:space="preserve">bounded</w:t>
      </w:r>
      <w:r>
        <w:t xml:space="preserve"> </w:t>
      </w:r>
      <w:r>
        <w:t xml:space="preserve">away from buckling-dominated regimes.</w:t>
      </w:r>
    </w:p>
    <w:p>
      <w:pPr>
        <w:pStyle w:val="Compact"/>
        <w:numPr>
          <w:ilvl w:val="0"/>
          <w:numId w:val="1002"/>
        </w:numPr>
      </w:pPr>
      <w:r>
        <w:rPr>
          <w:b/>
          <w:bCs/>
        </w:rPr>
        <w:t xml:space="preserve">TPU tension elements.</w:t>
      </w:r>
      <w:r>
        <w:t xml:space="preserve"> </w:t>
      </w:r>
      <w:r>
        <w:t xml:space="preserve">Cross-sectional area</w:t>
      </w:r>
      <w:r>
        <w:t xml:space="preserve"> </w:t>
      </w:r>
      <w:r>
        <w:rPr>
          <w:i/>
          <w:iCs/>
        </w:rPr>
        <w:t xml:space="preserve">A</w:t>
      </w:r>
      <w:r>
        <w:rPr>
          <w:i/>
          <w:iCs/>
          <w:vertAlign w:val="subscript"/>
        </w:rPr>
        <w:t xml:space="preserve">t</w:t>
      </w:r>
      <w:r>
        <w:t xml:space="preserve"> </w:t>
      </w:r>
      <w:r>
        <w:t xml:space="preserve">(or</w:t>
      </w:r>
      <w:r>
        <w:t xml:space="preserve"> </w:t>
      </w:r>
      <w:r>
        <w:t xml:space="preserve">equivalent diameter</w:t>
      </w:r>
      <w:r>
        <w:t xml:space="preserve"> </w:t>
      </w:r>
      <w:r>
        <w:rPr>
          <w:i/>
          <w:iCs/>
        </w:rPr>
        <w:t xml:space="preserve">d</w:t>
      </w:r>
      <w:r>
        <w:rPr>
          <w:i/>
          <w:iCs/>
          <w:vertAlign w:val="subscript"/>
        </w:rPr>
        <w:t xml:space="preserve">t</w:t>
      </w:r>
      <w:r>
        <w:t xml:space="preserve"> </w:t>
      </w:r>
      <w:r>
        <w:t xml:space="preserve">for circular cross-sections).</w:t>
      </w:r>
    </w:p>
    <w:p>
      <w:pPr>
        <w:pStyle w:val="Compact"/>
        <w:numPr>
          <w:ilvl w:val="0"/>
          <w:numId w:val="1002"/>
        </w:numPr>
      </w:pPr>
      <w:r>
        <w:rPr>
          <w:b/>
          <w:bCs/>
        </w:rPr>
        <w:t xml:space="preserve">Connectivity topology (future extension).</w:t>
      </w:r>
      <w:r>
        <w:t xml:space="preserve"> </w:t>
      </w:r>
      <w:r>
        <w:t xml:space="preserve">Selected</w:t>
      </w:r>
      <w:r>
        <w:t xml:space="preserve"> </w:t>
      </w:r>
      <w:r>
        <w:t xml:space="preserve">from a discrete set of candidate unit cells (e.g.,</w:t>
      </w:r>
      <w:r>
        <w:t xml:space="preserve"> </w:t>
      </w:r>
      <w:r>
        <w:t xml:space="preserve">truncated-tetrahedral, prism-based, and octahedral variants). When</w:t>
      </w:r>
      <w:r>
        <w:t xml:space="preserve"> </w:t>
      </w:r>
      <w:r>
        <w:t xml:space="preserve">activated, the design vector would encode this as a categorical</w:t>
      </w:r>
      <w:r>
        <w:t xml:space="preserve"> </w:t>
      </w:r>
      <w:r>
        <w:t xml:space="preserve">choice. It is held fixed at the</w:t>
      </w:r>
      <w:r>
        <w:t xml:space="preserve"> </w:t>
      </w:r>
      <w:r>
        <w:rPr>
          <w:i/>
          <w:iCs/>
        </w:rPr>
        <w:t xml:space="preserve">T</w:t>
      </w:r>
      <w:r>
        <w:rPr>
          <w:vertAlign w:val="subscript"/>
        </w:rPr>
        <w:t xml:space="preserve">3</w:t>
      </w:r>
      <w:r>
        <w:t xml:space="preserve"> </w:t>
      </w:r>
      <w:r>
        <w:t xml:space="preserve">prism for the present</w:t>
      </w:r>
      <w:r>
        <w:t xml:space="preserve"> </w:t>
      </w:r>
      <w:r>
        <w:t xml:space="preserve">campaign.</w:t>
      </w:r>
    </w:p>
    <w:p>
      <w:pPr>
        <w:pStyle w:val="Compact"/>
        <w:numPr>
          <w:ilvl w:val="0"/>
          <w:numId w:val="1002"/>
        </w:numPr>
      </w:pPr>
      <w:r>
        <w:rPr>
          <w:b/>
          <w:bCs/>
        </w:rPr>
        <w:t xml:space="preserve">Unit-cell tiling (future extension).</w:t>
      </w:r>
      <w:r>
        <w:t xml:space="preserve"> </w:t>
      </w:r>
      <w:r>
        <w:t xml:space="preserve">Number of cells</w:t>
      </w:r>
      <w:r>
        <w:t xml:space="preserve"> </w:t>
      </w:r>
      <w:r>
        <w:rPr>
          <w:i/>
          <w:iCs/>
        </w:rPr>
        <w:t xml:space="preserve">N</w:t>
      </w:r>
      <w:r>
        <w:rPr>
          <w:i/>
          <w:iCs/>
          <w:vertAlign w:val="subscript"/>
        </w:rPr>
        <w:t xml:space="preserve">x</w:t>
      </w:r>
      <w:r>
        <w:t xml:space="preserve"> ×</w:t>
      </w:r>
      <w:r>
        <w:t xml:space="preserve"> </w:t>
      </w:r>
      <w:r>
        <w:rPr>
          <w:i/>
          <w:iCs/>
        </w:rPr>
        <w:t xml:space="preserve">N</w:t>
      </w:r>
      <w:r>
        <w:rPr>
          <w:i/>
          <w:iCs/>
          <w:vertAlign w:val="subscript"/>
        </w:rPr>
        <w:t xml:space="preserve">y</w:t>
      </w:r>
      <w:r>
        <w:t xml:space="preserve"> ×</w:t>
      </w:r>
      <w:r>
        <w:t xml:space="preserve"> </w:t>
      </w:r>
      <w:r>
        <w:rPr>
          <w:i/>
          <w:iCs/>
        </w:rPr>
        <w:t xml:space="preserve">N</w:t>
      </w:r>
      <w:r>
        <w:rPr>
          <w:i/>
          <w:iCs/>
          <w:vertAlign w:val="subscript"/>
        </w:rPr>
        <w:t xml:space="preserve">z</w:t>
      </w:r>
      <w:r>
        <w:t xml:space="preserve"> </w:t>
      </w:r>
      <w:r>
        <w:t xml:space="preserve">and the orientation of each cell</w:t>
      </w:r>
      <w:r>
        <w:t xml:space="preserve"> </w:t>
      </w:r>
      <w:r>
        <w:t xml:space="preserve">relative to the impact direction. It is held fixed at a single</w:t>
      </w:r>
      <w:r>
        <w:t xml:space="preserve"> </w:t>
      </w:r>
      <w:r>
        <w:t xml:space="preserve">cell here.</w:t>
      </w:r>
    </w:p>
    <w:p>
      <w:pPr>
        <w:pStyle w:val="RuninHeading4"/>
      </w:pPr>
      <w:r>
        <w:rPr>
          <w:i/>
          <w:iCs/>
        </w:rPr>
        <w:t xml:space="preserve">Working prototype and search-space evolution.</w:t>
      </w:r>
      <w:r>
        <w:t xml:space="preserve"> </w:t>
      </w:r>
      <w:r>
        <w:t xml:space="preserve">We validated</w:t>
      </w:r>
      <w:r>
        <w:t xml:space="preserve"> </w:t>
      </w:r>
      <w:r>
        <w:t xml:space="preserve">the fabrication and test pipeline on the first instance of this family,</w:t>
      </w:r>
      <w:r>
        <w:t xml:space="preserve"> </w:t>
      </w:r>
      <w:r>
        <w:t xml:space="preserve">a three-strut,</w:t>
      </w:r>
      <w:r>
        <w:t xml:space="preserve"> </w:t>
      </w:r>
      <w:r>
        <w:rPr>
          <w:i/>
          <w:iCs/>
        </w:rPr>
        <w:t xml:space="preserve">T</w:t>
      </w:r>
      <w:r>
        <w:rPr>
          <w:vertAlign w:val="subscript"/>
        </w:rPr>
        <w:t xml:space="preserve">3</w:t>
      </w:r>
      <w:r>
        <w:t xml:space="preserve">-prism-inspired cell scaled to a</w:t>
      </w:r>
      <w:r>
        <w:t xml:space="preserve"> </w:t>
      </w:r>
      <w:r>
        <w:t xml:space="preserve">∼50 mm bounding box. In batches 1 and 2 the BO search space has</w:t>
      </w:r>
      <w:r>
        <w:t xml:space="preserve"> </w:t>
      </w:r>
      <w:r>
        <w:t xml:space="preserve">five continuous design variables over the ranges listed in</w:t>
      </w:r>
      <w:r>
        <w:t xml:space="preserve"> </w:t>
      </w:r>
      <w:r>
        <w:t xml:space="preserve">Table </w:t>
      </w:r>
      <w:hyperlink w:anchor="lbl_tab_design_vars">
        <w:r>
          <w:rPr>
            <w:rStyle w:val="Hyperlink"/>
          </w:rPr>
          <w:t xml:space="preserve">2</w:t>
        </w:r>
      </w:hyperlink>
      <w:r>
        <w:t xml:space="preserve">. They are the base radius</w:t>
      </w:r>
      <w:r>
        <w:t xml:space="preserve"> </w:t>
      </w:r>
      <w:r>
        <w:rPr>
          <w:i/>
          <w:iCs/>
        </w:rPr>
        <w:t xml:space="preserve">R</w:t>
      </w:r>
      <w:r>
        <w:t xml:space="preserve">, cell height</w:t>
      </w:r>
      <w:r>
        <w:t xml:space="preserve"> </w:t>
      </w:r>
      <w:r>
        <w:rPr>
          <w:i/>
          <w:iCs/>
        </w:rPr>
        <w:t xml:space="preserve">H</w:t>
      </w:r>
      <w:r>
        <w:t xml:space="preserve">,</w:t>
      </w:r>
      <w:r>
        <w:t xml:space="preserve"> </w:t>
      </w:r>
      <w:r>
        <w:t xml:space="preserve">twist angle</w:t>
      </w:r>
      <w:r>
        <w:t xml:space="preserve"> </w:t>
      </w:r>
      <w:r>
        <w:rPr>
          <w:i/>
          <w:iCs/>
        </w:rPr>
        <w:t xml:space="preserve">θ</w:t>
      </w:r>
      <w:r>
        <w:t xml:space="preserve">, a single strut diameter</w:t>
      </w:r>
      <w:r>
        <w:t xml:space="preserve"> </w:t>
      </w:r>
      <w:r>
        <w:rPr>
          <w:i/>
          <w:iCs/>
        </w:rPr>
        <w:t xml:space="preserve">d</w:t>
      </w:r>
      <w:r>
        <w:rPr>
          <w:i/>
          <w:iCs/>
          <w:vertAlign w:val="subscript"/>
        </w:rPr>
        <w:t xml:space="preserve">s</w:t>
      </w:r>
      <w:r>
        <w:t xml:space="preserve">, and a single</w:t>
      </w:r>
      <w:r>
        <w:t xml:space="preserve"> </w:t>
      </w:r>
      <w:r>
        <w:t xml:space="preserve">cable (tendon) diameter</w:t>
      </w:r>
      <w:r>
        <w:t xml:space="preserve"> </w:t>
      </w:r>
      <w:r>
        <w:rPr>
          <w:i/>
          <w:iCs/>
        </w:rPr>
        <w:t xml:space="preserve">d</w:t>
      </w:r>
      <w:r>
        <w:rPr>
          <w:i/>
          <w:iCs/>
          <w:vertAlign w:val="subscript"/>
        </w:rPr>
        <w:t xml:space="preserve">t</w:t>
      </w:r>
      <w:r>
        <w:t xml:space="preserve">. We treat the cable diameter</w:t>
      </w:r>
      <w:r>
        <w:t xml:space="preserve"> </w:t>
      </w:r>
      <w:r>
        <w:rPr>
          <w:i/>
          <w:iCs/>
        </w:rPr>
        <w:t xml:space="preserve">d</w:t>
      </w:r>
      <w:r>
        <w:rPr>
          <w:i/>
          <w:iCs/>
          <w:vertAlign w:val="subscript"/>
        </w:rPr>
        <w:t xml:space="preserve">t</w:t>
      </w:r>
      <w:r>
        <w:t xml:space="preserve"> </w:t>
      </w:r>
      <w:r>
        <w:t xml:space="preserve">as a</w:t>
      </w:r>
      <w:r>
        <w:t xml:space="preserve"> </w:t>
      </w:r>
      <w:r>
        <w:rPr>
          <w:i/>
          <w:iCs/>
        </w:rPr>
        <w:t xml:space="preserve">continuous</w:t>
      </w:r>
      <w:r>
        <w:t xml:space="preserve"> </w:t>
      </w:r>
      <w:r>
        <w:t xml:space="preserve">variable on [3.0, 5.5] mm. From batch 3 the</w:t>
      </w:r>
      <w:r>
        <w:t xml:space="preserve"> </w:t>
      </w:r>
      <w:r>
        <w:t xml:space="preserve">space grows to include the print</w:t>
      </w:r>
      <w:r>
        <w:t xml:space="preserve"> </w:t>
      </w:r>
      <w:r>
        <w:t xml:space="preserve">process: two per-article sparse-infill densities (strut and tendon,</w:t>
      </w:r>
      <w:r>
        <w:t xml:space="preserve"> </w:t>
      </w:r>
      <w:r>
        <w:t xml:space="preserve">each 12 to 35%) chosen by the acquisition, and four filament</w:t>
      </w:r>
      <w:r>
        <w:t xml:space="preserve"> </w:t>
      </w:r>
      <w:r>
        <w:t xml:space="preserve">settings (PLA and TPU nozzle temperature and maximum volumetric</w:t>
      </w:r>
      <w:r>
        <w:t xml:space="preserve"> </w:t>
      </w:r>
      <w:r>
        <w:t xml:space="preserve">speed). The filament settings are physically one value per print</w:t>
      </w:r>
      <w:r>
        <w:t xml:space="preserve"> </w:t>
      </w:r>
      <w:r>
        <w:t xml:space="preserve">job, so we draw them as one quasi-random point per batch, and they</w:t>
      </w:r>
      <w:r>
        <w:t xml:space="preserve"> </w:t>
      </w:r>
      <w:r>
        <w:t xml:space="preserve">remain confounded with batch until a round varies them within a</w:t>
      </w:r>
      <w:r>
        <w:t xml:space="preserve"> </w:t>
      </w:r>
      <w:r>
        <w:t xml:space="preserve">plate (Section </w:t>
      </w:r>
      <w:hyperlink w:anchor="lbl_sec_methods_bo">
        <w:r>
          <w:rPr>
            <w:rStyle w:val="Hyperlink"/>
          </w:rPr>
          <w:t xml:space="preserve">3.4</w:t>
        </w:r>
      </w:hyperlink>
      <w:r>
        <w:t xml:space="preserve">). Under the prism’s</w:t>
      </w:r>
      <w:r>
        <w:t xml:space="preserve"> </w:t>
      </w:r>
      <w:r>
        <w:rPr>
          <w:i/>
          <w:iCs/>
        </w:rPr>
        <w:t xml:space="preserve">D</w:t>
      </w:r>
      <w:r>
        <w:rPr>
          <w:vertAlign w:val="subscript"/>
        </w:rPr>
        <w:t xml:space="preserve">3</w:t>
      </w:r>
      <w:r>
        <w:t xml:space="preserve"> </w:t>
      </w:r>
      <w:r>
        <w:t xml:space="preserve">symmetry all struts are equivalent, and we also give all cables</w:t>
      </w:r>
      <w:r>
        <w:t xml:space="preserve"> </w:t>
      </w:r>
      <w:r>
        <w:t xml:space="preserve">one diameter. We therefore use a single strut-diameter axis and a single</w:t>
      </w:r>
      <w:r>
        <w:t xml:space="preserve"> </w:t>
      </w:r>
      <w:r>
        <w:t xml:space="preserve">cable-diameter axis, leaving room to relax</w:t>
      </w:r>
      <w:r>
        <w:t xml:space="preserve"> </w:t>
      </w:r>
      <w:r>
        <w:t xml:space="preserve">to per-orbit (saddle, top, bottom) or fully per-member diameters once</w:t>
      </w:r>
      <w:r>
        <w:t xml:space="preserve"> </w:t>
      </w:r>
      <w:r>
        <w:t xml:space="preserve">the individual orbits have been characterized. We hold the joint diameter</w:t>
      </w:r>
      <w:r>
        <w:t xml:space="preserve"> </w:t>
      </w:r>
      <w:r>
        <w:rPr>
          <w:i/>
          <w:iCs/>
        </w:rPr>
        <w:t xml:space="preserve">d</w:t>
      </w:r>
      <w:r>
        <w:rPr>
          <w:i/>
          <w:iCs/>
          <w:vertAlign w:val="subscript"/>
        </w:rPr>
        <w:t xml:space="preserve">j</w:t>
      </w:r>
      <w:r>
        <w:t xml:space="preserve"> </w:t>
      </w:r>
      <w:r>
        <w:t xml:space="preserve">fixed at</w:t>
      </w:r>
      <w:r>
        <w:t xml:space="preserve"> </w:t>
      </w:r>
      <w:r>
        <w:t xml:space="preserve">7.0 mm. It sets the printed strut-end cage</w:t>
      </w:r>
      <w:r>
        <w:t xml:space="preserve"> </w:t>
      </w:r>
      <w:r>
        <w:t xml:space="preserve">that houses the internal cable anchors</w:t>
      </w:r>
      <w:r>
        <w:t xml:space="preserve"> </w:t>
      </w:r>
      <w:r>
        <w:t xml:space="preserve">(Section </w:t>
      </w:r>
      <w:hyperlink w:anchor="lbl_sec_methods_fabrication">
        <w:r>
          <w:rPr>
            <w:rStyle w:val="Hyperlink"/>
          </w:rPr>
          <w:t xml:space="preserve">3.2</w:t>
        </w:r>
      </w:hyperlink>
      <w:r>
        <w:t xml:space="preserve">), so it is constrained primarily by the</w:t>
      </w:r>
      <w:r>
        <w:t xml:space="preserve"> </w:t>
      </w:r>
      <w:r>
        <w:t xml:space="preserve">TPU-tendon outlet count and the dual-nozzle clearance rather than by</w:t>
      </w:r>
      <w:r>
        <w:t xml:space="preserve"> </w:t>
      </w:r>
      <w:r>
        <w:t xml:space="preserve">energy-absorption performance. Fixing it keeps the anchor geometry</w:t>
      </w:r>
      <w:r>
        <w:t xml:space="preserve"> </w:t>
      </w:r>
      <w:r>
        <w:t xml:space="preserve">constant across specimens so that the optimized variables are not</w:t>
      </w:r>
      <w:r>
        <w:t xml:space="preserve"> </w:t>
      </w:r>
      <w:r>
        <w:t xml:space="preserve">confounded by joint-strength changes. Relaxing</w:t>
      </w:r>
      <w:r>
        <w:t xml:space="preserve"> </w:t>
      </w:r>
      <w:r>
        <w:rPr>
          <w:i/>
          <w:iCs/>
        </w:rPr>
        <w:t xml:space="preserve">d</w:t>
      </w:r>
      <w:r>
        <w:rPr>
          <w:i/>
          <w:iCs/>
          <w:vertAlign w:val="subscript"/>
        </w:rPr>
        <w:t xml:space="preserve">j</w:t>
      </w:r>
      <w:r>
        <w:t xml:space="preserve"> </w:t>
      </w:r>
      <w:r>
        <w:t xml:space="preserve">is deferred to a</w:t>
      </w:r>
      <w:r>
        <w:t xml:space="preserve"> </w:t>
      </w:r>
      <w:r>
        <w:t xml:space="preserve">follow-on joint-design study. Figure </w:t>
      </w:r>
      <w:hyperlink w:anchor="lbl_fig_printed_prototypes">
        <w:r>
          <w:rPr>
            <w:rStyle w:val="Hyperlink"/>
          </w:rPr>
          <w:t xml:space="preserve">2</w:t>
        </w:r>
      </w:hyperlink>
      <w:r>
        <w:t xml:space="preserve"> </w:t>
      </w:r>
      <w:r>
        <w:t xml:space="preserve">shows the parametric CAD model alongside an as-printed prototype of this</w:t>
      </w:r>
      <w:r>
        <w:t xml:space="preserve"> </w:t>
      </w:r>
      <w:r>
        <w:t xml:space="preserve">working</w:t>
      </w:r>
      <w:r>
        <w:t xml:space="preserve"> </w:t>
      </w:r>
      <w:r>
        <w:rPr>
          <w:i/>
          <w:iCs/>
        </w:rPr>
        <w:t xml:space="preserve">T</w:t>
      </w:r>
      <w:r>
        <w:rPr>
          <w:vertAlign w:val="subscript"/>
        </w:rPr>
        <w:t xml:space="preserve">3</w:t>
      </w:r>
      <w:r>
        <w:t xml:space="preserve"> </w:t>
      </w:r>
      <w:r>
        <w:t xml:space="preserve">prism.</w:t>
      </w:r>
    </w:p>
    <w:p>
      <w:pPr>
        <w:pStyle w:val="RuninHeading4"/>
      </w:pPr>
      <w:r>
        <w:rPr>
          <w:i/>
          <w:iCs/>
        </w:rPr>
        <w:t xml:space="preserve">Constant-mass projection and printability screens.</w:t>
      </w:r>
      <w:r>
        <w:t xml:space="preserve"> </w:t>
      </w:r>
      <w:r>
        <w:t xml:space="preserve">Because</w:t>
      </w:r>
      <w:r>
        <w:t xml:space="preserve"> </w:t>
      </w:r>
      <w:r>
        <w:t xml:space="preserve">cell mass varies severalfold across the raw design box, an</w:t>
      </w:r>
      <w:r>
        <w:t xml:space="preserve"> </w:t>
      </w:r>
      <w:r>
        <w:t xml:space="preserve">unconstrained search would partly reward designs for carrying more</w:t>
      </w:r>
      <w:r>
        <w:t xml:space="preserve"> </w:t>
      </w:r>
      <w:r>
        <w:t xml:space="preserve">material rather than for their architecture. We therefore project</w:t>
      </w:r>
      <w:r>
        <w:t xml:space="preserve"> </w:t>
      </w:r>
      <w:r>
        <w:t xml:space="preserve">every candidate onto a constant material budget before printing.</w:t>
      </w:r>
      <w:r>
        <w:t xml:space="preserve"> </w:t>
      </w:r>
      <w:r>
        <w:t xml:space="preserve">Each design is uniformly rescaled (all dimensions except the twist</w:t>
      </w:r>
      <w:r>
        <w:t xml:space="preserve"> </w:t>
      </w:r>
      <w:r>
        <w:t xml:space="preserve">angle) until its mass target is met, converged to within</w:t>
      </w:r>
      <w:r>
        <w:t xml:space="preserve"> </w:t>
      </w:r>
      <w:r>
        <w:t xml:space="preserve">0.15 g on rendered geometry. The target evolved with the</w:t>
      </w:r>
      <w:r>
        <w:t xml:space="preserve"> </w:t>
      </w:r>
      <w:r>
        <w:t xml:space="preserve">campaign. Batches 1 and 2 held</w:t>
      </w:r>
      <w:r>
        <w:t xml:space="preserve"> </w:t>
      </w:r>
      <w:r>
        <w:rPr>
          <w:i/>
          <w:iCs/>
        </w:rPr>
        <w:t xml:space="preserve">solid</w:t>
      </w:r>
      <w:r>
        <w:t xml:space="preserve"> </w:t>
      </w:r>
      <w:r>
        <w:t xml:space="preserve">CAD mass</w:t>
      </w:r>
      <w:r>
        <w:t xml:space="preserve"> </w:t>
      </w:r>
      <w:r>
        <w:rPr>
          <w:i/>
          <w:iCs/>
        </w:rPr>
        <w:t xml:space="preserve">ρ</w:t>
      </w:r>
      <w:r>
        <w:rPr>
          <w:vertAlign w:val="subscript"/>
        </w:rPr>
        <w:t xml:space="preserve">PLA</w:t>
      </w:r>
      <w:r>
        <w:rPr>
          <w:i/>
          <w:iCs/>
        </w:rPr>
        <w:t xml:space="preserve">V</w:t>
      </w:r>
      <w:r>
        <w:rPr>
          <w:vertAlign w:val="subscript"/>
        </w:rPr>
        <w:t xml:space="preserve">PLA</w:t>
      </w:r>
      <w:r>
        <w:t xml:space="preserve"> +</w:t>
      </w:r>
      <w:r>
        <w:t xml:space="preserve"> </w:t>
      </w:r>
      <w:r>
        <w:rPr>
          <w:i/>
          <w:iCs/>
        </w:rPr>
        <w:t xml:space="preserve">ρ</w:t>
      </w:r>
      <w:r>
        <w:rPr>
          <w:vertAlign w:val="subscript"/>
        </w:rPr>
        <w:t xml:space="preserve">TPU</w:t>
      </w:r>
      <w:r>
        <w:rPr>
          <w:i/>
          <w:iCs/>
        </w:rPr>
        <w:t xml:space="preserve">V</w:t>
      </w:r>
      <w:r>
        <w:rPr>
          <w:vertAlign w:val="subscript"/>
        </w:rPr>
        <w:t xml:space="preserve">TPU</w:t>
      </w:r>
      <w:r>
        <w:t xml:space="preserve"> </w:t>
      </w:r>
      <w:r>
        <w:t xml:space="preserve">at</w:t>
      </w:r>
      <w:r>
        <w:t xml:space="preserve"> </w:t>
      </w:r>
      <w:r>
        <w:rPr>
          <w:i/>
          <w:iCs/>
        </w:rPr>
        <w:t xml:space="preserve">m</w:t>
      </w:r>
      <w:r>
        <w:rPr>
          <w:vertAlign w:val="superscript"/>
        </w:rPr>
        <w:t xml:space="preserve">⋆</w:t>
      </w:r>
      <w:r>
        <w:t xml:space="preserve"> = 30.95 g, the solid mass of</w:t>
      </w:r>
      <w:r>
        <w:t xml:space="preserve"> </w:t>
      </w:r>
      <w:r>
        <w:t xml:space="preserve">the reference prism. That budget does not hold printed grams</w:t>
      </w:r>
      <w:r>
        <w:t xml:space="preserve"> </w:t>
      </w:r>
      <w:r>
        <w:t xml:space="preserve">constant, because PLA struts print at partial infill while thin TPU</w:t>
      </w:r>
      <w:r>
        <w:t xml:space="preserve"> </w:t>
      </w:r>
      <w:r>
        <w:t xml:space="preserve">cables print near solid. As-printed masses spanned</w:t>
      </w:r>
      <w:r>
        <w:t xml:space="preserve"> </w:t>
      </w:r>
      <w:r>
        <w:t xml:space="preserve">18.50 to 22.04 g across the tested seed articles, a</w:t>
      </w:r>
      <w:r>
        <w:t xml:space="preserve"> </w:t>
      </w:r>
      <w:r>
        <w:t xml:space="preserve">coefficient of variation (CV, the standard deviation divided by the</w:t>
      </w:r>
      <w:r>
        <w:t xml:space="preserve"> </w:t>
      </w:r>
      <w:r>
        <w:t xml:space="preserve">mean) of 5.5%, and 17.91 to 23.47 g (CV 8.7%) across</w:t>
      </w:r>
      <w:r>
        <w:t xml:space="preserve"> </w:t>
      </w:r>
      <w:r>
        <w:t xml:space="preserve">batch 2. For those batches printed mass is therefore only approximately</w:t>
      </w:r>
      <w:r>
        <w:t xml:space="preserve"> </w:t>
      </w:r>
      <w:r>
        <w:t xml:space="preserve">constant, and the surrogate carries each article’s weighed mass</w:t>
      </w:r>
      <w:r>
        <w:t xml:space="preserve"> </w:t>
      </w:r>
      <w:r>
        <w:t xml:space="preserve">explicitly (Section </w:t>
      </w:r>
      <w:hyperlink w:anchor="lbl_sec_methods_bo">
        <w:r>
          <w:rPr>
            <w:rStyle w:val="Hyperlink"/>
          </w:rPr>
          <w:t xml:space="preserve">3.4</w:t>
        </w:r>
      </w:hyperlink>
      <w:r>
        <w:t xml:space="preserve">). From batch 3 the projection</w:t>
      </w:r>
      <w:r>
        <w:t xml:space="preserve"> </w:t>
      </w:r>
      <w:r>
        <w:t xml:space="preserve">instead holds</w:t>
      </w:r>
      <w:r>
        <w:t xml:space="preserve"> </w:t>
      </w:r>
      <w:r>
        <w:rPr>
          <w:i/>
          <w:iCs/>
        </w:rPr>
        <w:t xml:space="preserve">printed</w:t>
      </w:r>
      <w:r>
        <w:t xml:space="preserve"> </w:t>
      </w:r>
      <w:r>
        <w:t xml:space="preserve">mass at 20.23 g, the mass of the</w:t>
      </w:r>
      <w:r>
        <w:t xml:space="preserve"> </w:t>
      </w:r>
      <w:r>
        <w:t xml:space="preserve">printed reference article. A calibrated model predicts each design’s</w:t>
      </w:r>
      <w:r>
        <w:t xml:space="preserve"> </w:t>
      </w:r>
      <w:r>
        <w:t xml:space="preserve">printed mass from its geometry, and the design is scaled until that</w:t>
      </w:r>
      <w:r>
        <w:t xml:space="preserve"> </w:t>
      </w:r>
      <w:r>
        <w:t xml:space="preserve">prediction equals the target (Supplementary Information). The printed</w:t>
      </w:r>
      <w:r>
        <w:t xml:space="preserve"> </w:t>
      </w:r>
      <w:r>
        <w:t xml:space="preserve">batches came in slightly light. Their mean masses were 0.2 to</w:t>
      </w:r>
      <w:r>
        <w:t xml:space="preserve"> </w:t>
      </w:r>
      <w:r>
        <w:t xml:space="preserve">0.6 g (1 to 3%) below the target, and the CV within a batch was</w:t>
      </w:r>
      <w:r>
        <w:t xml:space="preserve"> </w:t>
      </w:r>
      <w:r>
        <w:t xml:space="preserve">1.7% for batch 3 and 2.3% for batch 4.</w:t>
      </w:r>
    </w:p>
    <w:p>
      <w:pPr>
        <w:pStyle w:val="BodyText"/>
      </w:pPr>
      <w:r>
        <w:t xml:space="preserve">We also checked each projected design against two printability</w:t>
      </w:r>
      <w:r>
        <w:t xml:space="preserve"> </w:t>
      </w:r>
      <w:r>
        <w:t xml:space="preserve">limits. Both were recorded as warnings, and neither was used to reject</w:t>
      </w:r>
      <w:r>
        <w:t xml:space="preserve"> </w:t>
      </w:r>
      <w:r>
        <w:t xml:space="preserve">or change a design. The first compares</w:t>
      </w:r>
      <w:r>
        <w:t xml:space="preserve"> </w:t>
      </w:r>
      <w:r>
        <w:rPr>
          <w:i/>
          <w:iCs/>
        </w:rPr>
        <w:t xml:space="preserve">π</w:t>
      </w:r>
      <w:r>
        <w:rPr>
          <w:i/>
          <w:iCs/>
        </w:rPr>
        <w:t xml:space="preserve">R</w:t>
      </w:r>
      <w:r>
        <w:rPr>
          <w:vertAlign w:val="superscript"/>
        </w:rPr>
        <w:t xml:space="preserve">2</w:t>
      </w:r>
      <w:r>
        <w:rPr>
          <w:i/>
          <w:iCs/>
        </w:rPr>
        <w:t xml:space="preserve">H</w:t>
      </w:r>
      <w:r>
        <w:t xml:space="preserve"> </w:t>
      </w:r>
      <w:r>
        <w:t xml:space="preserve">with</w:t>
      </w:r>
      <w:r>
        <w:t xml:space="preserve"> </w:t>
      </w:r>
      <w:r>
        <w:t xml:space="preserve">250 cm</w:t>
      </w:r>
      <w:r>
        <w:rPr>
          <w:vertAlign w:val="superscript"/>
        </w:rPr>
        <w:t xml:space="preserve">3</w:t>
      </w:r>
      <w:r>
        <w:t xml:space="preserve">, where</w:t>
      </w:r>
      <w:r>
        <w:t xml:space="preserve"> </w:t>
      </w:r>
      <w:r>
        <w:rPr>
          <w:i/>
          <w:iCs/>
        </w:rPr>
        <w:t xml:space="preserve">R</w:t>
      </w:r>
      <w:r>
        <w:t xml:space="preserve"> </w:t>
      </w:r>
      <w:r>
        <w:t xml:space="preserve">is the radius of the circle through the</w:t>
      </w:r>
      <w:r>
        <w:t xml:space="preserve"> </w:t>
      </w:r>
      <w:r>
        <w:t xml:space="preserve">joint centers and</w:t>
      </w:r>
      <w:r>
        <w:t xml:space="preserve"> </w:t>
      </w:r>
      <w:r>
        <w:rPr>
          <w:i/>
          <w:iCs/>
        </w:rPr>
        <w:t xml:space="preserve">H</w:t>
      </w:r>
      <w:r>
        <w:t xml:space="preserve"> </w:t>
      </w:r>
      <w:r>
        <w:t xml:space="preserve">is the height between joint centers. The</w:t>
      </w:r>
      <w:r>
        <w:t xml:space="preserve"> </w:t>
      </w:r>
      <w:r>
        <w:t xml:space="preserve">250 cm</w:t>
      </w:r>
      <w:r>
        <w:rPr>
          <w:vertAlign w:val="superscript"/>
        </w:rPr>
        <w:t xml:space="preserve">3</w:t>
      </w:r>
      <w:r>
        <w:t xml:space="preserve"> </w:t>
      </w:r>
      <w:r>
        <w:t xml:space="preserve">value is a placeholder size limit carried over from an</w:t>
      </w:r>
      <w:r>
        <w:t xml:space="preserve"> </w:t>
      </w:r>
      <w:r>
        <w:t xml:space="preserve">earlier simulation study. It is not the printer’s build volume, and</w:t>
      </w:r>
      <w:r>
        <w:t xml:space="preserve"> </w:t>
      </w:r>
      <w:r>
        <w:t xml:space="preserve">because it is measured to the joint centers it undercounts the printed</w:t>
      </w:r>
      <w:r>
        <w:t xml:space="preserve"> </w:t>
      </w:r>
      <w:r>
        <w:t xml:space="preserve">part. Seven printed articles (five designs) exceeded it. The second</w:t>
      </w:r>
      <w:r>
        <w:t xml:space="preserve"> </w:t>
      </w:r>
      <w:r>
        <w:t xml:space="preserve">limit is a 3.0 mm minimum on the printed TPU cable diameter,</w:t>
      </w:r>
      <w:r>
        <w:t xml:space="preserve"> </w:t>
      </w:r>
      <w:r>
        <w:t xml:space="preserve">adopted after the thin, unsupported top cables of early PETG test</w:t>
      </w:r>
      <w:r>
        <w:t xml:space="preserve"> </w:t>
      </w:r>
      <w:r>
        <w:t xml:space="preserve">prints failed. Because the projection rescales the whole cell, a</w:t>
      </w:r>
      <w:r>
        <w:t xml:space="preserve"> </w:t>
      </w:r>
      <w:r>
        <w:t xml:space="preserve">design at the 3.0 mm lower bound of the cable variable can print</w:t>
      </w:r>
      <w:r>
        <w:t xml:space="preserve"> </w:t>
      </w:r>
      <w:r>
        <w:t xml:space="preserve">thinner. Nine articles printed with cables of 2.51 to 2.78 mm,</w:t>
      </w:r>
      <w:r>
        <w:t xml:space="preserve"> </w:t>
      </w:r>
      <w:r>
        <w:t xml:space="preserve">including all four batch-4 articles that reduced the peak shock</w:t>
      </w:r>
      <w:r>
        <w:t xml:space="preserve"> </w:t>
      </w:r>
      <w:r>
        <w:t xml:space="preserve">(Section </w:t>
      </w:r>
      <w:hyperlink w:anchor="lbl_sec_results_batches">
        <w:r>
          <w:rPr>
            <w:rStyle w:val="Hyperlink"/>
          </w:rPr>
          <w:t xml:space="preserve">4.2</w:t>
        </w:r>
      </w:hyperlink>
      <w:r>
        <w:t xml:space="preserve">). With hand-painted tendon supports</w:t>
      </w:r>
      <w:r>
        <w:t xml:space="preserve"> </w:t>
      </w:r>
      <w:r>
        <w:t xml:space="preserve">(Section </w:t>
      </w:r>
      <w:hyperlink w:anchor="lbl_sec_methods_fabrication">
        <w:r>
          <w:rPr>
            <w:rStyle w:val="Hyperlink"/>
          </w:rPr>
          <w:t xml:space="preserve">3.2</w:t>
        </w:r>
      </w:hyperlink>
      <w:r>
        <w:t xml:space="preserve">), all nine printed. One had</w:t>
      </w:r>
      <w:r>
        <w:t xml:space="preserve"> </w:t>
      </w:r>
      <w:r>
        <w:t xml:space="preserve">stringing, one had a slight tendon indent, and seven had no logged</w:t>
      </w:r>
      <w:r>
        <w:t xml:space="preserve"> </w:t>
      </w:r>
      <w:r>
        <w:t xml:space="preserve">defect. The most common tendon defect was a TPU strand that did not</w:t>
      </w:r>
      <w:r>
        <w:t xml:space="preserve"> </w:t>
      </w:r>
      <w:r>
        <w:t xml:space="preserve">fuse to the tendon and came away from it. It was logged on five</w:t>
      </w:r>
      <w:r>
        <w:t xml:space="preserve"> </w:t>
      </w:r>
      <w:r>
        <w:t xml:space="preserve">articles, all with cables of 3.28 to 4.23 mm. The 3.0 mm</w:t>
      </w:r>
      <w:r>
        <w:t xml:space="preserve"> </w:t>
      </w:r>
      <w:r>
        <w:t xml:space="preserve">value is therefore a conservative rule for this workflow. Our prints</w:t>
      </w:r>
      <w:r>
        <w:t xml:space="preserve"> </w:t>
      </w:r>
      <w:r>
        <w:t xml:space="preserve">do not show that thinner cables cause more defects.</w:t>
      </w:r>
    </w:p>
    <w:bookmarkStart w:id="27" w:name="lbl_tab_design_vars"/>
    <w:p>
      <w:pPr>
        <w:pStyle w:val="TableCaption"/>
      </w:pPr>
      <w:bookmarkStart w:id="90002" w:name="cap_tab2"/>
      <w:r>
        <w:t xml:space="preserve">Table 2 Design variables for the</w:t>
      </w:r>
      <w:r>
        <w:t xml:space="preserve"> </w:t>
      </w:r>
      <w:r>
        <w:rPr>
          <w:i/>
          <w:iCs/>
        </w:rPr>
        <w:t xml:space="preserve">T</w:t>
      </w:r>
      <w:r>
        <w:rPr>
          <w:vertAlign w:val="subscript"/>
        </w:rPr>
        <w:t xml:space="preserve">3</w:t>
      </w:r>
      <w:r>
        <w:t xml:space="preserve">-prism campaign, as implemented</w:t>
      </w:r>
      <w:r>
        <w:t xml:space="preserve"> </w:t>
      </w:r>
      <w:r>
        <w:t xml:space="preserve">in the BO code. The seed batch is an</w:t>
      </w:r>
      <w:r>
        <w:t xml:space="preserve"> </w:t>
      </w:r>
      <w:r>
        <w:rPr>
          <w:i/>
          <w:iCs/>
        </w:rPr>
        <w:t xml:space="preserve">n</w:t>
      </w:r>
      <w:r>
        <w:t xml:space="preserve"> = 9 Sobol draw (fixed</w:t>
      </w:r>
      <w:r>
        <w:t xml:space="preserve"> </w:t>
      </w:r>
      <w:r>
        <w:t xml:space="preserve">seed) over the five geometry variables, with each design then</w:t>
      </w:r>
      <w:r>
        <w:t xml:space="preserve"> </w:t>
      </w:r>
      <w:r>
        <w:t xml:space="preserve">projected onto the constant-mass budget of the text. The process</w:t>
      </w:r>
      <w:r>
        <w:t xml:space="preserve"> </w:t>
      </w:r>
      <w:r>
        <w:t xml:space="preserve">variables joined the space in batch 3. The two infill densities</w:t>
      </w:r>
      <w:r>
        <w:t xml:space="preserve"> </w:t>
      </w:r>
      <w:r>
        <w:t xml:space="preserve">are acquisition-chosen per article, while the four filament</w:t>
      </w:r>
      <w:r>
        <w:t xml:space="preserve"> </w:t>
      </w:r>
      <w:r>
        <w:t xml:space="preserve">settings admit one value per print job and are therefore drawn as</w:t>
      </w:r>
      <w:r>
        <w:t xml:space="preserve"> </w:t>
      </w:r>
      <w:r>
        <w:t xml:space="preserve">a single quasi-random point per batch, confounded with batch</w:t>
      </w:r>
      <w:r>
        <w:t xml:space="preserve"> </w:t>
      </w:r>
      <w:r>
        <w:t xml:space="preserve">until varied within a plate. The joint diameter is held fixed.</w:t>
      </w:r>
      <w:r>
        <w:t xml:space="preserve"> </w:t>
      </w:r>
      <w:r>
        <w:t xml:space="preserve">All specimens print upright on a Bambu Lab H2D, with the prism</w:t>
      </w:r>
      <w:r>
        <w:t xml:space="preserve"> </w:t>
      </w:r>
      <w:r>
        <w:t xml:space="preserve">axis normal to the build plate and the base triangle on the bed</w:t>
      </w:r>
      <w:r>
        <w:t xml:space="preserve"> </w:t>
      </w:r>
      <w:r>
        <w:t xml:space="preserve">(Fig. </w:t>
      </w:r>
      <w:hyperlink w:anchor="lbl_fig_fab_workflow">
        <w:r>
          <w:rPr>
            <w:rStyle w:val="Hyperlink"/>
          </w:rPr>
          <w:t xml:space="preserve">3</w:t>
        </w:r>
      </w:hyperlink>
      <w:r>
        <w:t xml:space="preserve">, slicing panel). The seed batch used</w:t>
      </w:r>
      <w:r>
        <w:t xml:space="preserve"> </w:t>
      </w:r>
      <w:r>
        <w:t xml:space="preserve">one specimen per named build plate, and each later batch used one</w:t>
      </w:r>
      <w:r>
        <w:t xml:space="preserve"> </w:t>
      </w:r>
      <w:r>
        <w:t xml:space="preserve">nine-article plate.</w:t>
      </w:r>
      <w:bookmarkEnd w:id="90002"/>
    </w:p>
    <w:tbl>
      <w:tblPr>
        <w:tblStyle w:val="Table"/>
        <w:tblW w:type="dxa" w:w="5264"/>
        <w:jc w:val="start"/>
        <w:tblLayout w:type="fixed"/>
        <w:tblLook w:firstRow="1" w:lastRow="0" w:firstColumn="0" w:lastColumn="0" w:noHBand="0" w:noVBand="0" w:val="0020"/>
        <w:tblCaption w:val="Table 2 Design variables for the T3-prism campaign, as implemented in the BO code. The seed batch is an n = 9 Sobol draw (fixed seed) over the five geometry variables, with each design then projected onto the constant-mass budget of the text. The process variables joined the space in batch 3. The two infill densities are acquisition-chosen per article, while the four filament settings admit one value per print job and are therefore drawn as a single quasi-random point per batch, confounded with batch until varied within a plate. The joint diameter is held fixed. All specimens print upright on a Bambu Lab H2D, with the prism axis normal to the build plate and the base triangle on the bed (Fig. 3, slicing panel). The seed batch used one specimen per named build plate, and each later batch used one nine-article plate."/>
      </w:tblPr>
      <w:tblGrid>
        <w:gridCol w:w="2004"/>
        <w:gridCol w:w="692"/>
        <w:gridCol w:w="856"/>
        <w:gridCol w:w="610"/>
        <w:gridCol w:w="1102"/>
      </w:tblGrid>
      <w:tr>
        <w:trPr>
          <w:tblHeader w:val="true"/>
        </w:trPr>
        <w:tc>
          <w:tcPr/>
          <w:p>
            <w:pPr>
              <w:pStyle w:val="TableText"/>
              <w:jc w:val="left"/>
            </w:pPr>
            <w:r>
              <w:t xml:space="preserve">Variable</w:t>
            </w:r>
          </w:p>
        </w:tc>
        <w:tc>
          <w:tcPr/>
          <w:p>
            <w:pPr>
              <w:pStyle w:val="TableText"/>
              <w:jc w:val="left"/>
            </w:pPr>
            <w:r>
              <w:t xml:space="preserve">Symbol</w:t>
            </w:r>
          </w:p>
        </w:tc>
        <w:tc>
          <w:tcPr/>
          <w:p>
            <w:pPr>
              <w:pStyle w:val="TableText"/>
              <w:jc w:val="center"/>
            </w:pPr>
            <w:r>
              <w:t xml:space="preserve">Range</w:t>
            </w:r>
          </w:p>
        </w:tc>
        <w:tc>
          <w:tcPr/>
          <w:p>
            <w:pPr>
              <w:pStyle w:val="TableText"/>
              <w:jc w:val="center"/>
            </w:pPr>
            <w:r>
              <w:t xml:space="preserve">Units</w:t>
            </w:r>
          </w:p>
        </w:tc>
        <w:tc>
          <w:tcPr/>
          <w:p>
            <w:pPr>
              <w:pStyle w:val="TableText"/>
              <w:jc w:val="center"/>
            </w:pPr>
            <w:r>
              <w:t xml:space="preserve">Active</w:t>
            </w:r>
          </w:p>
        </w:tc>
      </w:tr>
      <w:tr>
        <w:tc>
          <w:tcPr/>
          <w:p>
            <w:pPr>
              <w:pStyle w:val="TableText"/>
              <w:jc w:val="left"/>
            </w:pPr>
            <w:r>
              <w:t xml:space="preserve">Base radius</w:t>
            </w:r>
          </w:p>
        </w:tc>
        <w:tc>
          <w:tcPr/>
          <w:p>
            <w:pPr>
              <w:pStyle w:val="TableText"/>
              <w:jc w:val="left"/>
            </w:pPr>
            <w:r>
              <w:rPr>
                <w:i/>
                <w:iCs/>
              </w:rPr>
              <w:t xml:space="preserve">R</w:t>
            </w:r>
          </w:p>
        </w:tc>
        <w:tc>
          <w:tcPr/>
          <w:p>
            <w:pPr>
              <w:pStyle w:val="TableText"/>
              <w:jc w:val="center"/>
            </w:pPr>
            <w:r>
              <w:t xml:space="preserve">25-40</w:t>
            </w:r>
          </w:p>
        </w:tc>
        <w:tc>
          <w:tcPr/>
          <w:p>
            <w:pPr>
              <w:pStyle w:val="TableText"/>
              <w:jc w:val="center"/>
            </w:pPr>
            <w:r>
              <w:t xml:space="preserve">mm</w:t>
            </w:r>
          </w:p>
        </w:tc>
        <w:tc>
          <w:tcPr/>
          <w:p>
            <w:pPr>
              <w:pStyle w:val="TableText"/>
              <w:jc w:val="center"/>
            </w:pPr>
            <w:r>
              <w:t xml:space="preserve">batch 1 on</w:t>
            </w:r>
          </w:p>
        </w:tc>
      </w:tr>
      <w:tr>
        <w:tc>
          <w:tcPr/>
          <w:p>
            <w:pPr>
              <w:pStyle w:val="TableText"/>
              <w:jc w:val="left"/>
            </w:pPr>
            <w:r>
              <w:t xml:space="preserve">Cell height</w:t>
            </w:r>
          </w:p>
        </w:tc>
        <w:tc>
          <w:tcPr/>
          <w:p>
            <w:pPr>
              <w:pStyle w:val="TableText"/>
              <w:jc w:val="left"/>
            </w:pPr>
            <w:r>
              <w:rPr>
                <w:i/>
                <w:iCs/>
              </w:rPr>
              <w:t xml:space="preserve">H</w:t>
            </w:r>
          </w:p>
        </w:tc>
        <w:tc>
          <w:tcPr/>
          <w:p>
            <w:pPr>
              <w:pStyle w:val="TableText"/>
              <w:jc w:val="center"/>
            </w:pPr>
            <w:r>
              <w:t xml:space="preserve">60-110</w:t>
            </w:r>
          </w:p>
        </w:tc>
        <w:tc>
          <w:tcPr/>
          <w:p>
            <w:pPr>
              <w:pStyle w:val="TableText"/>
              <w:jc w:val="center"/>
            </w:pPr>
            <w:r>
              <w:t xml:space="preserve">mm</w:t>
            </w:r>
          </w:p>
        </w:tc>
        <w:tc>
          <w:tcPr/>
          <w:p>
            <w:pPr>
              <w:pStyle w:val="TableText"/>
              <w:jc w:val="center"/>
            </w:pPr>
            <w:r>
              <w:t xml:space="preserve">batch 1 on</w:t>
            </w:r>
          </w:p>
        </w:tc>
      </w:tr>
      <w:tr>
        <w:tc>
          <w:tcPr/>
          <w:p>
            <w:pPr>
              <w:pStyle w:val="TableText"/>
              <w:jc w:val="left"/>
            </w:pPr>
            <w:r>
              <w:t xml:space="preserve">Twist angle</w:t>
            </w:r>
          </w:p>
        </w:tc>
        <w:tc>
          <w:tcPr/>
          <w:p>
            <w:pPr>
              <w:pStyle w:val="TableText"/>
              <w:jc w:val="left"/>
            </w:pPr>
            <w:r>
              <w:rPr>
                <w:i/>
                <w:iCs/>
              </w:rPr>
              <w:t xml:space="preserve">θ</w:t>
            </w:r>
          </w:p>
        </w:tc>
        <w:tc>
          <w:tcPr/>
          <w:p>
            <w:pPr>
              <w:pStyle w:val="TableText"/>
              <w:jc w:val="center"/>
            </w:pPr>
            <w:r>
              <w:t xml:space="preserve">40-80</w:t>
            </w:r>
          </w:p>
        </w:tc>
        <w:tc>
          <w:tcPr/>
          <w:p>
            <w:pPr>
              <w:pStyle w:val="TableText"/>
              <w:jc w:val="center"/>
            </w:pPr>
            <w:r>
              <w:t xml:space="preserve">deg</w:t>
            </w:r>
          </w:p>
        </w:tc>
        <w:tc>
          <w:tcPr/>
          <w:p>
            <w:pPr>
              <w:pStyle w:val="TableText"/>
              <w:jc w:val="center"/>
            </w:pPr>
            <w:r>
              <w:t xml:space="preserve">batch 1 on</w:t>
            </w:r>
          </w:p>
        </w:tc>
      </w:tr>
      <w:tr>
        <w:tc>
          <w:tcPr/>
          <w:p>
            <w:pPr>
              <w:pStyle w:val="TableText"/>
              <w:jc w:val="left"/>
            </w:pPr>
            <w:r>
              <w:t xml:space="preserve">Strut (PLA) diameter</w:t>
            </w:r>
          </w:p>
        </w:tc>
        <w:tc>
          <w:tcPr/>
          <w:p>
            <w:pPr>
              <w:pStyle w:val="TableText"/>
              <w:jc w:val="left"/>
            </w:pPr>
            <w:r>
              <w:rPr>
                <w:i/>
                <w:iCs/>
              </w:rPr>
              <w:t xml:space="preserve">d</w:t>
            </w:r>
            <w:r>
              <w:rPr>
                <w:i/>
                <w:iCs/>
                <w:vertAlign w:val="subscript"/>
              </w:rPr>
              <w:t xml:space="preserve">s</w:t>
            </w:r>
          </w:p>
        </w:tc>
        <w:tc>
          <w:tcPr/>
          <w:p>
            <w:pPr>
              <w:pStyle w:val="TableText"/>
              <w:jc w:val="center"/>
            </w:pPr>
            <w:r>
              <w:t xml:space="preserve">6.0-12.0</w:t>
            </w:r>
          </w:p>
        </w:tc>
        <w:tc>
          <w:tcPr/>
          <w:p>
            <w:pPr>
              <w:pStyle w:val="TableText"/>
              <w:jc w:val="center"/>
            </w:pPr>
            <w:r>
              <w:t xml:space="preserve">mm</w:t>
            </w:r>
          </w:p>
        </w:tc>
        <w:tc>
          <w:tcPr/>
          <w:p>
            <w:pPr>
              <w:pStyle w:val="TableText"/>
              <w:jc w:val="center"/>
            </w:pPr>
            <w:r>
              <w:t xml:space="preserve">batch 1 on</w:t>
            </w:r>
          </w:p>
        </w:tc>
      </w:tr>
      <w:tr>
        <w:tc>
          <w:tcPr/>
          <w:p>
            <w:pPr>
              <w:pStyle w:val="TableText"/>
              <w:jc w:val="left"/>
            </w:pPr>
            <w:r>
              <w:t xml:space="preserve">Cable (TPU) diameter</w:t>
            </w:r>
          </w:p>
        </w:tc>
        <w:tc>
          <w:tcPr/>
          <w:p>
            <w:pPr>
              <w:pStyle w:val="TableText"/>
              <w:jc w:val="left"/>
            </w:pPr>
            <w:r>
              <w:rPr>
                <w:i/>
                <w:iCs/>
              </w:rPr>
              <w:t xml:space="preserve">d</w:t>
            </w:r>
            <w:r>
              <w:rPr>
                <w:i/>
                <w:iCs/>
                <w:vertAlign w:val="subscript"/>
              </w:rPr>
              <w:t xml:space="preserve">t</w:t>
            </w:r>
          </w:p>
        </w:tc>
        <w:tc>
          <w:tcPr/>
          <w:p>
            <w:pPr>
              <w:pStyle w:val="TableText"/>
              <w:jc w:val="center"/>
            </w:pPr>
            <w:r>
              <w:t xml:space="preserve">3.0-5.5</w:t>
            </w:r>
          </w:p>
        </w:tc>
        <w:tc>
          <w:tcPr/>
          <w:p>
            <w:pPr>
              <w:pStyle w:val="TableText"/>
              <w:jc w:val="center"/>
            </w:pPr>
            <w:r>
              <w:t xml:space="preserve">mm</w:t>
            </w:r>
          </w:p>
        </w:tc>
        <w:tc>
          <w:tcPr/>
          <w:p>
            <w:pPr>
              <w:pStyle w:val="TableText"/>
              <w:jc w:val="center"/>
            </w:pPr>
            <w:r>
              <w:t xml:space="preserve">batch 1 on</w:t>
            </w:r>
          </w:p>
        </w:tc>
      </w:tr>
      <w:tr>
        <w:tc>
          <w:tcPr/>
          <w:p>
            <w:pPr>
              <w:pStyle w:val="TableText"/>
              <w:jc w:val="left"/>
            </w:pPr>
            <w:r>
              <w:t xml:space="preserve">Strut infill density</w:t>
            </w:r>
          </w:p>
        </w:tc>
        <w:tc>
          <w:tcPr/>
          <w:p>
            <w:pPr>
              <w:pStyle w:val="TableText"/>
              <w:jc w:val="left"/>
            </w:pPr>
            <w:r>
              <w:t xml:space="preserve">-</w:t>
            </w:r>
          </w:p>
        </w:tc>
        <w:tc>
          <w:tcPr/>
          <w:p>
            <w:pPr>
              <w:pStyle w:val="TableText"/>
              <w:jc w:val="center"/>
            </w:pPr>
            <w:r>
              <w:t xml:space="preserve">12-35</w:t>
            </w:r>
          </w:p>
        </w:tc>
        <w:tc>
          <w:tcPr/>
          <w:p>
            <w:pPr>
              <w:pStyle w:val="TableText"/>
              <w:jc w:val="center"/>
            </w:pPr>
            <w:r>
              <w:t xml:space="preserve">%</w:t>
            </w:r>
          </w:p>
        </w:tc>
        <w:tc>
          <w:tcPr/>
          <w:p>
            <w:pPr>
              <w:pStyle w:val="TableText"/>
              <w:jc w:val="center"/>
            </w:pPr>
            <w:r>
              <w:t xml:space="preserve">batch 3 on</w:t>
            </w:r>
          </w:p>
        </w:tc>
      </w:tr>
      <w:tr>
        <w:tc>
          <w:tcPr/>
          <w:p>
            <w:pPr>
              <w:pStyle w:val="TableText"/>
              <w:jc w:val="left"/>
            </w:pPr>
            <w:r>
              <w:t xml:space="preserve">Tendon infill density</w:t>
            </w:r>
          </w:p>
        </w:tc>
        <w:tc>
          <w:tcPr/>
          <w:p>
            <w:pPr>
              <w:pStyle w:val="TableText"/>
              <w:jc w:val="left"/>
            </w:pPr>
            <w:r>
              <w:t xml:space="preserve">-</w:t>
            </w:r>
          </w:p>
        </w:tc>
        <w:tc>
          <w:tcPr/>
          <w:p>
            <w:pPr>
              <w:pStyle w:val="TableText"/>
              <w:jc w:val="center"/>
            </w:pPr>
            <w:r>
              <w:t xml:space="preserve">12-35</w:t>
            </w:r>
          </w:p>
        </w:tc>
        <w:tc>
          <w:tcPr/>
          <w:p>
            <w:pPr>
              <w:pStyle w:val="TableText"/>
              <w:jc w:val="center"/>
            </w:pPr>
            <w:r>
              <w:t xml:space="preserve">%</w:t>
            </w:r>
          </w:p>
        </w:tc>
        <w:tc>
          <w:tcPr/>
          <w:p>
            <w:pPr>
              <w:pStyle w:val="TableText"/>
              <w:jc w:val="center"/>
            </w:pPr>
            <w:r>
              <w:t xml:space="preserve">batch 3 on</w:t>
            </w:r>
          </w:p>
        </w:tc>
      </w:tr>
      <w:tr>
        <w:tc>
          <w:tcPr/>
          <w:p>
            <w:pPr>
              <w:pStyle w:val="TableText"/>
              <w:jc w:val="left"/>
            </w:pPr>
            <w:r>
              <w:t xml:space="preserve">PLA nozzle temperature</w:t>
            </w:r>
          </w:p>
        </w:tc>
        <w:tc>
          <w:tcPr/>
          <w:p>
            <w:pPr>
              <w:pStyle w:val="TableText"/>
              <w:jc w:val="left"/>
            </w:pPr>
            <w:r>
              <w:t xml:space="preserve">-</w:t>
            </w:r>
          </w:p>
        </w:tc>
        <w:tc>
          <w:tcPr/>
          <w:p>
            <w:pPr>
              <w:pStyle w:val="TableText"/>
              <w:jc w:val="center"/>
            </w:pPr>
            <w:r>
              <w:t xml:space="preserve">212-228</w:t>
            </w:r>
          </w:p>
        </w:tc>
        <w:tc>
          <w:tcPr/>
          <w:p>
            <w:pPr>
              <w:pStyle w:val="TableText"/>
              <w:jc w:val="center"/>
            </w:pPr>
            <w:r>
              <w:t xml:space="preserve">°C</w:t>
            </w:r>
          </w:p>
        </w:tc>
        <w:tc>
          <w:tcPr/>
          <w:p>
            <w:pPr>
              <w:pStyle w:val="TableText"/>
              <w:jc w:val="center"/>
            </w:pPr>
            <w:r>
              <w:t xml:space="preserve">batch 3 on</w:t>
            </w:r>
            <w:r>
              <w:rPr>
                <w:vertAlign w:val="superscript"/>
              </w:rPr>
              <w:t xml:space="preserve">a</w:t>
            </w:r>
          </w:p>
        </w:tc>
      </w:tr>
      <w:tr>
        <w:tc>
          <w:tcPr/>
          <w:p>
            <w:pPr>
              <w:pStyle w:val="TableText"/>
              <w:jc w:val="left"/>
            </w:pPr>
            <w:r>
              <w:t xml:space="preserve">PLA volumetric speed</w:t>
            </w:r>
          </w:p>
        </w:tc>
        <w:tc>
          <w:tcPr/>
          <w:p>
            <w:pPr>
              <w:pStyle w:val="TableText"/>
              <w:jc w:val="left"/>
            </w:pPr>
            <w:r>
              <w:t xml:space="preserve">-</w:t>
            </w:r>
          </w:p>
        </w:tc>
        <w:tc>
          <w:tcPr/>
          <w:p>
            <w:pPr>
              <w:pStyle w:val="TableText"/>
              <w:jc w:val="center"/>
            </w:pPr>
            <w:r>
              <w:t xml:space="preserve">20-30</w:t>
            </w:r>
          </w:p>
        </w:tc>
        <w:tc>
          <w:tcPr/>
          <w:p>
            <w:pPr>
              <w:pStyle w:val="TableText"/>
              <w:jc w:val="center"/>
            </w:pPr>
            <w:r>
              <w:t xml:space="preserve">mm</w:t>
            </w:r>
            <w:r>
              <w:rPr>
                <w:vertAlign w:val="superscript"/>
              </w:rPr>
              <w:t xml:space="preserve">3</w:t>
            </w:r>
            <w:r>
              <w:t xml:space="preserve">/s</w:t>
            </w:r>
          </w:p>
        </w:tc>
        <w:tc>
          <w:tcPr/>
          <w:p>
            <w:pPr>
              <w:pStyle w:val="TableText"/>
              <w:jc w:val="center"/>
            </w:pPr>
            <w:r>
              <w:t xml:space="preserve">batch 3 on</w:t>
            </w:r>
            <w:r>
              <w:rPr>
                <w:vertAlign w:val="superscript"/>
              </w:rPr>
              <w:t xml:space="preserve">a</w:t>
            </w:r>
          </w:p>
        </w:tc>
      </w:tr>
      <w:tr>
        <w:tc>
          <w:tcPr/>
          <w:p>
            <w:pPr>
              <w:pStyle w:val="TableText"/>
              <w:jc w:val="left"/>
            </w:pPr>
            <w:r>
              <w:t xml:space="preserve">TPU nozzle temperature</w:t>
            </w:r>
          </w:p>
        </w:tc>
        <w:tc>
          <w:tcPr/>
          <w:p>
            <w:pPr>
              <w:pStyle w:val="TableText"/>
              <w:jc w:val="left"/>
            </w:pPr>
            <w:r>
              <w:t xml:space="preserve">-</w:t>
            </w:r>
          </w:p>
        </w:tc>
        <w:tc>
          <w:tcPr/>
          <w:p>
            <w:pPr>
              <w:pStyle w:val="TableText"/>
              <w:jc w:val="center"/>
            </w:pPr>
            <w:r>
              <w:t xml:space="preserve">235-245</w:t>
            </w:r>
          </w:p>
        </w:tc>
        <w:tc>
          <w:tcPr/>
          <w:p>
            <w:pPr>
              <w:pStyle w:val="TableText"/>
              <w:jc w:val="center"/>
            </w:pPr>
            <w:r>
              <w:t xml:space="preserve">°C</w:t>
            </w:r>
          </w:p>
        </w:tc>
        <w:tc>
          <w:tcPr/>
          <w:p>
            <w:pPr>
              <w:pStyle w:val="TableText"/>
              <w:jc w:val="center"/>
            </w:pPr>
            <w:r>
              <w:t xml:space="preserve">batch 3 on</w:t>
            </w:r>
            <w:r>
              <w:rPr>
                <w:vertAlign w:val="superscript"/>
              </w:rPr>
              <w:t xml:space="preserve">a</w:t>
            </w:r>
          </w:p>
        </w:tc>
      </w:tr>
      <w:tr>
        <w:tc>
          <w:tcPr/>
          <w:p>
            <w:pPr>
              <w:pStyle w:val="TableText"/>
              <w:jc w:val="left"/>
            </w:pPr>
            <w:r>
              <w:t xml:space="preserve">TPU volumetric speed</w:t>
            </w:r>
          </w:p>
        </w:tc>
        <w:tc>
          <w:tcPr/>
          <w:p>
            <w:pPr>
              <w:pStyle w:val="TableText"/>
              <w:jc w:val="left"/>
            </w:pPr>
            <w:r>
              <w:t xml:space="preserve">-</w:t>
            </w:r>
          </w:p>
        </w:tc>
        <w:tc>
          <w:tcPr/>
          <w:p>
            <w:pPr>
              <w:pStyle w:val="TableText"/>
              <w:jc w:val="center"/>
            </w:pPr>
            <w:r>
              <w:t xml:space="preserve">2.2-3.6</w:t>
            </w:r>
          </w:p>
        </w:tc>
        <w:tc>
          <w:tcPr/>
          <w:p>
            <w:pPr>
              <w:pStyle w:val="TableText"/>
              <w:jc w:val="center"/>
            </w:pPr>
            <w:r>
              <w:t xml:space="preserve">mm</w:t>
            </w:r>
            <w:r>
              <w:rPr>
                <w:vertAlign w:val="superscript"/>
              </w:rPr>
              <w:t xml:space="preserve">3</w:t>
            </w:r>
            <w:r>
              <w:t xml:space="preserve">/s</w:t>
            </w:r>
          </w:p>
        </w:tc>
        <w:tc>
          <w:tcPr/>
          <w:p>
            <w:pPr>
              <w:pStyle w:val="TableText"/>
              <w:jc w:val="center"/>
            </w:pPr>
            <w:r>
              <w:t xml:space="preserve">batch 3 on</w:t>
            </w:r>
            <w:r>
              <w:rPr>
                <w:vertAlign w:val="superscript"/>
              </w:rPr>
              <w:t xml:space="preserve">a</w:t>
            </w:r>
          </w:p>
        </w:tc>
      </w:tr>
      <w:tr>
        <w:tc>
          <w:tcPr/>
          <w:p>
            <w:pPr>
              <w:pStyle w:val="TableText"/>
              <w:jc w:val="left"/>
            </w:pPr>
            <w:r>
              <w:t xml:space="preserve">Joint diameter (fixed)</w:t>
            </w:r>
          </w:p>
        </w:tc>
        <w:tc>
          <w:tcPr/>
          <w:p>
            <w:pPr>
              <w:pStyle w:val="TableText"/>
              <w:jc w:val="left"/>
            </w:pPr>
            <w:r>
              <w:rPr>
                <w:i/>
                <w:iCs/>
              </w:rPr>
              <w:t xml:space="preserve">d</w:t>
            </w:r>
            <w:r>
              <w:rPr>
                <w:i/>
                <w:iCs/>
                <w:vertAlign w:val="subscript"/>
              </w:rPr>
              <w:t xml:space="preserve">j</w:t>
            </w:r>
          </w:p>
        </w:tc>
        <w:tc>
          <w:tcPr/>
          <w:p>
            <w:pPr>
              <w:pStyle w:val="TableText"/>
              <w:jc w:val="center"/>
            </w:pPr>
            <w:r>
              <w:t xml:space="preserve">7.0</w:t>
            </w:r>
          </w:p>
        </w:tc>
        <w:tc>
          <w:tcPr/>
          <w:p>
            <w:pPr>
              <w:pStyle w:val="TableText"/>
              <w:jc w:val="center"/>
            </w:pPr>
            <w:r>
              <w:t xml:space="preserve">mm</w:t>
            </w:r>
          </w:p>
        </w:tc>
        <w:tc>
          <w:tcPr/>
          <w:p>
            <w:pPr>
              <w:pStyle w:val="TableText"/>
              <w:jc w:val="center"/>
            </w:pPr>
            <w:r>
              <w:t xml:space="preserve">-</w:t>
            </w:r>
          </w:p>
        </w:tc>
      </w:tr>
    </w:tbl>
    <w:bookmarkEnd w:id="27"/>
    <w:p>
      <w:pPr>
        <w:pStyle w:val="TableNote"/>
      </w:pPr>
      <w:r>
        <w:rPr>
          <w:vertAlign w:val="superscript"/>
        </w:rPr>
        <w:t xml:space="preserve">a</w:t>
      </w:r>
      <w:r>
        <w:t xml:space="preserve">One value per print job (a plate</w:t>
      </w:r>
      <w:r>
        <w:t xml:space="preserve"> </w:t>
      </w:r>
      <w:r>
        <w:t xml:space="preserve">carries a single filament configuration), so per-batch rather than</w:t>
      </w:r>
      <w:r>
        <w:t xml:space="preserve"> </w:t>
      </w:r>
      <w:r>
        <w:t xml:space="preserve">per-article.</w:t>
      </w:r>
    </w:p>
    <w:p>
      <w:pPr>
        <w:pStyle w:val="RuninHeading4"/>
      </w:pPr>
      <w:r>
        <w:rPr>
          <w:i/>
          <w:iCs/>
        </w:rPr>
        <w:t xml:space="preserve">As-built resolution of the continuous variables.</w:t>
      </w:r>
      <w:r>
        <w:t xml:space="preserve"> </w:t>
      </w:r>
      <w:r>
        <w:t xml:space="preserve">Although we</w:t>
      </w:r>
      <w:r>
        <w:t xml:space="preserve"> </w:t>
      </w:r>
      <w:r>
        <w:t xml:space="preserve">treat</w:t>
      </w:r>
      <w:r>
        <w:t xml:space="preserve"> </w:t>
      </w:r>
      <w:r>
        <w:rPr>
          <w:i/>
          <w:iCs/>
        </w:rPr>
        <w:t xml:space="preserve">d</w:t>
      </w:r>
      <w:r>
        <w:rPr>
          <w:i/>
          <w:iCs/>
          <w:vertAlign w:val="subscript"/>
        </w:rPr>
        <w:t xml:space="preserve">s</w:t>
      </w:r>
      <w:r>
        <w:t xml:space="preserve"> </w:t>
      </w:r>
      <w:r>
        <w:t xml:space="preserve">and</w:t>
      </w:r>
      <w:r>
        <w:t xml:space="preserve"> </w:t>
      </w:r>
      <w:r>
        <w:rPr>
          <w:i/>
          <w:iCs/>
        </w:rPr>
        <w:t xml:space="preserve">d</w:t>
      </w:r>
      <w:r>
        <w:rPr>
          <w:i/>
          <w:iCs/>
          <w:vertAlign w:val="subscript"/>
        </w:rPr>
        <w:t xml:space="preserve">t</w:t>
      </w:r>
      <w:r>
        <w:t xml:space="preserve"> </w:t>
      </w:r>
      <w:r>
        <w:t xml:space="preserve">as continuous, the nozzle diameter, the slicer</w:t>
      </w:r>
      <w:r>
        <w:t xml:space="preserve"> </w:t>
      </w:r>
      <w:r>
        <w:t xml:space="preserve">line width, and support interaction discretize the as-built</w:t>
      </w:r>
      <w:r>
        <w:t xml:space="preserve"> </w:t>
      </w:r>
      <w:r>
        <w:t xml:space="preserve">cross-sections, so the effective search granularity is coarser than the</w:t>
      </w:r>
      <w:r>
        <w:t xml:space="preserve"> </w:t>
      </w:r>
      <w:r>
        <w:t xml:space="preserve">nominal continuous box. The realized member diameter changes in steps</w:t>
      </w:r>
      <w:r>
        <w:t xml:space="preserve"> </w:t>
      </w:r>
      <w:r>
        <w:t xml:space="preserve">set by the slicer line width, and these steps determine the smallest CAD</w:t>
      </w:r>
      <w:r>
        <w:t xml:space="preserve"> </w:t>
      </w:r>
      <w:r>
        <w:t xml:space="preserve">change that gives a distinguishable as-built member. The 3.0 mm</w:t>
      </w:r>
      <w:r>
        <w:t xml:space="preserve"> </w:t>
      </w:r>
      <w:r>
        <w:t xml:space="preserve">lower bound on the TPU cable diameter is likewise a limit of this</w:t>
      </w:r>
      <w:r>
        <w:t xml:space="preserve"> </w:t>
      </w:r>
      <w:r>
        <w:t xml:space="preserve">workflow. It is the printability minimum described above, set by</w:t>
      </w:r>
      <w:r>
        <w:t xml:space="preserve"> </w:t>
      </w:r>
      <w:r>
        <w:t xml:space="preserve">printing unsupported cables and by the slicer’s auto-support</w:t>
      </w:r>
      <w:r>
        <w:t xml:space="preserve"> </w:t>
      </w:r>
      <w:r>
        <w:t xml:space="preserve">detection on this H2D printer. We weigh every article on a</w:t>
      </w:r>
      <w:r>
        <w:t xml:space="preserve"> </w:t>
      </w:r>
      <w:r>
        <w:t xml:space="preserve">0.01 g scale, and mass is the only as-built quantity measured for</w:t>
      </w:r>
      <w:r>
        <w:t xml:space="preserve"> </w:t>
      </w:r>
      <w:r>
        <w:t xml:space="preserve">every article. We have not yet measured the dimensions of the printed</w:t>
      </w:r>
      <w:r>
        <w:t xml:space="preserve"> </w:t>
      </w:r>
      <w:r>
        <w:t xml:space="preserve">members, so the geometry attached to the surrogate is the commanded</w:t>
      </w:r>
      <w:r>
        <w:t xml:space="preserve"> </w:t>
      </w:r>
      <w:r>
        <w:t xml:space="preserve">post-projection geometry. Two sets of repeated prints bound the</w:t>
      </w:r>
      <w:r>
        <w:t xml:space="preserve"> </w:t>
      </w:r>
      <w:r>
        <w:t xml:space="preserve">fabrication scatter in mass. One seed design printed three times has a</w:t>
      </w:r>
      <w:r>
        <w:t xml:space="preserve"> </w:t>
      </w:r>
      <w:r>
        <w:t xml:space="preserve">mass standard deviation of 0.457 g, the value used in the</w:t>
      </w:r>
      <w:r>
        <w:t xml:space="preserve"> </w:t>
      </w:r>
      <w:r>
        <w:t xml:space="preserve">observation noise model (Section </w:t>
      </w:r>
      <w:hyperlink w:anchor="lbl_sec_methods_bo">
        <w:r>
          <w:rPr>
            <w:rStyle w:val="Hyperlink"/>
          </w:rPr>
          <w:t xml:space="preserve">3.4</w:t>
        </w:r>
      </w:hyperlink>
      <w:r>
        <w:t xml:space="preserve">). The batch-3</w:t>
      </w:r>
      <w:r>
        <w:t xml:space="preserve"> </w:t>
      </w:r>
      <w:r>
        <w:t xml:space="preserve">plate, also printed three times, averaged 19.59, 19.86, and</w:t>
      </w:r>
      <w:r>
        <w:t xml:space="preserve"> </w:t>
      </w:r>
      <w:r>
        <w:t xml:space="preserve">20.07 g per print, so its second and third prints ran</w:t>
      </w:r>
      <w:r>
        <w:t xml:space="preserve"> </w:t>
      </w:r>
      <w:r>
        <w:t xml:space="preserve">0.27 g and 0.48 g heavier article for article. That is a</w:t>
      </w:r>
      <w:r>
        <w:t xml:space="preserve"> </w:t>
      </w:r>
      <w:r>
        <w:t xml:space="preserve">per-print flow offset rather than random scatter.</w:t>
      </w:r>
    </w:p>
    <w:tbl>
      <w:tblPr>
        <w:tblStyle w:val="FigureTable"/>
        <w:tblW w:type="dxa" w:w="9840"/>
        <w:jc w:val="center"/>
        <w:tblLook w:firstRow="0" w:lastRow="0" w:firstColumn="0" w:lastColumn="0"/>
      </w:tblPr>
      <w:tblGrid>
        <w:gridCol w:w="9840"/>
      </w:tblGrid>
      <w:tr>
        <w:tc>
          <w:tcPr/>
          <w:p>
            <w:pPr>
              <w:jc w:val="center"/>
            </w:pPr>
            <w:r>
              <w:drawing>
                <wp:inline>
                  <wp:extent cx="2971800" cy="3962400"/>
                  <wp:effectExtent b="0" l="0" r="0" t="0"/>
                  <wp:docPr descr="image" title="" id="29" name="Picture"/>
                  <a:graphic>
                    <a:graphicData uri="http://schemas.openxmlformats.org/drawingml/2006/picture">
                      <pic:pic>
                        <pic:nvPicPr>
                          <pic:cNvPr descr="/home/runner/work/tensegrity-optimization/tensegrity-optimization/figures/photos/cad-render.png" id="30" name="Picture"/>
                          <pic:cNvPicPr>
                            <a:picLocks noChangeArrowheads="1" noChangeAspect="1"/>
                          </pic:cNvPicPr>
                        </pic:nvPicPr>
                        <pic:blipFill>
                          <a:blip r:embed="rId28"/>
                          <a:stretch>
                            <a:fillRect/>
                          </a:stretch>
                        </pic:blipFill>
                        <pic:spPr bwMode="auto">
                          <a:xfrm>
                            <a:off x="0" y="0"/>
                            <a:ext cx="2971800" cy="3962400"/>
                          </a:xfrm>
                          <a:prstGeom prst="rect">
                            <a:avLst/>
                          </a:prstGeom>
                          <a:noFill/>
                          <a:ln w="9525">
                            <a:noFill/>
                            <a:headEnd/>
                            <a:tailEnd/>
                          </a:ln>
                        </pic:spPr>
                      </pic:pic>
                    </a:graphicData>
                  </a:graphic>
                </wp:inline>
              </w:drawing>
            </w:r>
            <w:r>
              <w:t xml:space="preserve"> </w:t>
            </w:r>
            <w:r>
              <w:drawing>
                <wp:inline>
                  <wp:extent cx="2971800" cy="3543404"/>
                  <wp:effectExtent b="0" l="0" r="0" t="0"/>
                  <wp:docPr descr="image" title="" id="32" name="Picture"/>
                  <a:graphic>
                    <a:graphicData uri="http://schemas.openxmlformats.org/drawingml/2006/picture">
                      <pic:pic>
                        <pic:nvPicPr>
                          <pic:cNvPr descr="/tmp/manuscript-docx-0_dt13k0/fig2b-annotated.png" id="33" name="Picture"/>
                          <pic:cNvPicPr>
                            <a:picLocks noChangeArrowheads="1" noChangeAspect="1"/>
                          </pic:cNvPicPr>
                        </pic:nvPicPr>
                        <pic:blipFill>
                          <a:blip r:embed="rId31"/>
                          <a:stretch>
                            <a:fillRect/>
                          </a:stretch>
                        </pic:blipFill>
                        <pic:spPr bwMode="auto">
                          <a:xfrm>
                            <a:off x="0" y="0"/>
                            <a:ext cx="2971800" cy="3543404"/>
                          </a:xfrm>
                          <a:prstGeom prst="rect">
                            <a:avLst/>
                          </a:prstGeom>
                          <a:noFill/>
                          <a:ln w="9525">
                            <a:noFill/>
                            <a:headEnd/>
                            <a:tailEnd/>
                          </a:ln>
                        </pic:spPr>
                      </pic:pic>
                    </a:graphicData>
                  </a:graphic>
                </wp:inline>
              </w:drawing>
            </w:r>
          </w:p>
        </w:tc>
      </w:tr>
    </w:tbl>
    <w:p>
      <w:pPr>
        <w:pStyle w:val="ImageCaption"/>
      </w:pPr>
      <w:bookmarkStart w:id="90003" w:name="cap_fig2"/>
      <w:r>
        <w:t xml:space="preserve">Fig. 2 Working</w:t>
      </w:r>
      <w:r>
        <w:t xml:space="preserve"> </w:t>
      </w:r>
      <w:r>
        <w:rPr>
          <w:i/>
          <w:iCs/>
        </w:rPr>
        <w:t xml:space="preserve">T</w:t>
      </w:r>
      <w:r>
        <w:rPr>
          <w:vertAlign w:val="subscript"/>
        </w:rPr>
        <w:t xml:space="preserve">3</w:t>
      </w:r>
      <w:r>
        <w:t xml:space="preserve">-prism prototype.</w:t>
      </w:r>
      <w:r>
        <w:t xml:space="preserve"> </w:t>
      </w:r>
      <w:r>
        <w:rPr>
          <w:i/>
          <w:iCs/>
        </w:rPr>
        <w:t xml:space="preserve">(a)</w:t>
      </w:r>
      <w:r>
        <w:t xml:space="preserve"> </w:t>
      </w:r>
      <w:r>
        <w:t xml:space="preserve">Parametric OpenSCAD model</w:t>
      </w:r>
      <w:r>
        <w:t xml:space="preserve"> </w:t>
      </w:r>
      <w:r>
        <w:t xml:space="preserve">whose base radius</w:t>
      </w:r>
      <w:r>
        <w:t xml:space="preserve"> </w:t>
      </w:r>
      <w:r>
        <w:rPr>
          <w:i/>
          <w:iCs/>
        </w:rPr>
        <w:t xml:space="preserve">R</w:t>
      </w:r>
      <w:r>
        <w:t xml:space="preserve">, cell height</w:t>
      </w:r>
      <w:r>
        <w:t xml:space="preserve"> </w:t>
      </w:r>
      <w:r>
        <w:rPr>
          <w:i/>
          <w:iCs/>
        </w:rPr>
        <w:t xml:space="preserve">H</w:t>
      </w:r>
      <w:r>
        <w:t xml:space="preserve">, twist angle</w:t>
      </w:r>
      <w:r>
        <w:t xml:space="preserve"> </w:t>
      </w:r>
      <w:r>
        <w:rPr>
          <w:i/>
          <w:iCs/>
        </w:rPr>
        <w:t xml:space="preserve">θ</w:t>
      </w:r>
      <w:r>
        <w:t xml:space="preserve">, strut diameter</w:t>
      </w:r>
      <w:r>
        <w:t xml:space="preserve"> </w:t>
      </w:r>
      <w:r>
        <w:rPr>
          <w:i/>
          <w:iCs/>
        </w:rPr>
        <w:t xml:space="preserve">d</w:t>
      </w:r>
      <w:r>
        <w:rPr>
          <w:i/>
          <w:iCs/>
          <w:vertAlign w:val="subscript"/>
        </w:rPr>
        <w:t xml:space="preserve">s</w:t>
      </w:r>
      <w:r>
        <w:t xml:space="preserve">, and cable diameter</w:t>
      </w:r>
      <w:r>
        <w:t xml:space="preserve"> </w:t>
      </w:r>
      <w:r>
        <w:rPr>
          <w:i/>
          <w:iCs/>
        </w:rPr>
        <w:t xml:space="preserve">d</w:t>
      </w:r>
      <w:r>
        <w:rPr>
          <w:i/>
          <w:iCs/>
          <w:vertAlign w:val="subscript"/>
        </w:rPr>
        <w:t xml:space="preserve">t</w:t>
      </w:r>
      <w:r>
        <w:t xml:space="preserve"> </w:t>
      </w:r>
      <w:r>
        <w:t xml:space="preserve">are the design variables of</w:t>
      </w:r>
      <w:r>
        <w:t xml:space="preserve"> </w:t>
      </w:r>
      <w:r>
        <w:t xml:space="preserve">Table </w:t>
      </w:r>
      <w:hyperlink w:anchor="lbl_tab_design_vars">
        <w:r>
          <w:rPr>
            <w:rStyle w:val="Hyperlink"/>
          </w:rPr>
          <w:t xml:space="preserve">2</w:t>
        </w:r>
      </w:hyperlink>
      <w:r>
        <w:t xml:space="preserve">.</w:t>
      </w:r>
      <w:r>
        <w:t xml:space="preserve"> </w:t>
      </w:r>
      <w:r>
        <w:rPr>
          <w:i/>
          <w:iCs/>
        </w:rPr>
        <w:t xml:space="preserve">(b)</w:t>
      </w:r>
      <w:r>
        <w:t xml:space="preserve"> </w:t>
      </w:r>
      <w:r>
        <w:t xml:space="preserve">A representative dual-material prototype</w:t>
      </w:r>
      <w:r>
        <w:t xml:space="preserve"> </w:t>
      </w:r>
      <w:r>
        <w:t xml:space="preserve">print (rigid PLA struts in white, tendon members in orange), with</w:t>
      </w:r>
      <w:r>
        <w:t xml:space="preserve"> </w:t>
      </w:r>
      <w:r>
        <w:t xml:space="preserve">callouts marking the strut diameter</w:t>
      </w:r>
      <w:r>
        <w:t xml:space="preserve"> </w:t>
      </w:r>
      <w:r>
        <w:rPr>
          <w:i/>
          <w:iCs/>
        </w:rPr>
        <w:t xml:space="preserve">d</w:t>
      </w:r>
      <w:r>
        <w:rPr>
          <w:i/>
          <w:iCs/>
          <w:vertAlign w:val="subscript"/>
        </w:rPr>
        <w:t xml:space="preserve">s</w:t>
      </w:r>
      <w:r>
        <w:t xml:space="preserve">, a tendon (cable) diameter</w:t>
      </w:r>
      <w:r>
        <w:t xml:space="preserve"> </w:t>
      </w:r>
      <w:r>
        <w:rPr>
          <w:i/>
          <w:iCs/>
        </w:rPr>
        <w:t xml:space="preserve">d</w:t>
      </w:r>
      <w:r>
        <w:rPr>
          <w:i/>
          <w:iCs/>
          <w:vertAlign w:val="subscript"/>
        </w:rPr>
        <w:t xml:space="preserve">t</w:t>
      </w:r>
      <w:r>
        <w:t xml:space="preserve">, and the cell height</w:t>
      </w:r>
      <w:r>
        <w:t xml:space="preserve"> </w:t>
      </w:r>
      <w:r>
        <w:rPr>
          <w:i/>
          <w:iCs/>
        </w:rPr>
        <w:t xml:space="preserve">H</w:t>
      </w:r>
      <w:r>
        <w:t xml:space="preserve">. The twist angle</w:t>
      </w:r>
      <w:r>
        <w:t xml:space="preserve"> </w:t>
      </w:r>
      <w:r>
        <w:rPr>
          <w:i/>
          <w:iCs/>
        </w:rPr>
        <w:t xml:space="preserve">θ</w:t>
      </w:r>
      <w:r>
        <w:t xml:space="preserve"> </w:t>
      </w:r>
      <w:r>
        <w:t xml:space="preserve">is the</w:t>
      </w:r>
      <w:r>
        <w:t xml:space="preserve"> </w:t>
      </w:r>
      <w:r>
        <w:t xml:space="preserve">relative rotation of the top and bottom node triangles, and the base</w:t>
      </w:r>
      <w:r>
        <w:t xml:space="preserve"> </w:t>
      </w:r>
      <w:r>
        <w:t xml:space="preserve">radius</w:t>
      </w:r>
      <w:r>
        <w:t xml:space="preserve"> </w:t>
      </w:r>
      <w:r>
        <w:rPr>
          <w:i/>
          <w:iCs/>
        </w:rPr>
        <w:t xml:space="preserve">R</w:t>
      </w:r>
      <w:r>
        <w:t xml:space="preserve"> </w:t>
      </w:r>
      <w:r>
        <w:t xml:space="preserve">sets their circumradius. The photograph’s wooden</w:t>
      </w:r>
      <w:r>
        <w:t xml:space="preserve"> </w:t>
      </w:r>
      <w:r>
        <w:t xml:space="preserve">background was digitally replaced with a plain light backdrop. The</w:t>
      </w:r>
      <w:r>
        <w:t xml:space="preserve"> </w:t>
      </w:r>
      <w:r>
        <w:t xml:space="preserve">specimen itself is unedited.</w:t>
      </w:r>
      <w:bookmarkEnd w:id="90003"/>
    </w:p>
    <w:bookmarkStart w:id="34" w:name="lbl_sec_methods_fabrication"/>
    <w:p>
      <w:pPr>
        <w:pStyle w:val="RuninHeading2"/>
      </w:pPr>
      <w:r>
        <w:rPr>
          <w:b/>
          <w:bCs/>
        </w:rPr>
        <w:t xml:space="preserve">3.2 Multi-Material Fabrication.</w:t>
      </w:r>
      <w:r>
        <w:t xml:space="preserve"> </w:t>
      </w:r>
      <w:r>
        <w:t xml:space="preserve">We fabricate specimens on a multi-material FDM printer using PLA for</w:t>
      </w:r>
      <w:r>
        <w:t xml:space="preserve"> </w:t>
      </w:r>
      <w:r>
        <w:t xml:space="preserve">the rigid struts and TPU for the soft tension elements.</w:t>
      </w:r>
      <w:r>
        <w:t xml:space="preserve"> </w:t>
      </w:r>
      <w:r>
        <w:t xml:space="preserve">Figure </w:t>
      </w:r>
      <w:hyperlink w:anchor="lbl_fig_fab_workflow">
        <w:r>
          <w:rPr>
            <w:rStyle w:val="Hyperlink"/>
          </w:rPr>
          <w:t xml:space="preserve">3</w:t>
        </w:r>
      </w:hyperlink>
      <w:r>
        <w:t xml:space="preserve"> </w:t>
      </w:r>
      <w:r>
        <w:t xml:space="preserve">summarizes the fabrication and</w:t>
      </w:r>
      <w:r>
        <w:t xml:space="preserve"> </w:t>
      </w:r>
      <w:r>
        <w:t xml:space="preserve">characterization workflow, from parametric CAD through multi-material</w:t>
      </w:r>
      <w:r>
        <w:t xml:space="preserve"> </w:t>
      </w:r>
      <w:r>
        <w:t xml:space="preserve">slicing, dual-extrusion printing, post-processing, and mechanical</w:t>
      </w:r>
      <w:r>
        <w:t xml:space="preserve"> </w:t>
      </w:r>
      <w:r>
        <w:t xml:space="preserve">testing. Rather than wrapping the struts in a continuous TPU skin, we anchor</w:t>
      </w:r>
      <w:r>
        <w:t xml:space="preserve"> </w:t>
      </w:r>
      <w:r>
        <w:t xml:space="preserve">the TPU tension elements</w:t>
      </w:r>
      <w:r>
        <w:t xml:space="preserve"> </w:t>
      </w:r>
      <w:r>
        <w:rPr>
          <w:i/>
          <w:iCs/>
        </w:rPr>
        <w:t xml:space="preserve">inside</w:t>
      </w:r>
      <w:r>
        <w:t xml:space="preserve"> </w:t>
      </w:r>
      <w:r>
        <w:t xml:space="preserve">the ends of each PLA strut. The</w:t>
      </w:r>
      <w:r>
        <w:t xml:space="preserve"> </w:t>
      </w:r>
      <w:r>
        <w:t xml:space="preserve">cables converging at a given strut end are joined within the strut,</w:t>
      </w:r>
      <w:r>
        <w:t xml:space="preserve"> </w:t>
      </w:r>
      <w:r>
        <w:t xml:space="preserve">which acts as a rigid cage housing the junction, and the individual</w:t>
      </w:r>
      <w:r>
        <w:t xml:space="preserve"> </w:t>
      </w:r>
      <w:r>
        <w:t xml:space="preserve">tendons then exit through discrete outlets. This keeps the soft-rigid</w:t>
      </w:r>
      <w:r>
        <w:t xml:space="preserve"> </w:t>
      </w:r>
      <w:r>
        <w:t xml:space="preserve">interface in internal, compression-dominated pockets rather than at an</w:t>
      </w:r>
      <w:r>
        <w:t xml:space="preserve"> </w:t>
      </w:r>
      <w:r>
        <w:t xml:space="preserve">exposed overmolded surface. This construction inverts the material roles</w:t>
      </w:r>
      <w:r>
        <w:t xml:space="preserve"> </w:t>
      </w:r>
      <w:r>
        <w:t xml:space="preserve">of the wrapping strategy of Ye et al. [</w:t>
      </w:r>
      <w:hyperlink w:anchor="bib12">
        <w:r>
          <w:rPr>
            <w:rStyle w:val="Hyperlink"/>
          </w:rPr>
          <w:t xml:space="preserve">12</w:t>
        </w:r>
      </w:hyperlink>
      <w:r>
        <w:t xml:space="preserve">], in which</w:t>
      </w:r>
      <w:r>
        <w:t xml:space="preserve"> </w:t>
      </w:r>
      <w:r>
        <w:t xml:space="preserve">a soft skin covers a rigid core. Here a rigid PLA shell captures a soft TPU</w:t>
      </w:r>
      <w:r>
        <w:t xml:space="preserve"> </w:t>
      </w:r>
      <w:r>
        <w:t xml:space="preserve">core, so that work is a precedent for multi-material co-printing but does</w:t>
      </w:r>
      <w:r>
        <w:t xml:space="preserve"> </w:t>
      </w:r>
      <w:r>
        <w:t xml:space="preserve">not validate the present junction.</w:t>
      </w:r>
    </w:p>
    <w:bookmarkEnd w:id="34"/>
    <w:p>
      <w:pPr>
        <w:pStyle w:val="RuninHeading4"/>
      </w:pPr>
      <w:r>
        <w:rPr>
          <w:i/>
          <w:iCs/>
        </w:rPr>
        <w:t xml:space="preserve">Print platform and joint geometry.</w:t>
      </w:r>
      <w:r>
        <w:t xml:space="preserve"> </w:t>
      </w:r>
      <w:r>
        <w:t xml:space="preserve">The working platform is</w:t>
      </w:r>
      <w:r>
        <w:t xml:space="preserve"> </w:t>
      </w:r>
      <w:r>
        <w:t xml:space="preserve">a Bambu Lab H2D printer, which permits a single rigid-soft build</w:t>
      </w:r>
      <w:r>
        <w:t xml:space="preserve"> </w:t>
      </w:r>
      <w:r>
        <w:t xml:space="preserve">without filament swaps. Strut endpoints are tied to cables through</w:t>
      </w:r>
      <w:r>
        <w:t xml:space="preserve"> </w:t>
      </w:r>
      <w:r>
        <w:t xml:space="preserve">parametric joint geometries developed and ranked in a five-design</w:t>
      </w:r>
      <w:r>
        <w:t xml:space="preserve"> </w:t>
      </w:r>
      <w:r>
        <w:t xml:space="preserve">OpenSCAD study (anchor-bulb, dovetail, TPU-sleeve overmold,</w:t>
      </w:r>
      <w:r>
        <w:t xml:space="preserve"> </w:t>
      </w:r>
      <w:r>
        <w:t xml:space="preserve">eyelet-loop, and TPU-rebar variants). The working prototype uses a</w:t>
      </w:r>
      <w:r>
        <w:t xml:space="preserve"> </w:t>
      </w:r>
      <w:r>
        <w:t xml:space="preserve">dovetail joint (Design B) with an anchor-bulb backup (Design A) for</w:t>
      </w:r>
      <w:r>
        <w:t xml:space="preserve"> </w:t>
      </w:r>
      <w:r>
        <w:t xml:space="preserve">sensitivity studies. A captive TPU core is routed inside the PLA</w:t>
      </w:r>
      <w:r>
        <w:t xml:space="preserve"> </w:t>
      </w:r>
      <w:r>
        <w:t xml:space="preserve">shell to keep the soft tendon protected from layer-line failure at</w:t>
      </w:r>
      <w:r>
        <w:t xml:space="preserve"> </w:t>
      </w:r>
      <w:r>
        <w:t xml:space="preserve">the strut-to-cable transition. The full five-design comparison and the</w:t>
      </w:r>
      <w:r>
        <w:t xml:space="preserve"> </w:t>
      </w:r>
      <w:r>
        <w:t xml:space="preserve">selected junction are detailed in the Supplementary Information.</w:t>
      </w:r>
    </w:p>
    <w:p>
      <w:pPr>
        <w:pStyle w:val="RuninHeading4"/>
      </w:pPr>
      <w:r>
        <w:rPr>
          <w:i/>
          <w:iCs/>
        </w:rPr>
        <w:t xml:space="preserve">Supports for soft members.</w:t>
      </w:r>
      <w:r>
        <w:t xml:space="preserve"> </w:t>
      </w:r>
      <w:r>
        <w:t xml:space="preserve">Because near-vertical TPU</w:t>
      </w:r>
      <w:r>
        <w:t xml:space="preserve"> </w:t>
      </w:r>
      <w:r>
        <w:t xml:space="preserve">tendons are otherwise unsupported during printing, we disable automatic</w:t>
      </w:r>
      <w:r>
        <w:t xml:space="preserve"> </w:t>
      </w:r>
      <w:r>
        <w:t xml:space="preserve">support generation and paint supports manually in the</w:t>
      </w:r>
      <w:r>
        <w:t xml:space="preserve"> </w:t>
      </w:r>
      <w:r>
        <w:t xml:space="preserve">slicer. PLA edge supports run along each tendon, with the</w:t>
      </w:r>
      <w:r>
        <w:t xml:space="preserve"> </w:t>
      </w:r>
      <w:r>
        <w:t xml:space="preserve">support-to-object clearance tightened from 0.35 mm to</w:t>
      </w:r>
      <w:r>
        <w:t xml:space="preserve"> </w:t>
      </w:r>
      <w:r>
        <w:t xml:space="preserve">0.2 mm during tuning on the reference prism. Support removal left</w:t>
      </w:r>
      <w:r>
        <w:t xml:space="preserve"> </w:t>
      </w:r>
      <w:r>
        <w:t xml:space="preserve">two recurring defects in the seed batch, both logged per article in</w:t>
      </w:r>
      <w:r>
        <w:t xml:space="preserve"> </w:t>
      </w:r>
      <w:r>
        <w:t xml:space="preserve">the print key (Supplementary Information). One is surface stringing.</w:t>
      </w:r>
      <w:r>
        <w:t xml:space="preserve"> </w:t>
      </w:r>
      <w:r>
        <w:t xml:space="preserve">The other, on two articles, is an unfused TPU strand that came away</w:t>
      </w:r>
      <w:r>
        <w:t xml:space="preserve"> </w:t>
      </w:r>
      <w:r>
        <w:t xml:space="preserve">from a bottom tendon during support removal. We developed an automated</w:t>
      </w:r>
      <w:r>
        <w:t xml:space="preserve"> </w:t>
      </w:r>
      <w:r>
        <w:t xml:space="preserve">alternative (a lowered support-threshold angle plus mesh-ray-cast</w:t>
      </w:r>
      <w:r>
        <w:t xml:space="preserve"> </w:t>
      </w:r>
      <w:r>
        <w:t xml:space="preserve">narrowing pillars) in parallel and document it in the Supplementary</w:t>
      </w:r>
      <w:r>
        <w:t xml:space="preserve"> </w:t>
      </w:r>
      <w:r>
        <w:t xml:space="preserve">Information.</w:t>
      </w:r>
    </w:p>
    <w:p>
      <w:pPr>
        <w:pStyle w:val="RuninHeading4"/>
      </w:pPr>
      <w:r>
        <w:rPr>
          <w:i/>
          <w:iCs/>
        </w:rPr>
        <w:t xml:space="preserve">Moisture and nozzle management.</w:t>
      </w:r>
      <w:r>
        <w:t xml:space="preserve"> </w:t>
      </w:r>
      <w:r>
        <w:t xml:space="preserve">TPU is hygroscopic, so we</w:t>
      </w:r>
      <w:r>
        <w:t xml:space="preserve"> </w:t>
      </w:r>
      <w:r>
        <w:t xml:space="preserve">feed the soft filament from a heated dry box held near 8 %</w:t>
      </w:r>
      <w:r>
        <w:t xml:space="preserve"> </w:t>
      </w:r>
      <w:r>
        <w:t xml:space="preserve">relative humidity, logged per print. Midway through the seed batch the</w:t>
      </w:r>
      <w:r>
        <w:t xml:space="preserve"> </w:t>
      </w:r>
      <w:r>
        <w:t xml:space="preserve">TPU extruder developed a progressive drop in flow (a partial clog,</w:t>
      </w:r>
      <w:r>
        <w:t xml:space="preserve"> </w:t>
      </w:r>
      <w:r>
        <w:t xml:space="preserve">compounded by a stray PLA fragment found inside the extruder). We</w:t>
      </w:r>
      <w:r>
        <w:t xml:space="preserve"> </w:t>
      </w:r>
      <w:r>
        <w:t xml:space="preserve">resolved it by performing a cold pull and moving the TPU to a dedicated</w:t>
      </w:r>
      <w:r>
        <w:t xml:space="preserve"> </w:t>
      </w:r>
      <w:r>
        <w:t xml:space="preserve">high-flow 0.6 mm nozzle, after which print quality was restored.</w:t>
      </w:r>
      <w:r>
        <w:t xml:space="preserve"> </w:t>
      </w:r>
      <w:r>
        <w:t xml:space="preserve">We identify the affected and post-fix articles in the print key so</w:t>
      </w:r>
      <w:r>
        <w:t xml:space="preserve"> </w:t>
      </w:r>
      <w:r>
        <w:t xml:space="preserve">that any nozzle-related covariate can be checked against the measured</w:t>
      </w:r>
      <w:r>
        <w:t xml:space="preserve"> </w:t>
      </w:r>
      <w:r>
        <w:t xml:space="preserve">objectives.</w:t>
      </w:r>
    </w:p>
    <w:bookmarkStart w:id="35" w:name="lbl_tab_print_params"/>
    <w:p>
      <w:pPr>
        <w:pStyle w:val="TableCaption"/>
      </w:pPr>
      <w:bookmarkStart w:id="90004" w:name="cap_tab3"/>
      <w:r>
        <w:t xml:space="preserve">Table 3 Multi-material print parameters on the Bambu Lab H2D,</w:t>
      </w:r>
      <w:r>
        <w:t xml:space="preserve"> </w:t>
      </w:r>
      <w:r>
        <w:t xml:space="preserve">transcribed from the archived as-printed Bambu Studio project</w:t>
      </w:r>
      <w:r>
        <w:t xml:space="preserve"> </w:t>
      </w:r>
      <w:r>
        <w:t xml:space="preserve">(</w:t>
      </w:r>
      <w:r>
        <w:rPr>
          <w:rStyle w:val="VerbatimChar"/>
        </w:rPr>
        <w:t xml:space="preserve">t3-prism-bo-batch.H2D-MM-PLAstruts-TPUcables.as-printed.3mf</w:t>
      </w:r>
      <w:r>
        <w:t xml:space="preserve">,</w:t>
      </w:r>
      <w:r>
        <w:t xml:space="preserve"> </w:t>
      </w:r>
      <w:r>
        <w:t xml:space="preserve">Bambu Studio 2.7.1). Filaments are Bambu Lab PLA Basic (struts,</w:t>
      </w:r>
      <w:r>
        <w:t xml:space="preserve"> </w:t>
      </w:r>
      <w:r>
        <w:t xml:space="preserve">support material) and Bambu Lab TPU 85A (tendons). The print</w:t>
      </w:r>
      <w:r>
        <w:t xml:space="preserve"> </w:t>
      </w:r>
      <w:r>
        <w:t xml:space="preserve">profile is</w:t>
      </w:r>
      <w:r>
        <w:t xml:space="preserve"> </w:t>
      </w:r>
      <w:r>
        <w:t xml:space="preserve">“</w:t>
      </w:r>
      <w:r>
        <w:t xml:space="preserve">0.30 mm Standard @BBL H2D 0.6 nozzle.</w:t>
      </w:r>
      <w:r>
        <w:t xml:space="preserve">”</w:t>
      </w:r>
      <w:r>
        <w:t xml:space="preserve"> </w:t>
      </w:r>
      <w:r>
        <w:t xml:space="preserve">The</w:t>
      </w:r>
      <w:r>
        <w:t xml:space="preserve"> </w:t>
      </w:r>
      <w:r>
        <w:t xml:space="preserve">reporting structure follows the methods section of Ye</w:t>
      </w:r>
      <w:r>
        <w:t xml:space="preserve"> </w:t>
      </w:r>
      <w:r>
        <w:t xml:space="preserve">et al. [</w:t>
      </w:r>
      <w:hyperlink w:anchor="bib12">
        <w:r>
          <w:rPr>
            <w:rStyle w:val="Hyperlink"/>
          </w:rPr>
          <w:t xml:space="preserve">12</w:t>
        </w:r>
      </w:hyperlink>
      <w:r>
        <w:t xml:space="preserve">].</w:t>
      </w:r>
      <w:bookmarkEnd w:id="90004"/>
    </w:p>
    <w:tbl>
      <w:tblPr>
        <w:tblStyle w:val="Table"/>
        <w:tblW w:type="dxa" w:w="6094"/>
        <w:jc w:val="start"/>
        <w:tblLayout w:type="fixed"/>
        <w:tblLook w:firstRow="1" w:lastRow="0" w:firstColumn="0" w:lastColumn="0" w:noHBand="0" w:noVBand="0" w:val="0020"/>
        <w:tblCaption w:val="Table 3 Multi-material print parameters on the Bambu Lab H2D, transcribed from the archived as-printed Bambu Studio project (t3-prism-bo-batch.H2D-MM-PLAstruts-TPUcables.as-printed.3mf, Bambu Studio 2.7.1). Filaments are Bambu Lab PLA Basic (struts, support material) and Bambu Lab TPU 85A (tendons). The print profile is “0.30 mm Standard @BBL H2D 0.6 nozzle.” The reporting structure follows the methods section of Ye et al. [12]."/>
      </w:tblPr>
      <w:tblGrid>
        <w:gridCol w:w="2742"/>
        <w:gridCol w:w="1594"/>
        <w:gridCol w:w="1758"/>
      </w:tblGrid>
      <w:tr>
        <w:trPr>
          <w:tblHeader w:val="true"/>
        </w:trPr>
        <w:tc>
          <w:tcPr/>
          <w:p>
            <w:pPr>
              <w:pStyle w:val="TableText"/>
              <w:jc w:val="left"/>
            </w:pPr>
            <w:r>
              <w:t xml:space="preserve">Parameter</w:t>
            </w:r>
          </w:p>
        </w:tc>
        <w:tc>
          <w:tcPr/>
          <w:p>
            <w:pPr>
              <w:pStyle w:val="TableText"/>
              <w:jc w:val="center"/>
            </w:pPr>
            <w:r>
              <w:t xml:space="preserve">PLA (struts)</w:t>
            </w:r>
          </w:p>
        </w:tc>
        <w:tc>
          <w:tcPr/>
          <w:p>
            <w:pPr>
              <w:pStyle w:val="TableText"/>
              <w:jc w:val="center"/>
            </w:pPr>
            <w:r>
              <w:t xml:space="preserve">TPU 85A (tendons)</w:t>
            </w:r>
          </w:p>
        </w:tc>
      </w:tr>
      <w:tr>
        <w:tc>
          <w:tcPr/>
          <w:p>
            <w:pPr>
              <w:pStyle w:val="TableText"/>
              <w:jc w:val="left"/>
            </w:pPr>
            <w:r>
              <w:t xml:space="preserve">Nozzle</w:t>
            </w:r>
          </w:p>
        </w:tc>
        <w:tc>
          <w:tcPr/>
          <w:p>
            <w:pPr>
              <w:pStyle w:val="TableText"/>
              <w:jc w:val="center"/>
            </w:pPr>
            <w:r>
              <w:t xml:space="preserve">0.6 mm</w:t>
            </w:r>
          </w:p>
        </w:tc>
        <w:tc>
          <w:tcPr/>
          <w:p>
            <w:pPr>
              <w:pStyle w:val="TableText"/>
              <w:jc w:val="center"/>
            </w:pPr>
            <w:r>
              <w:t xml:space="preserve">0.4 then 0.6 mm HF</w:t>
            </w:r>
            <w:r>
              <w:rPr>
                <w:vertAlign w:val="superscript"/>
              </w:rPr>
              <w:t xml:space="preserve">a</w:t>
            </w:r>
          </w:p>
        </w:tc>
      </w:tr>
      <w:tr>
        <w:tc>
          <w:tcPr/>
          <w:p>
            <w:pPr>
              <w:pStyle w:val="TableText"/>
              <w:jc w:val="left"/>
            </w:pPr>
            <w:r>
              <w:t xml:space="preserve">Nozzle temperature (C)</w:t>
            </w:r>
          </w:p>
        </w:tc>
        <w:tc>
          <w:tcPr/>
          <w:p>
            <w:pPr>
              <w:pStyle w:val="TableText"/>
              <w:jc w:val="center"/>
            </w:pPr>
            <w:r>
              <w:t xml:space="preserve">220</w:t>
            </w:r>
          </w:p>
        </w:tc>
        <w:tc>
          <w:tcPr/>
          <w:p>
            <w:pPr>
              <w:pStyle w:val="TableText"/>
              <w:jc w:val="center"/>
            </w:pPr>
            <w:r>
              <w:t xml:space="preserve">220</w:t>
            </w:r>
          </w:p>
        </w:tc>
      </w:tr>
      <w:tr>
        <w:tc>
          <w:tcPr/>
          <w:p>
            <w:pPr>
              <w:pStyle w:val="TableText"/>
              <w:jc w:val="left"/>
            </w:pPr>
            <w:r>
              <w:t xml:space="preserve">Bed temperature, profile (C)</w:t>
            </w:r>
          </w:p>
        </w:tc>
        <w:tc>
          <w:tcPr/>
          <w:p>
            <w:pPr>
              <w:pStyle w:val="TableText"/>
              <w:jc w:val="center"/>
            </w:pPr>
            <w:r>
              <w:t xml:space="preserve">55</w:t>
            </w:r>
          </w:p>
        </w:tc>
        <w:tc>
          <w:tcPr/>
          <w:p>
            <w:pPr>
              <w:pStyle w:val="TableText"/>
              <w:jc w:val="center"/>
            </w:pPr>
            <w:r>
              <w:t xml:space="preserve">35</w:t>
            </w:r>
          </w:p>
        </w:tc>
      </w:tr>
      <w:tr>
        <w:tc>
          <w:tcPr/>
          <w:p>
            <w:pPr>
              <w:pStyle w:val="TableText"/>
              <w:jc w:val="left"/>
            </w:pPr>
            <w:r>
              <w:t xml:space="preserve">Layer height / line width (mm)</w:t>
            </w:r>
          </w:p>
        </w:tc>
        <w:tc>
          <w:tcPr>
            <w:gridSpan w:val="2"/>
          </w:tcPr>
          <w:p>
            <w:pPr>
              <w:pStyle w:val="TableText"/>
              <w:jc w:val="center"/>
            </w:pPr>
            <w:r>
              <w:t xml:space="preserve">0.30 / 0.62</w:t>
            </w:r>
          </w:p>
        </w:tc>
      </w:tr>
      <w:tr>
        <w:tc>
          <w:tcPr/>
          <w:p>
            <w:pPr>
              <w:pStyle w:val="TableText"/>
              <w:jc w:val="left"/>
            </w:pPr>
            <w:r>
              <w:t xml:space="preserve">Infill</w:t>
            </w:r>
          </w:p>
        </w:tc>
        <w:tc>
          <w:tcPr/>
          <w:p>
            <w:pPr>
              <w:pStyle w:val="TableText"/>
              <w:jc w:val="center"/>
            </w:pPr>
            <w:r>
              <w:t xml:space="preserve">15% grid, 2 walls</w:t>
            </w:r>
          </w:p>
        </w:tc>
        <w:tc>
          <w:tcPr/>
          <w:p>
            <w:pPr>
              <w:pStyle w:val="TableText"/>
              <w:jc w:val="center"/>
            </w:pPr>
            <w:r>
              <w:t xml:space="preserve">near-solid</w:t>
            </w:r>
          </w:p>
        </w:tc>
      </w:tr>
      <w:tr>
        <w:tc>
          <w:tcPr/>
          <w:p>
            <w:pPr>
              <w:pStyle w:val="TableText"/>
              <w:jc w:val="left"/>
            </w:pPr>
            <w:r>
              <w:t xml:space="preserve">Outer / inner wall speed (mm/s)</w:t>
            </w:r>
          </w:p>
        </w:tc>
        <w:tc>
          <w:tcPr>
            <w:gridSpan w:val="2"/>
          </w:tcPr>
          <w:p>
            <w:pPr>
              <w:pStyle w:val="TableText"/>
              <w:jc w:val="center"/>
            </w:pPr>
            <w:r>
              <w:t xml:space="preserve">200 / 300 (profile)</w:t>
            </w:r>
          </w:p>
        </w:tc>
      </w:tr>
      <w:tr>
        <w:tc>
          <w:tcPr/>
          <w:p>
            <w:pPr>
              <w:pStyle w:val="TableText"/>
              <w:jc w:val="left"/>
            </w:pPr>
            <w:r>
              <w:t xml:space="preserve">Filament drying</w:t>
            </w:r>
          </w:p>
        </w:tc>
        <w:tc>
          <w:tcPr/>
          <w:p>
            <w:pPr>
              <w:pStyle w:val="TableText"/>
              <w:jc w:val="center"/>
            </w:pPr>
            <w:r>
              <w:t xml:space="preserve">n/a</w:t>
            </w:r>
          </w:p>
        </w:tc>
        <w:tc>
          <w:tcPr/>
          <w:p>
            <w:pPr>
              <w:pStyle w:val="TableText"/>
              <w:jc w:val="center"/>
            </w:pPr>
            <w:r>
              <w:t xml:space="preserve">dry box, ∼8% RH</w:t>
            </w:r>
          </w:p>
        </w:tc>
      </w:tr>
      <w:tr>
        <w:tc>
          <w:tcPr/>
          <w:p>
            <w:pPr>
              <w:pStyle w:val="TableText"/>
              <w:jc w:val="left"/>
            </w:pPr>
            <w:r>
              <w:t xml:space="preserve">Build-plate type</w:t>
            </w:r>
          </w:p>
        </w:tc>
        <w:tc>
          <w:tcPr>
            <w:gridSpan w:val="2"/>
          </w:tcPr>
          <w:p>
            <w:pPr>
              <w:pStyle w:val="TableText"/>
              <w:jc w:val="center"/>
            </w:pPr>
            <w:r>
              <w:t xml:space="preserve">Textured PEI</w:t>
            </w:r>
          </w:p>
        </w:tc>
      </w:tr>
      <w:tr>
        <w:tc>
          <w:tcPr/>
          <w:p>
            <w:pPr>
              <w:pStyle w:val="TableText"/>
              <w:jc w:val="left"/>
            </w:pPr>
            <w:r>
              <w:t xml:space="preserve">Build orientation</w:t>
            </w:r>
          </w:p>
        </w:tc>
        <w:tc>
          <w:tcPr>
            <w:gridSpan w:val="2"/>
          </w:tcPr>
          <w:p>
            <w:pPr>
              <w:pStyle w:val="TableText"/>
              <w:jc w:val="center"/>
            </w:pPr>
            <w:r>
              <w:t xml:space="preserve">Upright (Fig. </w:t>
            </w:r>
            <w:hyperlink w:anchor="lbl_fig_fab_workflow">
              <w:r>
                <w:rPr>
                  <w:rStyle w:val="Hyperlink"/>
                </w:rPr>
                <w:t xml:space="preserve">3</w:t>
              </w:r>
            </w:hyperlink>
            <w:r>
              <w:t xml:space="preserve">)</w:t>
            </w:r>
          </w:p>
        </w:tc>
      </w:tr>
      <w:tr>
        <w:tc>
          <w:tcPr/>
          <w:p>
            <w:pPr>
              <w:pStyle w:val="TableText"/>
              <w:jc w:val="left"/>
            </w:pPr>
            <w:r>
              <w:t xml:space="preserve">Supports</w:t>
            </w:r>
          </w:p>
        </w:tc>
        <w:tc>
          <w:tcPr>
            <w:gridSpan w:val="2"/>
          </w:tcPr>
          <w:p>
            <w:pPr>
              <w:pStyle w:val="TableText"/>
              <w:jc w:val="center"/>
            </w:pPr>
            <w:r>
              <w:t xml:space="preserve">Manual painted tree supports, PLA</w:t>
            </w:r>
          </w:p>
        </w:tc>
      </w:tr>
    </w:tbl>
    <w:bookmarkEnd w:id="35"/>
    <w:p>
      <w:pPr>
        <w:pStyle w:val="TableNote"/>
      </w:pPr>
      <w:r>
        <w:rPr>
          <w:vertAlign w:val="superscript"/>
        </w:rPr>
        <w:t xml:space="preserve">a</w:t>
      </w:r>
      <w:r>
        <w:t xml:space="preserve">The TPU side ran a standard</w:t>
      </w:r>
      <w:r>
        <w:t xml:space="preserve"> </w:t>
      </w:r>
      <w:r>
        <w:t xml:space="preserve">0.4 mm nozzle until the mid-batch clog, then a dedicated</w:t>
      </w:r>
      <w:r>
        <w:t xml:space="preserve"> </w:t>
      </w:r>
      <w:r>
        <w:t xml:space="preserve">high-flow (HF) 0.6 mm nozzle. Affected articles are flagged in</w:t>
      </w:r>
      <w:r>
        <w:t xml:space="preserve"> </w:t>
      </w:r>
      <w:r>
        <w:t xml:space="preserve">the print key.</w:t>
      </w:r>
    </w:p>
    <w:p>
      <w:pPr>
        <w:pStyle w:val="SectionBreak"/>
        <w:sectPr>
          <w:type w:val="continuous"/>
          <w:pgSz w:w="12240" w:h="16197"/>
          <w:pgMar w:left="1200" w:right="1200" w:top="920" w:bottom="1320" w:header="500" w:footer="820"/>
          <w:lnNumType w:countBy="1" w:distance="80" w:restart="continuous"/>
          <w:cols w:num="2" w:space="480"/>
        </w:sectPr>
      </w:pPr>
    </w:p>
    <w:p>
      <w:pPr>
        <w:pStyle w:val="CaptionedFigure"/>
      </w:pPr>
      <w:r>
        <w:drawing>
          <wp:inline>
            <wp:extent cx="5334000" cy="2911954"/>
            <wp:effectExtent b="0" l="0" r="0" t="0"/>
            <wp:docPr descr="" title="" id="37" name="Picture"/>
            <a:graphic>
              <a:graphicData uri="http://schemas.openxmlformats.org/drawingml/2006/picture">
                <pic:pic>
                  <pic:nvPicPr>
                    <pic:cNvPr descr="/tmp/manuscript-docx-0_dt13k0/fab-workflow.png" id="38" name="Picture"/>
                    <pic:cNvPicPr>
                      <a:picLocks noChangeArrowheads="1" noChangeAspect="1"/>
                    </pic:cNvPicPr>
                  </pic:nvPicPr>
                  <pic:blipFill>
                    <a:blip r:embed="rId36"/>
                    <a:stretch>
                      <a:fillRect/>
                    </a:stretch>
                  </pic:blipFill>
                  <pic:spPr bwMode="auto">
                    <a:xfrm>
                      <a:off x="0" y="0"/>
                      <a:ext cx="5334000" cy="2911954"/>
                    </a:xfrm>
                    <a:prstGeom prst="rect">
                      <a:avLst/>
                    </a:prstGeom>
                    <a:noFill/>
                    <a:ln w="9525">
                      <a:noFill/>
                      <a:headEnd/>
                      <a:tailEnd/>
                    </a:ln>
                  </pic:spPr>
                </pic:pic>
              </a:graphicData>
            </a:graphic>
          </wp:inline>
        </w:drawing>
      </w:r>
    </w:p>
    <w:p>
      <w:pPr>
        <w:pStyle w:val="ImageCaption"/>
      </w:pPr>
      <w:bookmarkStart w:id="90005" w:name="cap_fig3"/>
      <w:r>
        <w:t xml:space="preserve">Fig. 3 Fabrication and characterization workflow for the multi-material</w:t>
      </w:r>
      <w:r>
        <w:t xml:space="preserve"> </w:t>
      </w:r>
      <w:r>
        <w:t xml:space="preserve">tensegrity-inspired unit cells. The steps are parametric CAD from the</w:t>
      </w:r>
      <w:r>
        <w:t xml:space="preserve"> </w:t>
      </w:r>
      <w:r>
        <w:t xml:space="preserve">design parameters, slicing with manually painted supports along the TPU</w:t>
      </w:r>
      <w:r>
        <w:t xml:space="preserve"> </w:t>
      </w:r>
      <w:r>
        <w:t xml:space="preserve">tendons, a single multi-material print on the Bambu Lab H2D,</w:t>
      </w:r>
      <w:r>
        <w:t xml:space="preserve"> </w:t>
      </w:r>
      <w:r>
        <w:t xml:space="preserve">post-processing and inspection, and mechanical testing. Node photographs are representative examples</w:t>
      </w:r>
      <w:r>
        <w:t xml:space="preserve"> </w:t>
      </w:r>
      <w:r>
        <w:t xml:space="preserve">from the project’s build history. They show the OpenSCAD</w:t>
      </w:r>
      <w:r>
        <w:t xml:space="preserve"> </w:t>
      </w:r>
      <w:r>
        <w:rPr>
          <w:i/>
          <w:iCs/>
        </w:rPr>
        <w:t xml:space="preserve">T</w:t>
      </w:r>
      <w:r>
        <w:rPr>
          <w:vertAlign w:val="subscript"/>
        </w:rPr>
        <w:t xml:space="preserve">3</w:t>
      </w:r>
      <w:r>
        <w:t xml:space="preserve">-prism render</w:t>
      </w:r>
      <w:r>
        <w:t xml:space="preserve"> </w:t>
      </w:r>
      <w:r>
        <w:t xml:space="preserve">(CAD), the dual-nozzle Bambu Studio slice with PLA on the left extruder</w:t>
      </w:r>
      <w:r>
        <w:t xml:space="preserve"> </w:t>
      </w:r>
      <w:r>
        <w:t xml:space="preserve">and TPU on the right (slicing), an in-progress H2D print of the prism</w:t>
      </w:r>
      <w:r>
        <w:t xml:space="preserve"> </w:t>
      </w:r>
      <w:r>
        <w:t xml:space="preserve">batch (FDM), an as-printed specimen (post-processing), and the</w:t>
      </w:r>
      <w:r>
        <w:t xml:space="preserve"> </w:t>
      </w:r>
      <w:r>
        <w:t xml:space="preserve">bungee-assisted drop-tower base plate with accelerometer (testing).</w:t>
      </w:r>
      <w:bookmarkEnd w:id="90005"/>
    </w:p>
    <w:p>
      <w:pPr>
        <w:pStyle w:val="SectionBreak"/>
        <w:sectPr>
          <w:type w:val="continuous"/>
          <w:pgSz w:w="12240" w:h="16197"/>
          <w:pgMar w:left="1200" w:right="1200" w:top="920" w:bottom="1320" w:header="500" w:footer="820"/>
          <w:cols w:space="480"/>
        </w:sectPr>
      </w:pPr>
    </w:p>
    <w:bookmarkStart w:id="45" w:name="lbl_sec_methods_testing"/>
    <w:p>
      <w:pPr>
        <w:pStyle w:val="Heading2"/>
      </w:pPr>
      <w:r>
        <w:t xml:space="preserve">3.3 Experimental Characterization.</w:t>
      </w:r>
    </w:p>
    <w:p>
      <w:pPr>
        <w:pStyle w:val="RuninHeading4"/>
      </w:pPr>
      <w:r>
        <w:rPr>
          <w:i/>
          <w:iCs/>
        </w:rPr>
        <w:t xml:space="preserve">Drop-tower fixture.</w:t>
      </w:r>
      <w:r>
        <w:t xml:space="preserve"> </w:t>
      </w:r>
      <w:r>
        <w:t xml:space="preserve">We characterize the specimens primarily</w:t>
      </w:r>
      <w:r>
        <w:t xml:space="preserve"> </w:t>
      </w:r>
      <w:r>
        <w:t xml:space="preserve">by repeated drop-weight impact on a Lansmont Model 23 shock test system.</w:t>
      </w:r>
      <w:r>
        <w:t xml:space="preserve"> </w:t>
      </w:r>
      <w:r>
        <w:t xml:space="preserve">The printed specimen rides upright on the carriage plate, which is</w:t>
      </w:r>
      <w:r>
        <w:t xml:space="preserve"> </w:t>
      </w:r>
      <w:r>
        <w:t xml:space="preserve">raised 60 in (1.524 m) along guide rails and released. The</w:t>
      </w:r>
      <w:r>
        <w:t xml:space="preserve"> </w:t>
      </w:r>
      <w:r>
        <w:t xml:space="preserve">plate lands on a single 0.5 in Shore 60 OO polyurethane cushioning</w:t>
      </w:r>
      <w:r>
        <w:t xml:space="preserve"> </w:t>
      </w:r>
      <w:r>
        <w:t xml:space="preserve">sheet, which shapes the landing into a single sharp base pulse of</w:t>
      </w:r>
      <w:r>
        <w:t xml:space="preserve"> </w:t>
      </w:r>
      <w:r>
        <w:t xml:space="preserve">roughly 1.6 ms duration. We selected this impact surface in a</w:t>
      </w:r>
      <w:r>
        <w:t xml:space="preserve"> </w:t>
      </w:r>
      <w:r>
        <w:t xml:space="preserve">blinded crossover experiment over three candidate mat arrangements.</w:t>
      </w:r>
      <w:r>
        <w:t xml:space="preserve"> </w:t>
      </w:r>
      <w:r>
        <w:t xml:space="preserve">Unlike a felt stack, it does not measurably compact over hundred-drop</w:t>
      </w:r>
      <w:r>
        <w:t xml:space="preserve"> </w:t>
      </w:r>
      <w:r>
        <w:t xml:space="preserve">sessions. We monitor rig health continuously through the impact</w:t>
      </w:r>
      <w:r>
        <w:t xml:space="preserve"> </w:t>
      </w:r>
      <w:r>
        <w:t xml:space="preserve">velocity change Δ</w:t>
      </w:r>
      <w:r>
        <w:rPr>
          <w:i/>
          <w:iCs/>
        </w:rPr>
        <w:t xml:space="preserve">v</w:t>
      </w:r>
      <w:r>
        <w:t xml:space="preserve"> </w:t>
      </w:r>
      <w:r>
        <w:t xml:space="preserve">recovered from the base accelerometer. Over</w:t>
      </w:r>
      <w:r>
        <w:t xml:space="preserve"> </w:t>
      </w:r>
      <w:r>
        <w:t xml:space="preserve">an uninterrupted 100-drop characterization session, the Δ</w:t>
      </w:r>
      <w:r>
        <w:rPr>
          <w:i/>
          <w:iCs/>
        </w:rPr>
        <w:t xml:space="preserve">v</w:t>
      </w:r>
      <w:r>
        <w:t xml:space="preserve"> </w:t>
      </w:r>
      <w:r>
        <w:t xml:space="preserve">coefficient of variation was 0.54% with no drift. We check every</w:t>
      </w:r>
      <w:r>
        <w:t xml:space="preserve"> </w:t>
      </w:r>
      <w:r>
        <w:t xml:space="preserve">campaign session against the healthy tower baseline. Details,</w:t>
      </w:r>
      <w:r>
        <w:t xml:space="preserve"> </w:t>
      </w:r>
      <w:r>
        <w:t xml:space="preserve">including the within-session mat warm-up and recovery pattern, are in</w:t>
      </w:r>
      <w:r>
        <w:t xml:space="preserve"> </w:t>
      </w:r>
      <w:r>
        <w:t xml:space="preserve">the Supplementary Information. One drop takes roughly</w:t>
      </w:r>
      <w:r>
        <w:t xml:space="preserve"> </w:t>
      </w:r>
      <w:r>
        <w:t xml:space="preserve">42 s, so a seed-batch characterization completes in about</w:t>
      </w:r>
      <w:r>
        <w:t xml:space="preserve"> </w:t>
      </w:r>
      <w:r>
        <w:t xml:space="preserve">ninety minutes per article and a later-batch session in about</w:t>
      </w:r>
      <w:r>
        <w:t xml:space="preserve"> </w:t>
      </w:r>
      <w:r>
        <w:t xml:space="preserve">fifteen.</w:t>
      </w:r>
    </w:p>
    <w:p>
      <w:pPr>
        <w:pStyle w:val="RuninHeading4"/>
      </w:pPr>
      <w:r>
        <w:rPr>
          <w:i/>
          <w:iCs/>
        </w:rPr>
        <w:t xml:space="preserve">Instrumentation and signal processing.</w:t>
      </w:r>
      <w:r>
        <w:t xml:space="preserve"> </w:t>
      </w:r>
      <w:r>
        <w:t xml:space="preserve">A single-axis</w:t>
      </w:r>
      <w:r>
        <w:t xml:space="preserve"> </w:t>
      </w:r>
      <w:r>
        <w:t xml:space="preserve">piezoelectric accelerometer on the carriage plate records the base</w:t>
      </w:r>
      <w:r>
        <w:t xml:space="preserve"> </w:t>
      </w:r>
      <w:r>
        <w:t xml:space="preserve">input and triggers the acquisition. A triaxial accelerometer (Dytran</w:t>
      </w:r>
      <w:r>
        <w:t xml:space="preserve"> </w:t>
      </w:r>
      <w:r>
        <w:t xml:space="preserve">3133A4) seated in a printed pocket at the specimen’s top vertex records</w:t>
      </w:r>
      <w:r>
        <w:t xml:space="preserve"> </w:t>
      </w:r>
      <w:r>
        <w:t xml:space="preserve">the transmitted response. We cross-calibrated the two base-capable</w:t>
      </w:r>
      <w:r>
        <w:t xml:space="preserve"> </w:t>
      </w:r>
      <w:r>
        <w:t xml:space="preserve">channels in place over fifteen co-located drops (ratio</w:t>
      </w:r>
      <w:r>
        <w:t xml:space="preserve"> </w:t>
      </w:r>
      <w:r>
        <w:t xml:space="preserve">0.953 ± 0.001 at matched filtering) and archived the transducer</w:t>
      </w:r>
      <w:r>
        <w:t xml:space="preserve"> </w:t>
      </w:r>
      <w:r>
        <w:t xml:space="preserve">settings with the data. Signals are captured at</w:t>
      </w:r>
      <w:r>
        <w:t xml:space="preserve"> </w:t>
      </w:r>
      <w:r>
        <w:t xml:space="preserve">1.25 MHz over a 100 ms record with a 2 ms</w:t>
      </w:r>
      <w:r>
        <w:t xml:space="preserve"> </w:t>
      </w:r>
      <w:r>
        <w:t xml:space="preserve">pre-trigger. We low-pass filter all channels with the SAE J211/1</w:t>
      </w:r>
      <w:r>
        <w:t xml:space="preserve"> </w:t>
      </w:r>
      <w:r>
        <w:t xml:space="preserve">channel-frequency-class (CFC) filters [</w:t>
      </w:r>
      <w:hyperlink w:anchor="bib19">
        <w:r>
          <w:rPr>
            <w:rStyle w:val="Hyperlink"/>
          </w:rPr>
          <w:t xml:space="preserve">19</w:t>
        </w:r>
      </w:hyperlink>
      <w:r>
        <w:t xml:space="preserve">], implemented from</w:t>
      </w:r>
      <w:r>
        <w:t xml:space="preserve"> </w:t>
      </w:r>
      <w:r>
        <w:t xml:space="preserve">the standard’s published coefficients with the two-pass corner</w:t>
      </w:r>
      <w:r>
        <w:t xml:space="preserve"> </w:t>
      </w:r>
      <w:r>
        <w:t xml:space="preserve">frequency handled explicitly. A common implementation shortcut narrows</w:t>
      </w:r>
      <w:r>
        <w:t xml:space="preserve"> </w:t>
      </w:r>
      <w:r>
        <w:t xml:space="preserve">the passband by roughly 20%, which we identified and corrected before</w:t>
      </w:r>
      <w:r>
        <w:t xml:space="preserve"> </w:t>
      </w:r>
      <w:r>
        <w:t xml:space="preserve">the campaign. All reported numbers use the corrected filter. CFC-180</w:t>
      </w:r>
      <w:r>
        <w:t xml:space="preserve"> </w:t>
      </w:r>
      <w:r>
        <w:t xml:space="preserve">is the reporting class for peak metrics, with CFC-1000 retained as a</w:t>
      </w:r>
      <w:r>
        <w:t xml:space="preserve"> </w:t>
      </w:r>
      <w:r>
        <w:t xml:space="preserve">higher-bandwidth diagnostic.</w:t>
      </w:r>
    </w:p>
    <w:p>
      <w:pPr>
        <w:pStyle w:val="RuninHeading4"/>
      </w:pPr>
      <w:r>
        <w:rPr>
          <w:i/>
          <w:iCs/>
        </w:rPr>
        <w:t xml:space="preserve">Per-article objectives and session protocol.</w:t>
      </w:r>
      <w:r>
        <w:t xml:space="preserve"> </w:t>
      </w:r>
      <w:r>
        <w:t xml:space="preserve">Session</w:t>
      </w:r>
      <w:r>
        <w:t xml:space="preserve"> </w:t>
      </w:r>
      <w:r>
        <w:t xml:space="preserve">length changed as our understanding of the measurement noise improved,</w:t>
      </w:r>
      <w:r>
        <w:t xml:space="preserve"> </w:t>
      </w:r>
      <w:r>
        <w:t xml:space="preserve">so the drop counts differ by batch. Seed</w:t>
      </w:r>
      <w:r>
        <w:t xml:space="preserve"> </w:t>
      </w:r>
      <w:r>
        <w:t xml:space="preserve">sessions recorded 103 drops per article and contribute 101 stabilized</w:t>
      </w:r>
      <w:r>
        <w:t xml:space="preserve"> </w:t>
      </w:r>
      <w:r>
        <w:t xml:space="preserve">captures each (103 for one article, autv5r) after we discard the first</w:t>
      </w:r>
      <w:r>
        <w:t xml:space="preserve"> </w:t>
      </w:r>
      <w:r>
        <w:t xml:space="preserve">two drops of each session as seating warm-up. A pre-campaign</w:t>
      </w:r>
      <w:r>
        <w:t xml:space="preserve"> </w:t>
      </w:r>
      <w:r>
        <w:t xml:space="preserve">variance study on the commissioning datasets put the statistical</w:t>
      </w:r>
      <w:r>
        <w:t xml:space="preserve"> </w:t>
      </w:r>
      <w:r>
        <w:t xml:space="preserve">minimum at five stabilized drops after two warm-ups. The seed</w:t>
      </w:r>
      <w:r>
        <w:t xml:space="preserve"> </w:t>
      </w:r>
      <w:r>
        <w:t xml:space="preserve">sessions confirmed that the stabilized mean is insensitive to session</w:t>
      </w:r>
      <w:r>
        <w:t xml:space="preserve"> </w:t>
      </w:r>
      <w:r>
        <w:t xml:space="preserve">length. Their within-session per-drop CVs were 0.17 to 0.48%, with</w:t>
      </w:r>
      <w:r>
        <w:t xml:space="preserve"> </w:t>
      </w:r>
      <w:r>
        <w:t xml:space="preserve">flat post-warm-up trends. A replay of the seed sessions truncated to</w:t>
      </w:r>
      <w:r>
        <w:t xml:space="preserve"> </w:t>
      </w:r>
      <w:r>
        <w:t xml:space="preserve">twenty drops leaves the transmissibility ranking of all eight tested</w:t>
      </w:r>
      <w:r>
        <w:t xml:space="preserve"> </w:t>
      </w:r>
      <w:r>
        <w:t xml:space="preserve">articles unchanged. The worst-case mean shift is +0.008 against</w:t>
      </w:r>
      <w:r>
        <w:t xml:space="preserve"> </w:t>
      </w:r>
      <w:r>
        <w:t xml:space="preserve">design-to-design gaps of 0.007 to 0.087, and the per-drop standard</w:t>
      </w:r>
      <w:r>
        <w:t xml:space="preserve"> </w:t>
      </w:r>
      <w:r>
        <w:t xml:space="preserve">error is still an order of magnitude below those gaps. We therefore</w:t>
      </w:r>
      <w:r>
        <w:t xml:space="preserve"> </w:t>
      </w:r>
      <w:r>
        <w:t xml:space="preserve">shortened later sessions to about twenty drops per article. The</w:t>
      </w:r>
      <w:r>
        <w:t xml:space="preserve"> </w:t>
      </w:r>
      <w:r>
        <w:t xml:space="preserve">archived record lists 21 to 22 valid captures per batch-2 article</w:t>
      </w:r>
      <w:r>
        <w:t xml:space="preserve"> </w:t>
      </w:r>
      <w:r>
        <w:t xml:space="preserve">and 20 recorded drops per article in batches 3 and 4, against 101</w:t>
      </w:r>
      <w:r>
        <w:t xml:space="preserve"> </w:t>
      </w:r>
      <w:r>
        <w:t xml:space="preserve">valid captures per seed article. As before, we discard the two warm-up</w:t>
      </w:r>
      <w:r>
        <w:t xml:space="preserve"> </w:t>
      </w:r>
      <w:r>
        <w:t xml:space="preserve">drops of every session. Exact per-session counts are in the</w:t>
      </w:r>
      <w:r>
        <w:t xml:space="preserve"> </w:t>
      </w:r>
      <w:r>
        <w:t xml:space="preserve">archived per-drop records. Shortening the sessions cuts tower time</w:t>
      </w:r>
      <w:r>
        <w:t xml:space="preserve"> </w:t>
      </w:r>
      <w:r>
        <w:t xml:space="preserve">per article from about ninety minutes to about fifteen while</w:t>
      </w:r>
      <w:r>
        <w:t xml:space="preserve"> </w:t>
      </w:r>
      <w:r>
        <w:t xml:space="preserve">retaining roughly four times the minimum stabilized-drop budget. A</w:t>
      </w:r>
      <w:r>
        <w:t xml:space="preserve"> </w:t>
      </w:r>
      <w:r>
        <w:t xml:space="preserve">shorter session enters the surrogate with a proportionally larger standard</w:t>
      </w:r>
      <w:r>
        <w:t xml:space="preserve"> </w:t>
      </w:r>
      <w:r>
        <w:t xml:space="preserve">error, which the model downweights. The three prints of batch 3</w:t>
      </w:r>
      <w:r>
        <w:t xml:space="preserve"> </w:t>
      </w:r>
      <w:r>
        <w:t xml:space="preserve">(Section </w:t>
      </w:r>
      <w:hyperlink w:anchor="lbl_sec_results_batches">
        <w:r>
          <w:rPr>
            <w:rStyle w:val="Hyperlink"/>
          </w:rPr>
          <w:t xml:space="preserve">4.2</w:t>
        </w:r>
      </w:hyperlink>
      <w:r>
        <w:t xml:space="preserve">) later showed that seating and</w:t>
      </w:r>
      <w:r>
        <w:t xml:space="preserve"> </w:t>
      </w:r>
      <w:r>
        <w:t xml:space="preserve">print-to-print variation limit what one session can claim far more</w:t>
      </w:r>
      <w:r>
        <w:t xml:space="preserve"> </w:t>
      </w:r>
      <w:r>
        <w:t xml:space="preserve">than session length does, so we spend the freed tower time on</w:t>
      </w:r>
      <w:r>
        <w:t xml:space="preserve"> </w:t>
      </w:r>
      <w:r>
        <w:t xml:space="preserve">re-seats. Each</w:t>
      </w:r>
      <w:r>
        <w:t xml:space="preserve"> </w:t>
      </w:r>
      <w:r>
        <w:t xml:space="preserve">session yields two objectives, each reported as a stabilized mean</w:t>
      </w:r>
      <w:r>
        <w:t xml:space="preserve"> </w:t>
      </w:r>
      <w:r>
        <w:t xml:space="preserve">with the per-drop scatter quoted as one standard deviation, and the</w:t>
      </w:r>
      <w:r>
        <w:t xml:space="preserve"> </w:t>
      </w:r>
      <w:r>
        <w:t xml:space="preserve">standard error of the mean enters the surrogate’s noise model</w:t>
      </w:r>
      <w:r>
        <w:t xml:space="preserve"> </w:t>
      </w:r>
      <w:r>
        <w:t xml:space="preserve">(Section </w:t>
      </w:r>
      <w:hyperlink w:anchor="lbl_sec_methods_bo">
        <w:r>
          <w:rPr>
            <w:rStyle w:val="Hyperlink"/>
          </w:rPr>
          <w:t xml:space="preserve">3.4</w:t>
        </w:r>
      </w:hyperlink>
      <w:r>
        <w:t xml:space="preserve">):</w:t>
      </w:r>
    </w:p>
    <w:bookmarkStart w:id="39" w:name="lbl_eq_objectives"/>
    <w:tbl>
      <w:tblPr>
        <w:tblW w:w="468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118"/>
        <w:gridCol w:w="562"/>
      </w:tblGrid>
      <w:tr>
        <w:tc>
          <w:tcPr>
            <w:tcW w:w="4118" w:type="dxa"/>
            <w:vAlign w:val="center"/>
          </w:tcPr>
          <w:p>
            <w:pPr>
              <w:pStyle w:val="EquationCell"/>
              <w:jc w:val="center"/>
            </w:pPr>
            <m:oMathPara>
              <m:oMathParaPr>
                <m:jc m:val="center"/>
              </m:oMathParaPr>
              <m:oMath>
                <m:m>
                  <m:mPr>
                    <m:baseJc m:val="center"/>
                    <m:plcHide m:val="on"/>
                    <m:mcs>
                      <m:mc>
                        <m:mcPr>
                          <m:mcJc m:val="right"/>
                          <m:count m:val="1"/>
                        </m:mcPr>
                      </m:mc>
                      <m:mc>
                        <m:mcPr>
                          <m:mcJc m:val="left"/>
                          <m:count m:val="1"/>
                        </m:mcPr>
                      </m:mc>
                    </m:mcs>
                  </m:mPr>
                  <m:mr>
                    <m:e>
                      <m:sSub>
                        <m:e>
                          <m:r>
                            <m:t>t</m:t>
                          </m:r>
                        </m:e>
                        <m:sub>
                          <m:r>
                            <m:t>180</m:t>
                          </m:r>
                        </m:sub>
                      </m:sSub>
                    </m:e>
                    <m:e>
                      <m:r>
                        <m:rPr>
                          <m:sty m:val="p"/>
                        </m:rPr>
                        <m:t>=</m:t>
                      </m:r>
                      <m:f>
                        <m:fPr>
                          <m:type m:val="bar"/>
                        </m:fPr>
                        <m:num>
                          <m:limLow>
                            <m:e>
                              <m:r>
                                <m:rPr>
                                  <m:sty m:val="p"/>
                                </m:rPr>
                                <m:t>max</m:t>
                              </m:r>
                            </m:e>
                            <m:lim>
                              <m:r>
                                <m:t>t</m:t>
                              </m:r>
                            </m:lim>
                          </m:limLow>
                          <m:r>
                            <m:rPr>
                              <m:sty m:val="p"/>
                            </m:rPr>
                            <m:t>∥</m:t>
                          </m:r>
                          <m:sSub>
                            <m:e>
                              <m:r>
                                <m:rPr>
                                  <m:sty m:val="b"/>
                                </m:rPr>
                                <m:t>a</m:t>
                              </m:r>
                            </m:e>
                            <m:sub>
                              <m:r>
                                <m:rPr>
                                  <m:sty m:val="p"/>
                                </m:rPr>
                                <m:t>t</m:t>
                              </m:r>
                              <m:r>
                                <m:rPr>
                                  <m:sty m:val="p"/>
                                </m:rPr>
                                <m:t>o</m:t>
                              </m:r>
                              <m:r>
                                <m:rPr>
                                  <m:sty m:val="p"/>
                                </m:rPr>
                                <m:t>p</m:t>
                              </m:r>
                            </m:sub>
                          </m:sSub>
                          <m:d>
                            <m:dPr>
                              <m:begChr m:val="("/>
                              <m:endChr m:val=")"/>
                              <m:sepChr m:val=""/>
                              <m:grow/>
                            </m:dPr>
                            <m:e>
                              <m:r>
                                <m:t>t</m:t>
                              </m:r>
                            </m:e>
                          </m:d>
                          <m:sSub>
                            <m:e>
                              <m:r>
                                <m:rPr>
                                  <m:sty m:val="p"/>
                                </m:rPr>
                                <m:t>∥</m:t>
                              </m:r>
                            </m:e>
                            <m:sub>
                              <m:r>
                                <m:rPr>
                                  <m:sty m:val="p"/>
                                </m:rPr>
                                <m:t>C</m:t>
                              </m:r>
                              <m:r>
                                <m:rPr>
                                  <m:sty m:val="p"/>
                                </m:rPr>
                                <m:t>F</m:t>
                              </m:r>
                              <m:r>
                                <m:rPr>
                                  <m:sty m:val="p"/>
                                </m:rPr>
                                <m:t>C</m:t>
                              </m:r>
                              <m:r>
                                <m:rPr>
                                  <m:sty m:val="p"/>
                                </m:rPr>
                                <m:t>180</m:t>
                              </m:r>
                            </m:sub>
                          </m:sSub>
                        </m:num>
                        <m:den>
                          <m:limLow>
                            <m:e>
                              <m:r>
                                <m:rPr>
                                  <m:sty m:val="p"/>
                                </m:rPr>
                                <m:t>max</m:t>
                              </m:r>
                            </m:e>
                            <m:lim>
                              <m:r>
                                <m:t>t</m:t>
                              </m:r>
                            </m:lim>
                          </m:limLow>
                          <m:sSub>
                            <m:e>
                              <m:d>
                                <m:dPr>
                                  <m:begChr m:val="|"/>
                                  <m:endChr m:val="|"/>
                                  <m:sepChr m:val=""/>
                                  <m:grow/>
                                </m:dPr>
                                <m:e>
                                  <m:sSub>
                                    <m:e>
                                      <m:r>
                                        <m:t>a</m:t>
                                      </m:r>
                                    </m:e>
                                    <m:sub>
                                      <m:r>
                                        <m:rPr>
                                          <m:sty m:val="p"/>
                                        </m:rPr>
                                        <m:t>b</m:t>
                                      </m:r>
                                      <m:r>
                                        <m:rPr>
                                          <m:sty m:val="p"/>
                                        </m:rPr>
                                        <m:t>a</m:t>
                                      </m:r>
                                      <m:r>
                                        <m:rPr>
                                          <m:sty m:val="p"/>
                                        </m:rPr>
                                        <m:t>s</m:t>
                                      </m:r>
                                      <m:r>
                                        <m:rPr>
                                          <m:sty m:val="p"/>
                                        </m:rPr>
                                        <m:t>e</m:t>
                                      </m:r>
                                    </m:sub>
                                  </m:sSub>
                                  <m:d>
                                    <m:dPr>
                                      <m:begChr m:val="("/>
                                      <m:endChr m:val=")"/>
                                      <m:sepChr m:val=""/>
                                      <m:grow/>
                                    </m:dPr>
                                    <m:e>
                                      <m:r>
                                        <m:t>t</m:t>
                                      </m:r>
                                    </m:e>
                                  </m:d>
                                </m:e>
                              </m:d>
                            </m:e>
                            <m:sub>
                              <m:r>
                                <m:rPr>
                                  <m:sty m:val="p"/>
                                </m:rPr>
                                <m:t>C</m:t>
                              </m:r>
                              <m:r>
                                <m:rPr>
                                  <m:sty m:val="p"/>
                                </m:rPr>
                                <m:t>F</m:t>
                              </m:r>
                              <m:r>
                                <m:rPr>
                                  <m:sty m:val="p"/>
                                </m:rPr>
                                <m:t>C</m:t>
                              </m:r>
                              <m:r>
                                <m:rPr>
                                  <m:sty m:val="p"/>
                                </m:rPr>
                                <m:t>180</m:t>
                              </m:r>
                            </m:sub>
                          </m:sSub>
                        </m:den>
                      </m:f>
                      <m:r>
                        <m:rPr>
                          <m:sty m:val="p"/>
                        </m:rPr>
                        <m:t>,</m:t>
                      </m:r>
                    </m:e>
                  </m:mr>
                  <m:mr>
                    <m:e>
                      <m:r>
                        <m:rPr>
                          <m:sty m:val="p"/>
                        </m:rPr>
                        <m:t>V</m:t>
                      </m:r>
                      <m:r>
                        <m:rPr>
                          <m:sty m:val="p"/>
                        </m:rPr>
                        <m:t>L</m:t>
                      </m:r>
                      <m:r>
                        <m:rPr>
                          <m:sty m:val="p"/>
                        </m:rPr>
                        <m:t>I</m:t>
                      </m:r>
                    </m:e>
                    <m:e>
                      <m:r>
                        <m:rPr>
                          <m:sty m:val="p"/>
                        </m:rPr>
                        <m:t>=</m:t>
                      </m:r>
                      <m:r>
                        <m:t>1</m:t>
                      </m:r>
                      <m:r>
                        <m:rPr>
                          <m:sty m:val="p"/>
                        </m:rPr>
                        <m:t>−</m:t>
                      </m:r>
                      <m:sSub>
                        <m:e>
                          <m:r>
                            <m:t>e</m:t>
                          </m:r>
                        </m:e>
                        <m:sub>
                          <m:r>
                            <m:rPr>
                              <m:sty m:val="p"/>
                            </m:rPr>
                            <m:t>r</m:t>
                          </m:r>
                          <m:r>
                            <m:rPr>
                              <m:sty m:val="p"/>
                            </m:rPr>
                            <m:t>e</m:t>
                          </m:r>
                          <m:r>
                            <m:rPr>
                              <m:sty m:val="p"/>
                            </m:rPr>
                            <m:t>b</m:t>
                          </m:r>
                        </m:sub>
                      </m:sSub>
                      <m:r>
                        <m:rPr>
                          <m:sty m:val="p"/>
                        </m:rPr>
                        <m:t>,</m:t>
                      </m:r>
                      <m:r>
                        <m:t>  </m:t>
                      </m:r>
                      <m:sSub>
                        <m:e>
                          <m:r>
                            <m:t>e</m:t>
                          </m:r>
                        </m:e>
                        <m:sub>
                          <m:r>
                            <m:rPr>
                              <m:sty m:val="p"/>
                            </m:rPr>
                            <m:t>r</m:t>
                          </m:r>
                          <m:r>
                            <m:rPr>
                              <m:sty m:val="p"/>
                            </m:rPr>
                            <m:t>e</m:t>
                          </m:r>
                          <m:r>
                            <m:rPr>
                              <m:sty m:val="p"/>
                            </m:rPr>
                            <m:t>b</m:t>
                          </m:r>
                        </m:sub>
                      </m:sSub>
                      <m:r>
                        <m:rPr>
                          <m:sty m:val="p"/>
                        </m:rPr>
                        <m:t>=</m:t>
                      </m:r>
                      <m:f>
                        <m:fPr>
                          <m:type m:val="bar"/>
                        </m:fPr>
                        <m:num>
                          <m:r>
                            <m:t>g</m:t>
                          </m:r>
                          <m:sSub>
                            <m:e>
                              <m:r>
                                <m:t>t</m:t>
                              </m:r>
                            </m:e>
                            <m:sub>
                              <m:r>
                                <m:rPr>
                                  <m:sty m:val="p"/>
                                </m:rPr>
                                <m:t>s</m:t>
                              </m:r>
                              <m:r>
                                <m:rPr>
                                  <m:sty m:val="p"/>
                                </m:rPr>
                                <m:t>e</m:t>
                              </m:r>
                              <m:r>
                                <m:rPr>
                                  <m:sty m:val="p"/>
                                </m:rPr>
                                <m:t>c</m:t>
                              </m:r>
                              <m:r>
                                <m:rPr>
                                  <m:sty m:val="p"/>
                                </m:rPr>
                                <m:t>o</m:t>
                              </m:r>
                              <m:r>
                                <m:rPr>
                                  <m:sty m:val="p"/>
                                </m:rPr>
                                <m:t>n</m:t>
                              </m:r>
                              <m:r>
                                <m:rPr>
                                  <m:sty m:val="p"/>
                                </m:rPr>
                                <m:t>d</m:t>
                              </m:r>
                            </m:sub>
                          </m:sSub>
                        </m:num>
                        <m:den>
                          <m:r>
                            <m:t>2</m:t>
                          </m:r>
                          <m:r>
                            <m:t>Δ</m:t>
                          </m:r>
                          <m:r>
                            <m:t>v</m:t>
                          </m:r>
                        </m:den>
                      </m:f>
                      <m:r>
                        <m:rPr>
                          <m:sty m:val="p"/>
                        </m:rPr>
                        <m:t>,</m:t>
                      </m:r>
                    </m:e>
                  </m:mr>
                  <m:mr>
                    <m:e>
                      <m:sSub>
                        <m:e>
                          <m:r>
                            <m:t>E</m:t>
                          </m:r>
                        </m:e>
                        <m:sub>
                          <m:r>
                            <m:rPr>
                              <m:sty m:val="p"/>
                            </m:rPr>
                            <m:t>r</m:t>
                          </m:r>
                          <m:r>
                            <m:rPr>
                              <m:sty m:val="p"/>
                            </m:rPr>
                            <m:t>e</m:t>
                          </m:r>
                          <m:r>
                            <m:rPr>
                              <m:sty m:val="p"/>
                            </m:rPr>
                            <m:t>b</m:t>
                          </m:r>
                        </m:sub>
                      </m:sSub>
                    </m:e>
                    <m:e>
                      <m:r>
                        <m:rPr>
                          <m:sty m:val="p"/>
                        </m:rPr>
                        <m:t>=</m:t>
                      </m:r>
                      <m:d>
                        <m:dPr>
                          <m:begChr m:val="("/>
                          <m:endChr m:val=")"/>
                          <m:sepChr m:val=""/>
                          <m:grow/>
                        </m:dPr>
                        <m:e>
                          <m:r>
                            <m:t>1</m:t>
                          </m:r>
                          <m:r>
                            <m:rPr>
                              <m:sty m:val="p"/>
                            </m:rPr>
                            <m:t>−</m:t>
                          </m:r>
                          <m:r>
                            <m:rPr>
                              <m:sty m:val="p"/>
                            </m:rPr>
                            <m:t>V</m:t>
                          </m:r>
                          <m:r>
                            <m:rPr>
                              <m:sty m:val="p"/>
                            </m:rPr>
                            <m:t>L</m:t>
                          </m:r>
                          <m:r>
                            <m:rPr>
                              <m:sty m:val="p"/>
                            </m:rPr>
                            <m:t>I</m:t>
                          </m:r>
                        </m:e>
                      </m:d>
                      <m:r>
                        <m:t>m</m:t>
                      </m:r>
                      <m:r>
                        <m:t>g</m:t>
                      </m:r>
                      <m:r>
                        <m:t>h</m:t>
                      </m:r>
                      <m:r>
                        <m:rPr>
                          <m:sty m:val="p"/>
                        </m:rPr>
                        <m:t>,</m:t>
                      </m:r>
                    </m:e>
                  </m:mr>
                </m:m>
              </m:oMath>
            </m:oMathPara>
          </w:p>
        </w:tc>
        <w:tc>
          <w:tcPr>
            <w:tcW w:w="562" w:type="dxa"/>
            <w:vAlign w:val="center"/>
          </w:tcPr>
          <w:p>
            <w:pPr>
              <w:pStyle w:val="EquationCell"/>
              <w:jc w:val="right"/>
            </w:pPr>
            <w:r>
              <w:t xml:space="preserve">(1)</w:t>
            </w:r>
          </w:p>
        </w:tc>
      </w:tr>
    </w:tbl>
    <w:bookmarkEnd w:id="39"/>
    <w:p>
      <w:pPr>
        <w:pStyle w:val="BodyTextContinued"/>
        <w:spacing w:line="200" w:lineRule="atLeast"/>
      </w:pPr>
      <w:r>
        <w:t xml:space="preserve">where</w:t>
      </w:r>
      <w:r>
        <w:t xml:space="preserve"> </w:t>
      </w:r>
      <w:r>
        <w:rPr>
          <w:i/>
          <w:iCs/>
        </w:rPr>
        <w:t xml:space="preserve">t</w:t>
      </w:r>
      <w:r>
        <w:rPr>
          <w:vertAlign w:val="subscript"/>
        </w:rPr>
        <w:t xml:space="preserve">180</w:t>
      </w:r>
      <w:r>
        <w:t xml:space="preserve"> </w:t>
      </w:r>
      <w:r>
        <w:t xml:space="preserve">is the CFC-180 filtered peak-acceleration ratio,</w:t>
      </w:r>
      <w:r>
        <w:t xml:space="preserve"> </w:t>
      </w:r>
      <w:r>
        <w:t xml:space="preserve">which we call the</w:t>
      </w:r>
      <w:r>
        <w:t xml:space="preserve"> </w:t>
      </w:r>
      <w:r>
        <w:rPr>
          <w:i/>
          <w:iCs/>
        </w:rPr>
        <w:t xml:space="preserve">transmissibility</w:t>
      </w:r>
      <w:r>
        <w:t xml:space="preserve"> </w:t>
      </w:r>
      <w:r>
        <w:t xml:space="preserve">throughout. It is the peak magnitude</w:t>
      </w:r>
      <w:r>
        <w:t xml:space="preserve"> </w:t>
      </w:r>
      <w:r>
        <w:t xml:space="preserve">of the triaxial top-vertex response over the peak base input within the</w:t>
      </w:r>
      <w:r>
        <w:t xml:space="preserve"> </w:t>
      </w:r>
      <w:r>
        <w:t xml:space="preserve">impact window. We use the term in the shock-testing sense that is</w:t>
      </w:r>
      <w:r>
        <w:t xml:space="preserve"> </w:t>
      </w:r>
      <w:r>
        <w:t xml:space="preserve">standard for cushioning and packaging drop tests, a ratio of filtered</w:t>
      </w:r>
      <w:r>
        <w:t xml:space="preserve"> </w:t>
      </w:r>
      <w:r>
        <w:t xml:space="preserve">peak accelerations across the article under a single transient, not the</w:t>
      </w:r>
      <w:r>
        <w:t xml:space="preserve"> </w:t>
      </w:r>
      <w:r>
        <w:t xml:space="preserve">steady-state frequency-response function of vibration isolation. The two</w:t>
      </w:r>
      <w:r>
        <w:t xml:space="preserve"> </w:t>
      </w:r>
      <w:r>
        <w:t xml:space="preserve">peaks need not be simultaneous, and the filter class is part of the</w:t>
      </w:r>
      <w:r>
        <w:t xml:space="preserve"> </w:t>
      </w:r>
      <w:r>
        <w:t xml:space="preserve">definition. We cite SAE J211/1 only for the impact-channel</w:t>
      </w:r>
      <w:r>
        <w:t xml:space="preserve"> </w:t>
      </w:r>
      <w:r>
        <w:t xml:space="preserve">filtering. Values above unity indicate the structure amplifies the</w:t>
      </w:r>
      <w:r>
        <w:t xml:space="preserve"> </w:t>
      </w:r>
      <w:r>
        <w:t xml:space="preserve">peak shock reaching its top vertex; values below unity indicate</w:t>
      </w:r>
      <w:r>
        <w:t xml:space="preserve"> </w:t>
      </w:r>
      <w:r>
        <w:t xml:space="preserve">attenuation. The second objective is built on the</w:t>
      </w:r>
      <w:r>
        <w:t xml:space="preserve"> </w:t>
      </w:r>
      <w:r>
        <w:rPr>
          <w:i/>
          <w:iCs/>
        </w:rPr>
        <w:t xml:space="preserve">velocity</w:t>
      </w:r>
      <w:r>
        <w:rPr>
          <w:i/>
          <w:iCs/>
        </w:rPr>
        <w:t xml:space="preserve"> </w:t>
      </w:r>
      <w:r>
        <w:rPr>
          <w:i/>
          <w:iCs/>
        </w:rPr>
        <w:t xml:space="preserve">loss index</w:t>
      </w:r>
      <w:r>
        <w:t xml:space="preserve"> </w:t>
      </w:r>
      <w:r>
        <w:t xml:space="preserve">(VLI), the fraction of the impact velocity change that the</w:t>
      </w:r>
      <w:r>
        <w:t xml:space="preserve"> </w:t>
      </w:r>
      <w:r>
        <w:t xml:space="preserve">structure does not give back at its top vertex. Its complement is the</w:t>
      </w:r>
      <w:r>
        <w:t xml:space="preserve"> </w:t>
      </w:r>
      <w:r>
        <w:t xml:space="preserve">rebound fraction</w:t>
      </w:r>
      <w:r>
        <w:t xml:space="preserve"> </w:t>
      </w:r>
      <w:r>
        <w:rPr>
          <w:i/>
          <w:iCs/>
        </w:rPr>
        <w:t xml:space="preserve">e</w:t>
      </w:r>
      <w:r>
        <w:rPr>
          <w:vertAlign w:val="subscript"/>
        </w:rPr>
        <w:t xml:space="preserve">reb</w:t>
      </w:r>
      <w:r>
        <w:t xml:space="preserve">, the speed at which the top vertex</w:t>
      </w:r>
      <w:r>
        <w:t xml:space="preserve"> </w:t>
      </w:r>
      <w:r>
        <w:t xml:space="preserve">hops after impact divided by the measured base velocity change</w:t>
      </w:r>
      <w:r>
        <w:t xml:space="preserve"> </w:t>
      </w:r>
      <w:r>
        <w:t xml:space="preserve">Δ</w:t>
      </w:r>
      <w:r>
        <w:rPr>
          <w:i/>
          <w:iCs/>
        </w:rPr>
        <w:t xml:space="preserve">v</w:t>
      </w:r>
      <w:r>
        <w:t xml:space="preserve">. We estimate the hop speed from the time to the second</w:t>
      </w:r>
      <w:r>
        <w:t xml:space="preserve"> </w:t>
      </w:r>
      <w:r>
        <w:t xml:space="preserve">contact,</w:t>
      </w:r>
      <w:r>
        <w:t xml:space="preserve"> </w:t>
      </w:r>
      <w:r>
        <w:rPr>
          <w:i/>
          <w:iCs/>
        </w:rPr>
        <w:t xml:space="preserve">t</w:t>
      </w:r>
      <w:r>
        <w:rPr>
          <w:vertAlign w:val="subscript"/>
        </w:rPr>
        <w:t xml:space="preserve">second</w:t>
      </w:r>
      <w:r>
        <w:t xml:space="preserve">, assuming the hop is</w:t>
      </w:r>
      <w:r>
        <w:t xml:space="preserve"> </w:t>
      </w:r>
      <w:r>
        <w:t xml:space="preserve">ballistic [</w:t>
      </w:r>
      <w:hyperlink w:anchor="bib50">
        <w:r>
          <w:rPr>
            <w:rStyle w:val="Hyperlink"/>
          </w:rPr>
          <w:t xml:space="preserve">50</w:t>
        </w:r>
      </w:hyperlink>
      <w:r>
        <w:t xml:space="preserve">]. The index is dimensionless,</w:t>
      </w:r>
      <w:r>
        <w:t xml:space="preserve"> </w:t>
      </w:r>
      <w:r>
        <w:t xml:space="preserve">and higher is better, the opposite of the transmissibility. Across the</w:t>
      </w:r>
      <w:r>
        <w:t xml:space="preserve"> </w:t>
      </w:r>
      <w:r>
        <w:t xml:space="preserve">53 tested articles it ranges from 0.937 to 0.986. In all four batches</w:t>
      </w:r>
      <w:r>
        <w:t xml:space="preserve"> </w:t>
      </w:r>
      <w:r>
        <w:t xml:space="preserve">the optimizer minimized a mass-weighted form of the index,</w:t>
      </w:r>
      <w:r>
        <w:t xml:space="preserve"> </w:t>
      </w:r>
      <w:r>
        <w:rPr>
          <w:i/>
          <w:iCs/>
        </w:rPr>
        <w:t xml:space="preserve">E</w:t>
      </w:r>
      <w:r>
        <w:rPr>
          <w:vertAlign w:val="subscript"/>
        </w:rPr>
        <w:t xml:space="preserve">reb</w:t>
      </w:r>
      <w:r>
        <w:t xml:space="preserve">, which multiplies 1 − VLI by the</w:t>
      </w:r>
      <w:r>
        <w:t xml:space="preserve"> </w:t>
      </w:r>
      <w:r>
        <w:t xml:space="preserve">article’s weighed mass</w:t>
      </w:r>
      <w:r>
        <w:t xml:space="preserve"> </w:t>
      </w:r>
      <w:r>
        <w:rPr>
          <w:i/>
          <w:iCs/>
        </w:rPr>
        <w:t xml:space="preserve">m</w:t>
      </w:r>
      <w:r>
        <w:t xml:space="preserve">, the gravitational acceleration</w:t>
      </w:r>
      <w:r>
        <w:t xml:space="preserve"> </w:t>
      </w:r>
      <w:r>
        <w:rPr>
          <w:i/>
          <w:iCs/>
        </w:rPr>
        <w:t xml:space="preserve">g</w:t>
      </w:r>
      <w:r>
        <w:t xml:space="preserve">, and</w:t>
      </w:r>
      <w:r>
        <w:t xml:space="preserve"> </w:t>
      </w:r>
      <w:r>
        <w:t xml:space="preserve">the drop height</w:t>
      </w:r>
      <w:r>
        <w:t xml:space="preserve"> </w:t>
      </w:r>
      <w:r>
        <w:rPr>
          <w:i/>
          <w:iCs/>
        </w:rPr>
        <w:t xml:space="preserve">h</w:t>
      </w:r>
      <w:r>
        <w:t xml:space="preserve"> </w:t>
      </w:r>
      <w:r>
        <w:t xml:space="preserve">to give millijoules per drop. The tables and</w:t>
      </w:r>
      <w:r>
        <w:t xml:space="preserve"> </w:t>
      </w:r>
      <w:r>
        <w:t xml:space="preserve">figures report</w:t>
      </w:r>
      <w:r>
        <w:t xml:space="preserve"> </w:t>
      </w:r>
      <w:r>
        <w:rPr>
          <w:i/>
          <w:iCs/>
        </w:rPr>
        <w:t xml:space="preserve">E</w:t>
      </w:r>
      <w:r>
        <w:rPr>
          <w:vertAlign w:val="subscript"/>
        </w:rPr>
        <w:t xml:space="preserve">reb</w:t>
      </w:r>
      <w:r>
        <w:t xml:space="preserve">, since it is the quantity the</w:t>
      </w:r>
      <w:r>
        <w:t xml:space="preserve"> </w:t>
      </w:r>
      <w:r>
        <w:t xml:space="preserve">optimizer used. Weighting by mass keeps grams in the objective,</w:t>
      </w:r>
      <w:r>
        <w:t xml:space="preserve"> </w:t>
      </w:r>
      <w:r>
        <w:t xml:space="preserve">because equal indices on articles of different mass are not</w:t>
      </w:r>
      <w:r>
        <w:t xml:space="preserve"> </w:t>
      </w:r>
      <w:r>
        <w:t xml:space="preserve">equivalent outcomes for a payload. The weighting matters most where</w:t>
      </w:r>
      <w:r>
        <w:t xml:space="preserve"> </w:t>
      </w:r>
      <w:r>
        <w:t xml:space="preserve">printed mass varied. In batches 3 and 4, which held printed mass constant,</w:t>
      </w:r>
      <w:r>
        <w:t xml:space="preserve"> </w:t>
      </w:r>
      <w:r>
        <w:t xml:space="preserve">ranking the articles by</w:t>
      </w:r>
      <w:r>
        <w:t xml:space="preserve"> </w:t>
      </w:r>
      <w:r>
        <w:rPr>
          <w:i/>
          <w:iCs/>
        </w:rPr>
        <w:t xml:space="preserve">E</w:t>
      </w:r>
      <w:r>
        <w:rPr>
          <w:vertAlign w:val="subscript"/>
        </w:rPr>
        <w:t xml:space="preserve">reb</w:t>
      </w:r>
      <w:r>
        <w:t xml:space="preserve"> </w:t>
      </w:r>
      <w:r>
        <w:t xml:space="preserve">and by the index gives</w:t>
      </w:r>
      <w:r>
        <w:t xml:space="preserve"> </w:t>
      </w:r>
      <w:r>
        <w:t xml:space="preserve">nearly the same order (Spearman rank correlation</w:t>
      </w:r>
      <w:r>
        <w:t xml:space="preserve"> </w:t>
      </w:r>
      <w:r>
        <w:rPr>
          <w:i/>
          <w:iCs/>
        </w:rPr>
        <w:t xml:space="preserve">ρ</w:t>
      </w:r>
      <w:r>
        <w:t xml:space="preserve"> = 0.995 over 27</w:t>
      </w:r>
      <w:r>
        <w:t xml:space="preserve"> </w:t>
      </w:r>
      <w:r>
        <w:t xml:space="preserve">articles). In batches 1 and 2 the two orders agree less well</w:t>
      </w:r>
      <w:r>
        <w:t xml:space="preserve"> </w:t>
      </w:r>
      <w:r>
        <w:t xml:space="preserve">(</w:t>
      </w:r>
      <w:r>
        <w:rPr>
          <w:i/>
          <w:iCs/>
        </w:rPr>
        <w:t xml:space="preserve">ρ</w:t>
      </w:r>
      <w:r>
        <w:t xml:space="preserve"> = 0.855 over 17). Two caveats apply. First, we have not yet checked the hop</w:t>
      </w:r>
      <w:r>
        <w:t xml:space="preserve"> </w:t>
      </w:r>
      <w:r>
        <w:t xml:space="preserve">timing against synchronized video, and Δ</w:t>
      </w:r>
      <w:r>
        <w:rPr>
          <w:i/>
          <w:iCs/>
        </w:rPr>
        <w:t xml:space="preserve">v</w:t>
      </w:r>
      <w:r>
        <w:t xml:space="preserve"> </w:t>
      </w:r>
      <w:r>
        <w:t xml:space="preserve">is the base plate’s</w:t>
      </w:r>
      <w:r>
        <w:t xml:space="preserve"> </w:t>
      </w:r>
      <w:r>
        <w:t xml:space="preserve">velocity change, which may differ from the relative velocity at</w:t>
      </w:r>
      <w:r>
        <w:t xml:space="preserve"> </w:t>
      </w:r>
      <w:r>
        <w:t xml:space="preserve">impact. The index is therefore a timing-based measure, and</w:t>
      </w:r>
      <w:r>
        <w:t xml:space="preserve"> </w:t>
      </w:r>
      <w:r>
        <w:t xml:space="preserve">1 − VLI should not be read as a coefficient of restitution.</w:t>
      </w:r>
      <w:r>
        <w:t xml:space="preserve"> </w:t>
      </w:r>
      <w:r>
        <w:t xml:space="preserve">Second, returned kinetic energy would scale with the</w:t>
      </w:r>
      <w:r>
        <w:t xml:space="preserve"> </w:t>
      </w:r>
      <w:r>
        <w:rPr>
          <w:i/>
          <w:iCs/>
        </w:rPr>
        <w:t xml:space="preserve">square</w:t>
      </w:r>
      <w:r>
        <w:t xml:space="preserve"> </w:t>
      </w:r>
      <w:r>
        <w:t xml:space="preserve">of</w:t>
      </w:r>
      <w:r>
        <w:t xml:space="preserve"> </w:t>
      </w:r>
      <w:r>
        <w:t xml:space="preserve">a velocity ratio, so</w:t>
      </w:r>
      <w:r>
        <w:t xml:space="preserve"> </w:t>
      </w:r>
      <w:r>
        <w:rPr>
          <w:i/>
          <w:iCs/>
        </w:rPr>
        <w:t xml:space="preserve">E</w:t>
      </w:r>
      <w:r>
        <w:rPr>
          <w:vertAlign w:val="subscript"/>
        </w:rPr>
        <w:t xml:space="preserve">reb</w:t>
      </w:r>
      <w:r>
        <w:t xml:space="preserve"> </w:t>
      </w:r>
      <w:r>
        <w:t xml:space="preserve">is a ranking score that</w:t>
      </w:r>
      <w:r>
        <w:t xml:space="preserve"> </w:t>
      </w:r>
      <w:r>
        <w:t xml:space="preserve">penalizes designs, and grams, that send more motion back to the</w:t>
      </w:r>
      <w:r>
        <w:t xml:space="preserve"> </w:t>
      </w:r>
      <w:r>
        <w:t xml:space="preserve">payload. It is not a measured energy. Once the hop timing is</w:t>
      </w:r>
      <w:r>
        <w:t xml:space="preserve"> </w:t>
      </w:r>
      <w:r>
        <w:t xml:space="preserve">validated, the index could become a constraint rather than an</w:t>
      </w:r>
      <w:r>
        <w:t xml:space="preserve"> </w:t>
      </w:r>
      <w:r>
        <w:t xml:space="preserve">objective (Section </w:t>
      </w:r>
      <w:hyperlink w:anchor="lbl_sec_discussion">
        <w:r>
          <w:rPr>
            <w:rStyle w:val="Hyperlink"/>
          </w:rPr>
          <w:t xml:space="preserve">5</w:t>
        </w:r>
      </w:hyperlink>
      <w:r>
        <w:t xml:space="preserve">). We record ringdown</w:t>
      </w:r>
      <w:r>
        <w:t xml:space="preserve"> </w:t>
      </w:r>
      <w:r>
        <w:t xml:space="preserve">descriptors per drop as print-health and prestress</w:t>
      </w:r>
      <w:r>
        <w:t xml:space="preserve"> </w:t>
      </w:r>
      <w:r>
        <w:t xml:space="preserve">diagnostics [</w:t>
      </w:r>
      <w:hyperlink w:anchor="bib51">
        <w:r>
          <w:rPr>
            <w:rStyle w:val="Hyperlink"/>
          </w:rPr>
          <w:t xml:space="preserve">51</w:t>
        </w:r>
      </w:hyperlink>
      <w:r>
        <w:t xml:space="preserve">], but they are not campaign</w:t>
      </w:r>
      <w:r>
        <w:t xml:space="preserve"> </w:t>
      </w:r>
      <w:r>
        <w:t xml:space="preserve">objectives. They are the fitted natural frequency</w:t>
      </w:r>
      <w:r>
        <w:t xml:space="preserve"> </w:t>
      </w:r>
      <w:r>
        <w:rPr>
          <w:i/>
          <w:iCs/>
        </w:rPr>
        <w:t xml:space="preserve">f</w:t>
      </w:r>
      <w:r>
        <w:rPr>
          <w:i/>
          <w:iCs/>
          <w:vertAlign w:val="subscript"/>
        </w:rPr>
        <w:t xml:space="preserve">n</w:t>
      </w:r>
      <w:r>
        <w:t xml:space="preserve"> </w:t>
      </w:r>
      <w:r>
        <w:t xml:space="preserve">(260 to</w:t>
      </w:r>
      <w:r>
        <w:t xml:space="preserve"> </w:t>
      </w:r>
      <w:r>
        <w:t xml:space="preserve">470 Hz for every article but one batch-4 design that rings at</w:t>
      </w:r>
      <w:r>
        <w:t xml:space="preserve"> </w:t>
      </w:r>
      <w:r>
        <w:t xml:space="preserve">764 Hz) and, where the exponential fit passes an</w:t>
      </w:r>
      <w:r>
        <w:t xml:space="preserve"> </w:t>
      </w:r>
      <w:r>
        <w:rPr>
          <w:i/>
          <w:iCs/>
        </w:rPr>
        <w:t xml:space="preserve">r</w:t>
      </w:r>
      <w:r>
        <w:rPr>
          <w:vertAlign w:val="superscript"/>
        </w:rPr>
        <w:t xml:space="preserve">2</w:t>
      </w:r>
      <w:r>
        <w:t xml:space="preserve"> ≥ 0.85</w:t>
      </w:r>
      <w:r>
        <w:t xml:space="preserve"> </w:t>
      </w:r>
      <w:r>
        <w:t xml:space="preserve">gate, a damping ratio</w:t>
      </w:r>
      <w:r>
        <w:t xml:space="preserve"> </w:t>
      </w:r>
      <w:r>
        <w:rPr>
          <w:i/>
          <w:iCs/>
        </w:rPr>
        <w:t xml:space="preserve">ζ</w:t>
      </w:r>
      <w:r>
        <w:t xml:space="preserve">.</w:t>
      </w:r>
      <w:r>
        <w:t xml:space="preserve"> </w:t>
      </w:r>
      <w:r>
        <w:t xml:space="preserve">The within-session per-drop CV of</w:t>
      </w:r>
      <w:r>
        <w:t xml:space="preserve"> </w:t>
      </w:r>
      <w:r>
        <w:rPr>
          <w:i/>
          <w:iCs/>
        </w:rPr>
        <w:t xml:space="preserve">t</w:t>
      </w:r>
      <w:r>
        <w:rPr>
          <w:vertAlign w:val="subscript"/>
        </w:rPr>
        <w:t xml:space="preserve">180</w:t>
      </w:r>
      <w:r>
        <w:t xml:space="preserve"> </w:t>
      </w:r>
      <w:r>
        <w:t xml:space="preserve">spans 0.06 to 2.0%</w:t>
      </w:r>
      <w:r>
        <w:t xml:space="preserve"> </w:t>
      </w:r>
      <w:r>
        <w:t xml:space="preserve">across all 53 tested articles (0.17 to 0.48% in the seed</w:t>
      </w:r>
      <w:r>
        <w:t xml:space="preserve"> </w:t>
      </w:r>
      <w:r>
        <w:t xml:space="preserve">batch). These</w:t>
      </w:r>
      <w:r>
        <w:t xml:space="preserve"> </w:t>
      </w:r>
      <w:r>
        <w:t xml:space="preserve">values describe repeated drops of the same physical article in one</w:t>
      </w:r>
      <w:r>
        <w:t xml:space="preserve"> </w:t>
      </w:r>
      <w:r>
        <w:t xml:space="preserve">seating and do not estimate print-to-print or seating-to-seating</w:t>
      </w:r>
      <w:r>
        <w:t xml:space="preserve"> </w:t>
      </w:r>
      <w:r>
        <w:t xml:space="preserve">repeatability. Serial dependence among drops may also make</w:t>
      </w:r>
      <w:r>
        <w:t xml:space="preserve"> </w:t>
      </w:r>
      <m:oMath>
        <m:r>
          <m:t>s</m:t>
        </m:r>
        <m:r>
          <m:rPr>
            <m:sty m:val="p"/>
          </m:rPr>
          <m:t>/</m:t>
        </m:r>
        <m:rad>
          <m:radPr>
            <m:degHide m:val="on"/>
          </m:radPr>
          <m:deg/>
          <m:e>
            <m:sSub>
              <m:e>
                <m:r>
                  <m:t>n</m:t>
                </m:r>
              </m:e>
              <m:sub>
                <m:r>
                  <m:rPr>
                    <m:sty m:val="p"/>
                  </m:rPr>
                  <m:t>d</m:t>
                </m:r>
                <m:r>
                  <m:rPr>
                    <m:sty m:val="p"/>
                  </m:rPr>
                  <m:t>r</m:t>
                </m:r>
                <m:r>
                  <m:rPr>
                    <m:sty m:val="p"/>
                  </m:rPr>
                  <m:t>o</m:t>
                </m:r>
                <m:r>
                  <m:rPr>
                    <m:sty m:val="p"/>
                  </m:rPr>
                  <m:t>p</m:t>
                </m:r>
                <m:r>
                  <m:rPr>
                    <m:sty m:val="p"/>
                  </m:rPr>
                  <m:t>s</m:t>
                </m:r>
              </m:sub>
            </m:sSub>
          </m:e>
        </m:rad>
      </m:oMath>
      <w:r>
        <w:t xml:space="preserve"> </w:t>
      </w:r>
      <w:r>
        <w:t xml:space="preserve">optimistic. As an advisory screen, we</w:t>
      </w:r>
      <w:r>
        <w:t xml:space="preserve"> </w:t>
      </w:r>
      <w:r>
        <w:t xml:space="preserve">compute a seat gauge for every session, the ratio of its CFC-1000 to</w:t>
      </w:r>
      <w:r>
        <w:t xml:space="preserve"> </w:t>
      </w:r>
      <w:r>
        <w:t xml:space="preserve">its CFC-180 transmissibility. It reads 1.00 to 1.07 on most</w:t>
      </w:r>
      <w:r>
        <w:t xml:space="preserve"> </w:t>
      </w:r>
      <w:r>
        <w:t xml:space="preserve">sessions, and we treat a reading of 1.15 or more as a re-seat</w:t>
      </w:r>
      <w:r>
        <w:t xml:space="preserve"> </w:t>
      </w:r>
      <w:r>
        <w:t xml:space="preserve">candidate. Two replication</w:t>
      </w:r>
      <w:r>
        <w:t xml:space="preserve"> </w:t>
      </w:r>
      <w:r>
        <w:t xml:space="preserve">measurements bound what a single session can claim. The seed</w:t>
      </w:r>
      <w:r>
        <w:t xml:space="preserve"> </w:t>
      </w:r>
      <w:r>
        <w:t xml:space="preserve">attenuator, re-measured across a day and an independent re-seat,</w:t>
      </w:r>
      <w:r>
        <w:t xml:space="preserve"> </w:t>
      </w:r>
      <w:r>
        <w:t xml:space="preserve">agreed to 0.13%. Three prints of the batch-3 designs put the</w:t>
      </w:r>
      <w:r>
        <w:t xml:space="preserve"> </w:t>
      </w:r>
      <w:r>
        <w:t xml:space="preserve">standard deviation between articles and seatings at 0.0087 in</w:t>
      </w:r>
      <w:r>
        <w:t xml:space="preserve"> </w:t>
      </w:r>
      <w:r>
        <w:rPr>
          <w:i/>
          <w:iCs/>
        </w:rPr>
        <w:t xml:space="preserve">t</w:t>
      </w:r>
      <w:r>
        <w:rPr>
          <w:vertAlign w:val="subscript"/>
        </w:rPr>
        <w:t xml:space="preserve">180</w:t>
      </w:r>
      <w:r>
        <w:t xml:space="preserve">, once sessions that fail the seat gauge or carry a drift</w:t>
      </w:r>
      <w:r>
        <w:t xml:space="preserve"> </w:t>
      </w:r>
      <w:r>
        <w:t xml:space="preserve">flag are set aside (Section </w:t>
      </w:r>
      <w:hyperlink w:anchor="lbl_sec_results_batches">
        <w:r>
          <w:rPr>
            <w:rStyle w:val="Hyperlink"/>
          </w:rPr>
          <w:t xml:space="preserve">4.2</w:t>
        </w:r>
      </w:hyperlink>
      <w:r>
        <w:t xml:space="preserve">). The two</w:t>
      </w:r>
      <w:r>
        <w:t xml:space="preserve"> </w:t>
      </w:r>
      <w:r>
        <w:t xml:space="preserve">largest deviations, 10 and 20% above their design medians, both came</w:t>
      </w:r>
      <w:r>
        <w:t xml:space="preserve"> </w:t>
      </w:r>
      <w:r>
        <w:t xml:space="preserve">with a failed gauge. We therefore adopted a</w:t>
      </w:r>
      <w:r>
        <w:t xml:space="preserve"> </w:t>
      </w:r>
      <w:r>
        <w:t xml:space="preserve">between-seat replication rule: a single-seating value that would</w:t>
      </w:r>
      <w:r>
        <w:t xml:space="preserve"> </w:t>
      </w:r>
      <w:r>
        <w:t xml:space="preserve">drive a decision (a batch extreme, a claimed attenuator, a front</w:t>
      </w:r>
      <w:r>
        <w:t xml:space="preserve"> </w:t>
      </w:r>
      <w:r>
        <w:t xml:space="preserve">membership) requires confirmation on an independent re-seat before</w:t>
      </w:r>
      <w:r>
        <w:t xml:space="preserve"> </w:t>
      </w:r>
      <w:r>
        <w:t xml:space="preserve">we treat it as a design property.</w:t>
      </w:r>
    </w:p>
    <w:p>
      <w:pPr>
        <w:pStyle w:val="RuninHeading4"/>
      </w:pPr>
      <w:r>
        <w:rPr>
          <w:i/>
          <w:iCs/>
        </w:rPr>
        <w:t xml:space="preserve">Planned quasi-static extension.</w:t>
      </w:r>
      <w:r>
        <w:t xml:space="preserve"> </w:t>
      </w:r>
      <w:r>
        <w:t xml:space="preserve">The drop test loads the</w:t>
      </w:r>
      <w:r>
        <w:t xml:space="preserve"> </w:t>
      </w:r>
      <w:r>
        <w:t xml:space="preserve">specimens in their elastic regime. The crush lasts 1 to 3 ms and</w:t>
      </w:r>
      <w:r>
        <w:t xml:space="preserve"> </w:t>
      </w:r>
      <w:r>
        <w:t xml:space="preserve">the article recovers, so crush-energy metrics such as specific energy</w:t>
      </w:r>
      <w:r>
        <w:t xml:space="preserve"> </w:t>
      </w:r>
      <w:r>
        <w:t xml:space="preserve">absorption (SEA) and compaction efficiency are not recoverable from</w:t>
      </w:r>
      <w:r>
        <w:t xml:space="preserve"> </w:t>
      </w:r>
      <w:r>
        <w:t xml:space="preserve">these captures by any reprocessing. We plan a quasi-static compression</w:t>
      </w:r>
      <w:r>
        <w:t xml:space="preserve"> </w:t>
      </w:r>
      <w:r>
        <w:t xml:space="preserve">campaign on a benchtop load frame (BYU CB 123 Instron, with a</w:t>
      </w:r>
      <w:r>
        <w:t xml:space="preserve"> </w:t>
      </w:r>
      <w:r>
        <w:t xml:space="preserve">low-range load cell appropriate to the expected cell stiffness)</w:t>
      </w:r>
      <w:r>
        <w:t xml:space="preserve"> </w:t>
      </w:r>
      <w:r>
        <w:t xml:space="preserve">to supply the complementary crush metrics</w:t>
      </w:r>
    </w:p>
    <w:tbl>
      <w:tblPr>
        <w:tblW w:w="468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118"/>
        <w:gridCol w:w="562"/>
      </w:tblGrid>
      <w:tr>
        <w:tc>
          <w:tcPr>
            <w:tcW w:w="4118" w:type="dxa"/>
            <w:vAlign w:val="center"/>
          </w:tcPr>
          <w:p>
            <w:pPr>
              <w:pStyle w:val="EquationCell"/>
              <w:jc w:val="center"/>
            </w:pPr>
            <m:oMathPara>
              <m:oMathParaPr>
                <m:jc m:val="center"/>
              </m:oMathParaPr>
              <m:oMath>
                <m:r>
                  <m:rPr>
                    <m:sty m:val="p"/>
                  </m:rPr>
                  <m:t>S</m:t>
                </m:r>
                <m:r>
                  <m:rPr>
                    <m:sty m:val="p"/>
                  </m:rPr>
                  <m:t>E</m:t>
                </m:r>
                <m:r>
                  <m:rPr>
                    <m:sty m:val="p"/>
                  </m:rPr>
                  <m:t>A</m:t>
                </m:r>
                <m:r>
                  <m:rPr>
                    <m:sty m:val="p"/>
                  </m:rPr>
                  <m:t>=</m:t>
                </m:r>
                <m:f>
                  <m:fPr>
                    <m:type m:val="bar"/>
                  </m:fPr>
                  <m:num>
                    <m:r>
                      <m:t>1</m:t>
                    </m:r>
                  </m:num>
                  <m:den>
                    <m:r>
                      <m:t>m</m:t>
                    </m:r>
                  </m:den>
                </m:f>
                <m:nary>
                  <m:naryPr>
                    <m:chr m:val="∫"/>
                    <m:limLoc m:val="subSup"/>
                    <m:subHide m:val="off"/>
                    <m:supHide m:val="off"/>
                  </m:naryPr>
                  <m:sub>
                    <m:r>
                      <m:t>0</m:t>
                    </m:r>
                  </m:sub>
                  <m:sup>
                    <m:sSub>
                      <m:e>
                        <m:r>
                          <m:t>δ</m:t>
                        </m:r>
                      </m:e>
                      <m:sub>
                        <m:r>
                          <m:t>d</m:t>
                        </m:r>
                      </m:sub>
                    </m:sSub>
                  </m:sup>
                  <m:e>
                    <m:r>
                      <m:t>F</m:t>
                    </m:r>
                  </m:e>
                </m:nary>
                <m:d>
                  <m:dPr>
                    <m:begChr m:val="("/>
                    <m:endChr m:val=")"/>
                    <m:sepChr m:val=""/>
                    <m:grow/>
                  </m:dPr>
                  <m:e>
                    <m:r>
                      <m:t>δ</m:t>
                    </m:r>
                  </m:e>
                </m:d>
                <m:r>
                  <m:rPr>
                    <m:sty m:val="p"/>
                  </m:rPr>
                  <m:t>d</m:t>
                </m:r>
                <m:r>
                  <m:t>δ</m:t>
                </m:r>
                <m:r>
                  <m:rPr>
                    <m:sty m:val="p"/>
                  </m:rPr>
                  <m:t>,</m:t>
                </m:r>
                <m:r>
                  <m:t>  </m:t>
                </m:r>
                <m:sSub>
                  <m:e>
                    <m:r>
                      <m:t>η</m:t>
                    </m:r>
                  </m:e>
                  <m:sub>
                    <m:r>
                      <m:t>c</m:t>
                    </m:r>
                  </m:sub>
                </m:sSub>
                <m:r>
                  <m:rPr>
                    <m:sty m:val="p"/>
                  </m:rPr>
                  <m:t>=</m:t>
                </m:r>
                <m:f>
                  <m:fPr>
                    <m:type m:val="bar"/>
                  </m:fPr>
                  <m:num>
                    <m:nary>
                      <m:naryPr>
                        <m:chr m:val="∫"/>
                        <m:limLoc m:val="subSup"/>
                        <m:subHide m:val="off"/>
                        <m:supHide m:val="off"/>
                      </m:naryPr>
                      <m:sub>
                        <m:r>
                          <m:t>0</m:t>
                        </m:r>
                      </m:sub>
                      <m:sup>
                        <m:sSub>
                          <m:e>
                            <m:r>
                              <m:t>δ</m:t>
                            </m:r>
                          </m:e>
                          <m:sub>
                            <m:r>
                              <m:t>d</m:t>
                            </m:r>
                          </m:sub>
                        </m:sSub>
                      </m:sup>
                      <m:e>
                        <m:r>
                          <m:t>F</m:t>
                        </m:r>
                      </m:e>
                    </m:nary>
                    <m:d>
                      <m:dPr>
                        <m:begChr m:val="("/>
                        <m:endChr m:val=")"/>
                        <m:sepChr m:val=""/>
                        <m:grow/>
                      </m:dPr>
                      <m:e>
                        <m:r>
                          <m:t>δ</m:t>
                        </m:r>
                      </m:e>
                    </m:d>
                    <m:r>
                      <m:rPr>
                        <m:sty m:val="p"/>
                      </m:rPr>
                      <m:t>d</m:t>
                    </m:r>
                    <m:r>
                      <m:t>δ</m:t>
                    </m:r>
                  </m:num>
                  <m:den>
                    <m:sSub>
                      <m:e>
                        <m:r>
                          <m:t>F</m:t>
                        </m:r>
                      </m:e>
                      <m:sub>
                        <m:r>
                          <m:rPr>
                            <m:sty m:val="p"/>
                          </m:rPr>
                          <m:t>max</m:t>
                        </m:r>
                      </m:sub>
                    </m:sSub>
                    <m:sSub>
                      <m:e>
                        <m:r>
                          <m:t>δ</m:t>
                        </m:r>
                      </m:e>
                      <m:sub>
                        <m:r>
                          <m:t>d</m:t>
                        </m:r>
                      </m:sub>
                    </m:sSub>
                  </m:den>
                </m:f>
                <m:r>
                  <m:rPr>
                    <m:sty m:val="p"/>
                  </m:rPr>
                  <m:t>,</m:t>
                </m:r>
              </m:oMath>
            </m:oMathPara>
          </w:p>
        </w:tc>
        <w:tc>
          <w:tcPr>
            <w:tcW w:w="562" w:type="dxa"/>
            <w:vAlign w:val="center"/>
          </w:tcPr>
          <w:p>
            <w:pPr>
              <w:pStyle w:val="EquationCell"/>
              <w:jc w:val="right"/>
            </w:pPr>
            <w:r>
              <w:t xml:space="preserve">(2)</w:t>
            </w:r>
          </w:p>
        </w:tc>
      </w:tr>
    </w:tbl>
    <w:p>
      <w:pPr>
        <w:pStyle w:val="BodyTextContinued"/>
        <w:spacing w:line="200" w:lineRule="atLeast"/>
      </w:pPr>
      <w:r>
        <w:t xml:space="preserve">with the densification displacement</w:t>
      </w:r>
      <w:r>
        <w:t xml:space="preserve"> </w:t>
      </w:r>
      <w:r>
        <w:rPr>
          <w:i/>
          <w:iCs/>
        </w:rPr>
        <w:t xml:space="preserve">δ</w:t>
      </w:r>
      <w:r>
        <w:rPr>
          <w:i/>
          <w:iCs/>
          <w:vertAlign w:val="subscript"/>
        </w:rPr>
        <w:t xml:space="preserve">d</w:t>
      </w:r>
      <w:r>
        <w:t xml:space="preserve"> </w:t>
      </w:r>
      <w:r>
        <w:t xml:space="preserve">taken at the maximum of</w:t>
      </w:r>
      <w:r>
        <w:t xml:space="preserve"> </w:t>
      </w:r>
      <w:r>
        <w:t xml:space="preserve">the energy-absorption efficiency curve and</w:t>
      </w:r>
      <w:r>
        <w:t xml:space="preserve"> </w:t>
      </w:r>
      <m:oMath>
        <m:sSub>
          <m:e>
            <m:r>
              <m:t>F</m:t>
            </m:r>
          </m:e>
          <m:sub>
            <m:r>
              <m:rPr>
                <m:sty m:val="p"/>
              </m:rPr>
              <m:t>max</m:t>
            </m:r>
          </m:sub>
        </m:sSub>
      </m:oMath>
      <w:r>
        <w:t xml:space="preserve"> </w:t>
      </w:r>
      <w:r>
        <w:t xml:space="preserve">the peak force</w:t>
      </w:r>
      <w:r>
        <w:t xml:space="preserve"> </w:t>
      </w:r>
      <w:r>
        <w:t xml:space="preserve">within [0,</w:t>
      </w:r>
      <w:r>
        <w:t xml:space="preserve"> </w:t>
      </w:r>
      <w:r>
        <w:rPr>
          <w:i/>
          <w:iCs/>
        </w:rPr>
        <w:t xml:space="preserve">δ</w:t>
      </w:r>
      <w:r>
        <w:rPr>
          <w:i/>
          <w:iCs/>
          <w:vertAlign w:val="subscript"/>
        </w:rPr>
        <w:t xml:space="preserve">d</w:t>
      </w:r>
      <w:r>
        <w:t xml:space="preserve">]. We follow the standard cellular-solid</w:t>
      </w:r>
      <w:r>
        <w:t xml:space="preserve"> </w:t>
      </w:r>
      <w:r>
        <w:t xml:space="preserve">treatments [</w:t>
      </w:r>
      <w:hyperlink w:anchor="bib52">
        <w:r>
          <w:rPr>
            <w:rStyle w:val="Hyperlink"/>
          </w:rPr>
          <w:t xml:space="preserve">52</w:t>
        </w:r>
      </w:hyperlink>
      <w:r>
        <w:t xml:space="preserve">–</w:t>
      </w:r>
      <w:hyperlink w:anchor="bib55">
        <w:r>
          <w:rPr>
            <w:rStyle w:val="Hyperlink"/>
          </w:rPr>
          <w:t xml:space="preserve">55</w:t>
        </w:r>
      </w:hyperlink>
      <w:r>
        <w:t xml:space="preserve">] and mirror the</w:t>
      </w:r>
      <w:r>
        <w:t xml:space="preserve"> </w:t>
      </w:r>
      <w:r>
        <w:t xml:space="preserve">quasi-static protocol of Pajunen et al. [</w:t>
      </w:r>
      <w:hyperlink w:anchor="bib11">
        <w:r>
          <w:rPr>
            <w:rStyle w:val="Hyperlink"/>
          </w:rPr>
          <w:t xml:space="preserve">11</w:t>
        </w:r>
      </w:hyperlink>
      <w:r>
        <w:t xml:space="preserve">].</w:t>
      </w:r>
      <w:r>
        <w:t xml:space="preserve"> </w:t>
      </w:r>
      <w:r>
        <w:t xml:space="preserve">These metrics will be reported as a complementary characterization of</w:t>
      </w:r>
      <w:r>
        <w:t xml:space="preserve"> </w:t>
      </w:r>
      <w:r>
        <w:t xml:space="preserve">selected designs rather than as objectives of the drop-tower campaign.</w:t>
      </w:r>
      <w:r>
        <w:t xml:space="preserve"> </w:t>
      </w:r>
      <w:r>
        <w:t xml:space="preserve">Slip resistance and traction at the specimen-to-floor interface,</w:t>
      </w:r>
      <w:r>
        <w:t xml:space="preserve"> </w:t>
      </w:r>
      <w:r>
        <w:t xml:space="preserve">governed by the tip geometry rather than the internal architecture,</w:t>
      </w:r>
      <w:r>
        <w:t xml:space="preserve"> </w:t>
      </w:r>
      <w:r>
        <w:t xml:space="preserve">follow ISO 11334-4 [</w:t>
      </w:r>
      <w:hyperlink w:anchor="bib56">
        <w:r>
          <w:rPr>
            <w:rStyle w:val="Hyperlink"/>
          </w:rPr>
          <w:t xml:space="preserve">56</w:t>
        </w:r>
      </w:hyperlink>
      <w:r>
        <w:t xml:space="preserve">] for walking-aid tips and are out</w:t>
      </w:r>
      <w:r>
        <w:t xml:space="preserve"> </w:t>
      </w:r>
      <w:r>
        <w:t xml:space="preserve">of scope for the present axial-impact study.</w:t>
      </w:r>
    </w:p>
    <w:p>
      <w:pPr>
        <w:pStyle w:val="RuninHeading4"/>
      </w:pPr>
      <w:r>
        <w:rPr>
          <w:i/>
          <w:iCs/>
        </w:rPr>
        <w:t xml:space="preserve">Complementary data streams.</w:t>
      </w:r>
      <w:r>
        <w:t xml:space="preserve"> </w:t>
      </w:r>
      <w:r>
        <w:t xml:space="preserve">High-speed video</w:t>
      </w:r>
      <w:r>
        <w:t xml:space="preserve"> </w:t>
      </w:r>
      <w:r>
        <w:t xml:space="preserve">(959 fps, three clips per specimen) supplements the</w:t>
      </w:r>
      <w:r>
        <w:t xml:space="preserve"> </w:t>
      </w:r>
      <w:r>
        <w:t xml:space="preserve">accelerometer data. The camera cannot resolve the millisecond-scale</w:t>
      </w:r>
      <w:r>
        <w:t xml:space="preserve"> </w:t>
      </w:r>
      <w:r>
        <w:t xml:space="preserve">impact pulse (one to two frames), so the accelerometer channels</w:t>
      </w:r>
      <w:r>
        <w:t xml:space="preserve"> </w:t>
      </w:r>
      <w:r>
        <w:t xml:space="preserve">produce the objectives, and video</w:t>
      </w:r>
      <w:r>
        <w:t xml:space="preserve"> </w:t>
      </w:r>
      <w:r>
        <w:t xml:space="preserve">documents the post-impact rebound and recovery. Synchronized</w:t>
      </w:r>
      <w:r>
        <w:t xml:space="preserve"> </w:t>
      </w:r>
      <w:r>
        <w:t xml:space="preserve">laser-Doppler vibrometry is reserved for follow-up characterization of</w:t>
      </w:r>
      <w:r>
        <w:t xml:space="preserve"> </w:t>
      </w:r>
      <w:r>
        <w:t xml:space="preserve">selected designs.</w:t>
      </w:r>
    </w:p>
    <w:bookmarkStart w:id="40" w:name="lbl_sec_methods_bo"/>
    <w:p>
      <w:pPr>
        <w:pStyle w:val="RuninHeading2"/>
      </w:pPr>
      <w:r>
        <w:rPr>
          <w:b/>
          <w:bCs/>
        </w:rPr>
        <w:t xml:space="preserve">3.4 Experiment-Driven Bayesian Optimization Loop.</w:t>
      </w:r>
      <w:r>
        <w:t xml:space="preserve"> </w:t>
      </w:r>
      <w:r>
        <w:t xml:space="preserve">The optimization loop maintains a Gaussian-process (GP) surrogate over</w:t>
      </w:r>
      <w:r>
        <w:t xml:space="preserve"> </w:t>
      </w:r>
      <w:r>
        <w:t xml:space="preserve">the design space defined in</w:t>
      </w:r>
      <w:r>
        <w:t xml:space="preserve"> </w:t>
      </w:r>
      <w:r>
        <w:t xml:space="preserve">Section </w:t>
      </w:r>
      <w:hyperlink w:anchor="lbl_sec_methods_parameterization">
        <w:r>
          <w:rPr>
            <w:rStyle w:val="Hyperlink"/>
          </w:rPr>
          <w:t xml:space="preserve">3.1</w:t>
        </w:r>
      </w:hyperlink>
      <w:r>
        <w:t xml:space="preserve">. After each round of</w:t>
      </w:r>
      <w:r>
        <w:t xml:space="preserve"> </w:t>
      </w:r>
      <w:r>
        <w:t xml:space="preserve">physical experiments, we refit the surrogate and maximize an</w:t>
      </w:r>
      <w:r>
        <w:t xml:space="preserve"> </w:t>
      </w:r>
      <w:r>
        <w:t xml:space="preserve">acquisition function to recommend the next batch of designs to</w:t>
      </w:r>
      <w:r>
        <w:t xml:space="preserve"> </w:t>
      </w:r>
      <w:r>
        <w:t xml:space="preserve">fabricate. We pose the campaign as a two-objective minimization of</w:t>
      </w:r>
      <w:r>
        <w:t xml:space="preserve"> </w:t>
      </w:r>
      <w:r>
        <w:t xml:space="preserve">the transmissibility</w:t>
      </w:r>
      <w:r>
        <w:t xml:space="preserve"> </w:t>
      </w:r>
      <w:r>
        <w:rPr>
          <w:i/>
          <w:iCs/>
        </w:rPr>
        <w:t xml:space="preserve">t</w:t>
      </w:r>
      <w:r>
        <w:rPr>
          <w:vertAlign w:val="subscript"/>
        </w:rPr>
        <w:t xml:space="preserve">180</w:t>
      </w:r>
      <w:r>
        <w:t xml:space="preserve"> </w:t>
      </w:r>
      <w:r>
        <w:t xml:space="preserve">and the mass-weighted velocity-loss objective</w:t>
      </w:r>
      <w:r>
        <w:t xml:space="preserve"> </w:t>
      </w:r>
      <w:r>
        <w:rPr>
          <w:i/>
          <w:iCs/>
        </w:rPr>
        <w:t xml:space="preserve">E</w:t>
      </w:r>
      <w:r>
        <w:rPr>
          <w:vertAlign w:val="subscript"/>
        </w:rPr>
        <w:t xml:space="preserve">reb</w:t>
      </w:r>
      <w:r>
        <w:t xml:space="preserve"> </w:t>
      </w:r>
      <w:r>
        <w:t xml:space="preserve">of</w:t>
      </w:r>
      <w:r>
        <w:t xml:space="preserve"> </w:t>
      </w:r>
      <w:r>
        <w:t xml:space="preserve">Eq. </w:t>
      </w:r>
      <w:hyperlink w:anchor="lbl_eq_objectives">
        <w:r>
          <w:rPr>
            <w:rStyle w:val="Hyperlink"/>
          </w:rPr>
          <w:t xml:space="preserve">(1)</w:t>
        </w:r>
      </w:hyperlink>
      <w:r>
        <w:t xml:space="preserve">, and minimizing the latter favors a high</w:t>
      </w:r>
      <w:r>
        <w:t xml:space="preserve"> </w:t>
      </w:r>
      <w:r>
        <w:t xml:space="preserve">velocity loss index on a light article. Both objectives serve the same payload.</w:t>
      </w:r>
      <w:r>
        <w:t xml:space="preserve"> </w:t>
      </w:r>
      <w:r>
        <w:t xml:space="preserve">The transmissibility</w:t>
      </w:r>
      <w:r>
        <w:t xml:space="preserve"> </w:t>
      </w:r>
      <w:r>
        <w:rPr>
          <w:i/>
          <w:iCs/>
        </w:rPr>
        <w:t xml:space="preserve">t</w:t>
      </w:r>
      <w:r>
        <w:rPr>
          <w:vertAlign w:val="subscript"/>
        </w:rPr>
        <w:t xml:space="preserve">180</w:t>
      </w:r>
      <w:r>
        <w:t xml:space="preserve"> </w:t>
      </w:r>
      <w:r>
        <w:t xml:space="preserve">bounds the peak shock the payload feels</w:t>
      </w:r>
      <w:r>
        <w:t xml:space="preserve"> </w:t>
      </w:r>
      <w:r>
        <w:t xml:space="preserve">during the impact, and</w:t>
      </w:r>
      <w:r>
        <w:t xml:space="preserve"> </w:t>
      </w:r>
      <w:r>
        <w:rPr>
          <w:i/>
          <w:iCs/>
        </w:rPr>
        <w:t xml:space="preserve">E</w:t>
      </w:r>
      <w:r>
        <w:rPr>
          <w:vertAlign w:val="subscript"/>
        </w:rPr>
        <w:t xml:space="preserve">reb</w:t>
      </w:r>
      <w:r>
        <w:t xml:space="preserve"> </w:t>
      </w:r>
      <w:r>
        <w:t xml:space="preserve">penalizes the motion thrown</w:t>
      </w:r>
      <w:r>
        <w:t xml:space="preserve"> </w:t>
      </w:r>
      <w:r>
        <w:t xml:space="preserve">back into it afterward.</w:t>
      </w:r>
      <w:r>
        <w:t xml:space="preserve"> </w:t>
      </w:r>
      <w:r>
        <w:t xml:space="preserve">The seed data showed an apparent trade-off, driven substantially by</w:t>
      </w:r>
      <w:r>
        <w:t xml:space="preserve"> </w:t>
      </w:r>
      <w:r>
        <w:t xml:space="preserve">the single strongest attenuator and not statistically resolved at seven</w:t>
      </w:r>
      <w:r>
        <w:t xml:space="preserve"> </w:t>
      </w:r>
      <w:r>
        <w:t xml:space="preserve">mapped articles (Spearman</w:t>
      </w:r>
      <w:r>
        <w:t xml:space="preserve"> </w:t>
      </w:r>
      <w:r>
        <w:rPr>
          <w:i/>
          <w:iCs/>
        </w:rPr>
        <w:t xml:space="preserve">ρ</w:t>
      </w:r>
      <w:r>
        <w:t xml:space="preserve"> = −0.39,</w:t>
      </w:r>
      <w:r>
        <w:t xml:space="preserve"> </w:t>
      </w:r>
      <w:r>
        <w:rPr>
          <w:i/>
          <w:iCs/>
        </w:rPr>
        <w:t xml:space="preserve">p</w:t>
      </w:r>
      <w:r>
        <w:t xml:space="preserve"> = 0.38;</w:t>
      </w:r>
      <w:r>
        <w:t xml:space="preserve"> </w:t>
      </w:r>
      <w:r>
        <w:t xml:space="preserve">Section </w:t>
      </w:r>
      <w:hyperlink w:anchor="lbl_sec_discussion">
        <w:r>
          <w:rPr>
            <w:rStyle w:val="Hyperlink"/>
          </w:rPr>
          <w:t xml:space="preserve">5</w:t>
        </w:r>
      </w:hyperlink>
      <w:r>
        <w:t xml:space="preserve">). After four batches, the measured front</w:t>
      </w:r>
      <w:r>
        <w:t xml:space="preserve"> </w:t>
      </w:r>
      <w:r>
        <w:t xml:space="preserve">is nondegenerate (its members span both axes), and the velocity</w:t>
      </w:r>
      <w:r>
        <w:t xml:space="preserve"> </w:t>
      </w:r>
      <w:r>
        <w:t xml:space="preserve">loss index remains a candidate to become a constraint once its ballistic</w:t>
      </w:r>
      <w:r>
        <w:t xml:space="preserve"> </w:t>
      </w:r>
      <w:r>
        <w:t xml:space="preserve">reading is validated. Until then, the next batch keeps</w:t>
      </w:r>
      <w:r>
        <w:t xml:space="preserve"> </w:t>
      </w:r>
      <w:r>
        <w:rPr>
          <w:i/>
          <w:iCs/>
        </w:rPr>
        <w:t xml:space="preserve">E</w:t>
      </w:r>
      <w:r>
        <w:rPr>
          <w:vertAlign w:val="subscript"/>
        </w:rPr>
        <w:t xml:space="preserve">reb</w:t>
      </w:r>
      <w:r>
        <w:t xml:space="preserve"> </w:t>
      </w:r>
      <w:r>
        <w:t xml:space="preserve">as its second objective, so that its results stay</w:t>
      </w:r>
      <w:r>
        <w:t xml:space="preserve"> </w:t>
      </w:r>
      <w:r>
        <w:t xml:space="preserve">comparable with the existing front.</w:t>
      </w:r>
      <w:r>
        <w:t xml:space="preserve"> </w:t>
      </w:r>
      <w:r>
        <w:t xml:space="preserve">We implement the loop in the Ax platform [</w:t>
      </w:r>
      <w:hyperlink w:anchor="bib21">
        <w:r>
          <w:rPr>
            <w:rStyle w:val="Hyperlink"/>
          </w:rPr>
          <w:t xml:space="preserve">21</w:t>
        </w:r>
      </w:hyperlink>
      <w:r>
        <w:t xml:space="preserve">] over</w:t>
      </w:r>
      <w:r>
        <w:t xml:space="preserve"> </w:t>
      </w:r>
      <w:r>
        <w:t xml:space="preserve">BoTorch [</w:t>
      </w:r>
      <w:hyperlink w:anchor="bib20">
        <w:r>
          <w:rPr>
            <w:rStyle w:val="Hyperlink"/>
          </w:rPr>
          <w:t xml:space="preserve">20</w:t>
        </w:r>
      </w:hyperlink>
      <w:r>
        <w:t xml:space="preserve">], with noisy expected hypervolume</w:t>
      </w:r>
      <w:r>
        <w:t xml:space="preserve"> </w:t>
      </w:r>
      <w:r>
        <w:t xml:space="preserve">improvement (qNEHVI) [</w:t>
      </w:r>
      <w:hyperlink w:anchor="bib44">
        <w:r>
          <w:rPr>
            <w:rStyle w:val="Hyperlink"/>
          </w:rPr>
          <w:t xml:space="preserve">44</w:t>
        </w:r>
      </w:hyperlink>
      <w:r>
        <w:t xml:space="preserve">] as the multi-objective</w:t>
      </w:r>
      <w:r>
        <w:t xml:space="preserve"> </w:t>
      </w:r>
      <w:r>
        <w:t xml:space="preserve">acquisition. The</w:t>
      </w:r>
      <w:r>
        <w:t xml:space="preserve"> </w:t>
      </w:r>
      <w:r>
        <w:rPr>
          <w:i/>
          <w:iCs/>
        </w:rPr>
        <w:t xml:space="preserve">T</w:t>
      </w:r>
      <w:r>
        <w:rPr>
          <w:vertAlign w:val="subscript"/>
        </w:rPr>
        <w:t xml:space="preserve">3</w:t>
      </w:r>
      <w:r>
        <w:t xml:space="preserve">-prism search space is fully continuous,</w:t>
      </w:r>
      <w:r>
        <w:t xml:space="preserve"> </w:t>
      </w:r>
      <w:r>
        <w:t xml:space="preserve">including the process variables added in batch 3</w:t>
      </w:r>
      <w:r>
        <w:t xml:space="preserve"> </w:t>
      </w:r>
      <w:r>
        <w:t xml:space="preserve">(Table </w:t>
      </w:r>
      <w:hyperlink w:anchor="lbl_tab_design_vars">
        <w:r>
          <w:rPr>
            <w:rStyle w:val="Hyperlink"/>
          </w:rPr>
          <w:t xml:space="preserve">2</w:t>
        </w:r>
      </w:hyperlink>
      <w:r>
        <w:t xml:space="preserve">), so no categorical</w:t>
      </w:r>
      <w:r>
        <w:t xml:space="preserve"> </w:t>
      </w:r>
      <w:r>
        <w:t xml:space="preserve">encoding is required. Mixed-search-space</w:t>
      </w:r>
      <w:r>
        <w:t xml:space="preserve"> </w:t>
      </w:r>
      <w:r>
        <w:t xml:space="preserve">constructions [</w:t>
      </w:r>
      <w:hyperlink w:anchor="bib48">
        <w:r>
          <w:rPr>
            <w:rStyle w:val="Hyperlink"/>
          </w:rPr>
          <w:t xml:space="preserve">48</w:t>
        </w:r>
      </w:hyperlink>
      <w:r>
        <w:t xml:space="preserve">] and the BOCS</w:t>
      </w:r>
      <w:r>
        <w:t xml:space="preserve"> </w:t>
      </w:r>
      <w:r>
        <w:t xml:space="preserve">combinatorial baseline [</w:t>
      </w:r>
      <w:hyperlink w:anchor="bib47">
        <w:r>
          <w:rPr>
            <w:rStyle w:val="Hyperlink"/>
          </w:rPr>
          <w:t xml:space="preserve">47</w:t>
        </w:r>
      </w:hyperlink>
      <w:r>
        <w:t xml:space="preserve">] are the route for</w:t>
      </w:r>
      <w:r>
        <w:t xml:space="preserve"> </w:t>
      </w:r>
      <w:r>
        <w:t xml:space="preserve">adding connectivity topology as a categorical variable in a later</w:t>
      </w:r>
      <w:r>
        <w:t xml:space="preserve"> </w:t>
      </w:r>
      <w:r>
        <w:t xml:space="preserve">campaign. The input-noise-robust acquisition of Daulton</w:t>
      </w:r>
      <w:r>
        <w:t xml:space="preserve"> </w:t>
      </w:r>
      <w:r>
        <w:t xml:space="preserve">et al. [</w:t>
      </w:r>
      <w:hyperlink w:anchor="bib45">
        <w:r>
          <w:rPr>
            <w:rStyle w:val="Hyperlink"/>
          </w:rPr>
          <w:t xml:space="preserve">45</w:t>
        </w:r>
      </w:hyperlink>
      <w:r>
        <w:t xml:space="preserve">] and the evolution-guided constrained</w:t>
      </w:r>
      <w:r>
        <w:t xml:space="preserve"> </w:t>
      </w:r>
      <w:r>
        <w:t xml:space="preserve">variant of Low et al. [</w:t>
      </w:r>
      <w:hyperlink w:anchor="bib46">
        <w:r>
          <w:rPr>
            <w:rStyle w:val="Hyperlink"/>
          </w:rPr>
          <w:t xml:space="preserve">46</w:t>
        </w:r>
      </w:hyperlink>
      <w:r>
        <w:t xml:space="preserve">] are held in reserve as</w:t>
      </w:r>
      <w:r>
        <w:t xml:space="preserve"> </w:t>
      </w:r>
      <w:r>
        <w:t xml:space="preserve">contingencies.</w:t>
      </w:r>
    </w:p>
    <w:bookmarkEnd w:id="40"/>
    <w:p>
      <w:pPr>
        <w:pStyle w:val="RuninHeading4"/>
      </w:pPr>
      <w:r>
        <w:rPr>
          <w:i/>
          <w:iCs/>
        </w:rPr>
        <w:t xml:space="preserve">Surrogate and noise model.</w:t>
      </w:r>
      <w:r>
        <w:t xml:space="preserve"> </w:t>
      </w:r>
      <w:r>
        <w:t xml:space="preserve">The surrogate is the fully</w:t>
      </w:r>
      <w:r>
        <w:t xml:space="preserve"> </w:t>
      </w:r>
      <w:r>
        <w:t xml:space="preserve">Bayesian sparse axis-aligned subspace model</w:t>
      </w:r>
      <w:r>
        <w:t xml:space="preserve"> </w:t>
      </w:r>
      <w:r>
        <w:t xml:space="preserve">(SAASBO) [</w:t>
      </w:r>
      <w:hyperlink w:anchor="bib22">
        <w:r>
          <w:rPr>
            <w:rStyle w:val="Hyperlink"/>
          </w:rPr>
          <w:t xml:space="preserve">22</w:t>
        </w:r>
      </w:hyperlink>
      <w:r>
        <w:t xml:space="preserve">]. It uses a Matérn-5/2 kernel with</w:t>
      </w:r>
      <w:r>
        <w:t xml:space="preserve"> </w:t>
      </w:r>
      <w:r>
        <w:t xml:space="preserve">automatic relevance determination whose length scales carry strong</w:t>
      </w:r>
      <w:r>
        <w:t xml:space="preserve"> </w:t>
      </w:r>
      <w:r>
        <w:t xml:space="preserve">sparsity-inducing priors and are marginalized by Markov-chain Monte</w:t>
      </w:r>
      <w:r>
        <w:t xml:space="preserve"> </w:t>
      </w:r>
      <w:r>
        <w:t xml:space="preserve">Carlo with the No-U-Turn Sampler (NUTS) rather than point-estimated.</w:t>
      </w:r>
      <w:r>
        <w:t xml:space="preserve"> </w:t>
      </w:r>
      <w:r>
        <w:t xml:space="preserve">Every refit in the</w:t>
      </w:r>
      <w:r>
        <w:t xml:space="preserve"> </w:t>
      </w:r>
      <w:r>
        <w:t xml:space="preserve">campaign, through the batch-4 ingestion, uses this model with qNEHVI</w:t>
      </w:r>
      <w:r>
        <w:t xml:space="preserve"> </w:t>
      </w:r>
      <w:r>
        <w:t xml:space="preserve">on top (Ax 0.4 for the early rounds, Ax 0.5.0 from the batch-3</w:t>
      </w:r>
      <w:r>
        <w:t xml:space="preserve"> </w:t>
      </w:r>
      <w:r>
        <w:t xml:space="preserve">refit). We retain SAASBO, even though the</w:t>
      </w:r>
      <w:r>
        <w:t xml:space="preserve"> </w:t>
      </w:r>
      <w:r>
        <w:t xml:space="preserve">dimensionality is modest, because marginalizing the hyperparameters</w:t>
      </w:r>
      <w:r>
        <w:t xml:space="preserve"> </w:t>
      </w:r>
      <w:r>
        <w:t xml:space="preserve">tends to improve uncertainty quantification at the very small sample</w:t>
      </w:r>
      <w:r>
        <w:t xml:space="preserve"> </w:t>
      </w:r>
      <w:r>
        <w:t xml:space="preserve">sizes of physical campaigns. We audit the fitted model each round</w:t>
      </w:r>
      <w:r>
        <w:t xml:space="preserve"> </w:t>
      </w:r>
      <w:r>
        <w:t xml:space="preserve">with cross-validation (leave-one-out, and leave-one-design-out once</w:t>
      </w:r>
      <w:r>
        <w:t xml:space="preserve"> </w:t>
      </w:r>
      <w:r>
        <w:t xml:space="preserve">replicates entered the record) and length-scale-based</w:t>
      </w:r>
      <w:r>
        <w:t xml:space="preserve"> </w:t>
      </w:r>
      <w:r>
        <w:t xml:space="preserve">sensitivity diagnostics</w:t>
      </w:r>
      <w:r>
        <w:t xml:space="preserve"> </w:t>
      </w:r>
      <w:r>
        <w:t xml:space="preserve">(Section </w:t>
      </w:r>
      <w:hyperlink w:anchor="lbl_sec_results">
        <w:r>
          <w:rPr>
            <w:rStyle w:val="Hyperlink"/>
          </w:rPr>
          <w:t xml:space="preserve">4</w:t>
        </w:r>
      </w:hyperlink>
      <w:r>
        <w:t xml:space="preserve">). Inputs are normalized to the unit cube</w:t>
      </w:r>
      <w:r>
        <w:t xml:space="preserve"> </w:t>
      </w:r>
      <w:r>
        <w:t xml:space="preserve">and outputs standardized. We supply observation noise per</w:t>
      </w:r>
      <w:r>
        <w:t xml:space="preserve"> </w:t>
      </w:r>
      <w:r>
        <w:t xml:space="preserve">observation as a fixed variance: for</w:t>
      </w:r>
      <w:r>
        <w:t xml:space="preserve"> </w:t>
      </w:r>
      <w:r>
        <w:rPr>
          <w:i/>
          <w:iCs/>
        </w:rPr>
        <w:t xml:space="preserve">t</w:t>
      </w:r>
      <w:r>
        <w:rPr>
          <w:vertAlign w:val="subscript"/>
        </w:rPr>
        <w:t xml:space="preserve">180</w:t>
      </w:r>
      <w:r>
        <w:t xml:space="preserve"> </w:t>
      </w:r>
      <w:r>
        <w:t xml:space="preserve">the squared standard</w:t>
      </w:r>
      <w:r>
        <w:t xml:space="preserve"> </w:t>
      </w:r>
      <w:r>
        <w:t xml:space="preserve">error of the stabilized mean,</w:t>
      </w:r>
      <w:r>
        <w:t xml:space="preserve"> </w:t>
      </w:r>
      <w:r>
        <w:rPr>
          <w:i/>
          <w:iCs/>
        </w:rPr>
        <w:t xml:space="preserve">σ</w:t>
      </w:r>
      <w:r>
        <w:rPr>
          <w:i/>
          <w:iCs/>
          <w:vertAlign w:val="subscript"/>
        </w:rPr>
        <w:t xml:space="preserve">t</w:t>
      </w:r>
      <w:r>
        <w:rPr>
          <w:vertAlign w:val="superscript"/>
        </w:rPr>
        <w:t xml:space="preserve">2</w:t>
      </w:r>
      <w:r>
        <w:t xml:space="preserve"> =</w:t>
      </w:r>
      <w:r>
        <w:t xml:space="preserve"> </w:t>
      </w:r>
      <w:r>
        <w:rPr>
          <w:i/>
          <w:iCs/>
        </w:rPr>
        <w:t xml:space="preserve">s</w:t>
      </w:r>
      <w:r>
        <w:rPr>
          <w:vertAlign w:val="subscript"/>
        </w:rPr>
        <w:t xml:space="preserve">drop</w:t>
      </w:r>
      <w:r>
        <w:rPr>
          <w:vertAlign w:val="superscript"/>
        </w:rPr>
        <w:t xml:space="preserve">2</w:t>
      </w:r>
      <w:r>
        <w:t xml:space="preserve">/</w:t>
      </w:r>
      <w:r>
        <w:rPr>
          <w:i/>
          <w:iCs/>
        </w:rPr>
        <w:t xml:space="preserve">n</w:t>
      </w:r>
      <w:r>
        <w:rPr>
          <w:vertAlign w:val="subscript"/>
        </w:rPr>
        <w:t xml:space="preserve">drops</w:t>
      </w:r>
      <w:r>
        <w:t xml:space="preserve">, and for</w:t>
      </w:r>
      <w:r>
        <w:t xml:space="preserve"> </w:t>
      </w:r>
      <w:r>
        <w:rPr>
          <w:i/>
          <w:iCs/>
        </w:rPr>
        <w:t xml:space="preserve">E</w:t>
      </w:r>
      <w:r>
        <w:rPr>
          <w:vertAlign w:val="subscript"/>
        </w:rPr>
        <w:t xml:space="preserve">reb</w:t>
      </w:r>
      <w:r>
        <w:t xml:space="preserve"> </w:t>
      </w:r>
      <w:r>
        <w:t xml:space="preserve">the drop-scatter term plus the propagated</w:t>
      </w:r>
      <w:r>
        <w:t xml:space="preserve"> </w:t>
      </w:r>
      <w:r>
        <w:t xml:space="preserve">print-to-print mass scatter,</w:t>
      </w:r>
      <w:r>
        <w:t xml:space="preserve"> </w:t>
      </w:r>
      <w:r>
        <w:rPr>
          <w:i/>
          <w:iCs/>
        </w:rPr>
        <w:t xml:space="preserve">σ</w:t>
      </w:r>
      <w:r>
        <w:rPr>
          <w:i/>
          <w:iCs/>
          <w:vertAlign w:val="subscript"/>
        </w:rPr>
        <w:t xml:space="preserve">E</w:t>
      </w:r>
      <w:r>
        <w:rPr>
          <w:vertAlign w:val="superscript"/>
        </w:rPr>
        <w:t xml:space="preserve">2</w:t>
      </w:r>
      <w:r>
        <w:t xml:space="preserve"> =</w:t>
      </w:r>
      <w:r>
        <w:t xml:space="preserve"> </w:t>
      </w:r>
      <w:r>
        <w:rPr>
          <w:i/>
          <w:iCs/>
        </w:rPr>
        <w:t xml:space="preserve">σ</w:t>
      </w:r>
      <w:r>
        <w:rPr>
          <w:i/>
          <w:iCs/>
          <w:vertAlign w:val="subscript"/>
        </w:rPr>
        <w:t xml:space="preserve">E</w:t>
      </w:r>
      <w:r>
        <w:rPr>
          <w:vertAlign w:val="subscript"/>
        </w:rPr>
        <w:t xml:space="preserve">,drops</w:t>
      </w:r>
      <w:r>
        <w:rPr>
          <w:vertAlign w:val="superscript"/>
        </w:rPr>
        <w:t xml:space="preserve">2</w:t>
      </w:r>
      <w:r>
        <w:t xml:space="preserve"> + (∂</w:t>
      </w:r>
      <w:r>
        <w:rPr>
          <w:i/>
          <w:iCs/>
        </w:rPr>
        <w:t xml:space="preserve">E</w:t>
      </w:r>
      <w:r>
        <w:rPr>
          <w:vertAlign w:val="subscript"/>
        </w:rPr>
        <w:t xml:space="preserve">reb</w:t>
      </w:r>
      <w:r>
        <w:t xml:space="preserve">/∂</w:t>
      </w:r>
      <w:r>
        <w:rPr>
          <w:i/>
          <w:iCs/>
        </w:rPr>
        <w:t xml:space="preserve">m</w:t>
      </w:r>
      <w:r>
        <w:t xml:space="preserve">)</w:t>
      </w:r>
      <w:r>
        <w:rPr>
          <w:vertAlign w:val="superscript"/>
        </w:rPr>
        <w:t xml:space="preserve">2</w:t>
      </w:r>
      <w:r>
        <w:rPr>
          <w:i/>
          <w:iCs/>
        </w:rPr>
        <w:t xml:space="preserve">σ</w:t>
      </w:r>
      <w:r>
        <w:rPr>
          <w:i/>
          <w:iCs/>
          <w:vertAlign w:val="subscript"/>
        </w:rPr>
        <w:t xml:space="preserve">m</w:t>
      </w:r>
      <w:r>
        <w:rPr>
          <w:vertAlign w:val="superscript"/>
        </w:rPr>
        <w:t xml:space="preserve">2</w:t>
      </w:r>
      <w:r>
        <w:t xml:space="preserve"> </w:t>
      </w:r>
      <w:r>
        <w:t xml:space="preserve">with</w:t>
      </w:r>
      <w:r>
        <w:t xml:space="preserve"> </w:t>
      </w:r>
      <w:r>
        <w:rPr>
          <w:i/>
          <w:iCs/>
        </w:rPr>
        <w:t xml:space="preserve">σ</w:t>
      </w:r>
      <w:r>
        <w:rPr>
          <w:i/>
          <w:iCs/>
          <w:vertAlign w:val="subscript"/>
        </w:rPr>
        <w:t xml:space="preserve">m</w:t>
      </w:r>
      <w:r>
        <w:t xml:space="preserve"> = 0.457 g measured from the one design printed in</w:t>
      </w:r>
      <w:r>
        <w:t xml:space="preserve"> </w:t>
      </w:r>
      <w:r>
        <w:t xml:space="preserve">triplicate. The estimand this noise model implies is the</w:t>
      </w:r>
      <w:r>
        <w:t xml:space="preserve"> </w:t>
      </w:r>
      <w:r>
        <w:t xml:space="preserve">response of the tested article in its seating, not of a freshly</w:t>
      </w:r>
      <w:r>
        <w:t xml:space="preserve"> </w:t>
      </w:r>
      <w:r>
        <w:t xml:space="preserve">printed article at the same design. An independent adversarial</w:t>
      </w:r>
      <w:r>
        <w:t xml:space="preserve"> </w:t>
      </w:r>
      <w:r>
        <w:t xml:space="preserve">review (Section </w:t>
      </w:r>
      <w:hyperlink w:anchor="lbl_sec_discussion">
        <w:r>
          <w:rPr>
            <w:rStyle w:val="Hyperlink"/>
          </w:rPr>
          <w:t xml:space="preserve">5</w:t>
        </w:r>
      </w:hyperlink>
      <w:r>
        <w:t xml:space="preserve">) argued that the decision-relevant</w:t>
      </w:r>
      <w:r>
        <w:t xml:space="preserve"> </w:t>
      </w:r>
      <w:r>
        <w:t xml:space="preserve">target is the latter. To account for that target, we use the measured</w:t>
      </w:r>
      <w:r>
        <w:t xml:space="preserve"> </w:t>
      </w:r>
      <w:r>
        <w:t xml:space="preserve">replication evidence of Section </w:t>
      </w:r>
      <w:hyperlink w:anchor="lbl_sec_results_batches">
        <w:r>
          <w:rPr>
            <w:rStyle w:val="Hyperlink"/>
          </w:rPr>
          <w:t xml:space="preserve">4.2</w:t>
        </w:r>
      </w:hyperlink>
      <w:r>
        <w:t xml:space="preserve"> </w:t>
      </w:r>
      <w:r>
        <w:t xml:space="preserve">(second</w:t>
      </w:r>
      <w:r>
        <w:t xml:space="preserve"> </w:t>
      </w:r>
      <w:r>
        <w:t xml:space="preserve">and third prints of one batch) together with the</w:t>
      </w:r>
      <w:r>
        <w:t xml:space="preserve"> </w:t>
      </w:r>
      <w:r>
        <w:t xml:space="preserve">between-seat replication rule, rather than an inflated</w:t>
      </w:r>
      <w:r>
        <w:t xml:space="preserve"> </w:t>
      </w:r>
      <w:r>
        <w:t xml:space="preserve">per-article noise term. We ingested the nine second-print articles,</w:t>
      </w:r>
      <w:r>
        <w:t xml:space="preserve"> </w:t>
      </w:r>
      <w:r>
        <w:t xml:space="preserve">re-prints of the same designs, as distinct completed trials at identical design coordinates,</w:t>
      </w:r>
      <w:r>
        <w:t xml:space="preserve"> </w:t>
      </w:r>
      <w:r>
        <w:t xml:space="preserve">each with its own weighed mass and per-session standard error and with</w:t>
      </w:r>
      <w:r>
        <w:t xml:space="preserve"> </w:t>
      </w:r>
      <w:r>
        <w:t xml:space="preserve">no pre-pooling. Later refits therefore observe measured</w:t>
      </w:r>
      <w:r>
        <w:t xml:space="preserve"> </w:t>
      </w:r>
      <w:r>
        <w:t xml:space="preserve">design-level replicates directly. Because per-session variances are</w:t>
      </w:r>
      <w:r>
        <w:t xml:space="preserve"> </w:t>
      </w:r>
      <w:r>
        <w:t xml:space="preserve">supplied as known, replicate disagreement is not absorbed by a</w:t>
      </w:r>
      <w:r>
        <w:t xml:space="preserve"> </w:t>
      </w:r>
      <w:r>
        <w:t xml:space="preserve">separately inferred noise parameter. Instead, it widens the posterior</w:t>
      </w:r>
      <w:r>
        <w:t xml:space="preserve"> </w:t>
      </w:r>
      <w:r>
        <w:t xml:space="preserve">through the fit itself. The third print was tested after the last</w:t>
      </w:r>
      <w:r>
        <w:t xml:space="preserve"> </w:t>
      </w:r>
      <w:r>
        <w:t xml:space="preserve">refit reported here and has not yet entered the fit. SAASBO is the</w:t>
      </w:r>
      <w:r>
        <w:t xml:space="preserve"> </w:t>
      </w:r>
      <w:r>
        <w:t xml:space="preserve">prespecified surrogate. We make no claim that it outperforms</w:t>
      </w:r>
      <w:r>
        <w:t xml:space="preserve"> </w:t>
      </w:r>
      <w:r>
        <w:t xml:space="preserve">a standard single-task GP at this dimensionality and sample size,</w:t>
      </w:r>
      <w:r>
        <w:t xml:space="preserve"> </w:t>
      </w:r>
      <w:r>
        <w:t xml:space="preserve">and the planned head-to-head calibration comparison against a</w:t>
      </w:r>
      <w:r>
        <w:t xml:space="preserve"> </w:t>
      </w:r>
      <w:r>
        <w:t xml:space="preserve">point-estimated GP with the same kernel remains future work.</w:t>
      </w:r>
    </w:p>
    <w:p>
      <w:pPr>
        <w:pStyle w:val="RuninHeading4"/>
      </w:pPr>
      <w:r>
        <w:rPr>
          <w:i/>
          <w:iCs/>
        </w:rPr>
        <w:t xml:space="preserve">Mass treatment.</w:t>
      </w:r>
      <w:r>
        <w:t xml:space="preserve"> </w:t>
      </w:r>
      <w:r>
        <w:t xml:space="preserve">Because the constant</w:t>
      </w:r>
      <w:r>
        <w:t xml:space="preserve"> </w:t>
      </w:r>
      <w:r>
        <w:rPr>
          <w:i/>
          <w:iCs/>
        </w:rPr>
        <w:t xml:space="preserve">solid</w:t>
      </w:r>
      <w:r>
        <w:t xml:space="preserve">-mass</w:t>
      </w:r>
      <w:r>
        <w:t xml:space="preserve"> </w:t>
      </w:r>
      <w:r>
        <w:t xml:space="preserve">projection of batches 1 and 2 does not hold printed grams constant</w:t>
      </w:r>
      <w:r>
        <w:t xml:space="preserve"> </w:t>
      </w:r>
      <w:r>
        <w:t xml:space="preserve">(Section </w:t>
      </w:r>
      <w:hyperlink w:anchor="lbl_sec_methods_parameterization">
        <w:r>
          <w:rPr>
            <w:rStyle w:val="Hyperlink"/>
          </w:rPr>
          <w:t xml:space="preserve">3.1</w:t>
        </w:r>
      </w:hyperlink>
      <w:r>
        <w:t xml:space="preserve">), printed mass correlates</w:t>
      </w:r>
      <w:r>
        <w:t xml:space="preserve"> </w:t>
      </w:r>
      <w:r>
        <w:t xml:space="preserve">with the shape variables in the seed batch, and with</w:t>
      </w:r>
      <w:r>
        <w:t xml:space="preserve"> </w:t>
      </w:r>
      <w:r>
        <w:rPr>
          <w:i/>
          <w:iCs/>
        </w:rPr>
        <w:t xml:space="preserve">t</w:t>
      </w:r>
      <w:r>
        <w:rPr>
          <w:vertAlign w:val="subscript"/>
        </w:rPr>
        <w:t xml:space="preserve">180</w:t>
      </w:r>
      <w:r>
        <w:t xml:space="preserve"> </w:t>
      </w:r>
      <w:r>
        <w:t xml:space="preserve">(</w:t>
      </w:r>
      <w:r>
        <w:rPr>
          <w:i/>
          <w:iCs/>
        </w:rPr>
        <w:t xml:space="preserve">r</w:t>
      </w:r>
      <w:r>
        <w:t xml:space="preserve"> = 0.83,</w:t>
      </w:r>
      <w:r>
        <w:t xml:space="preserve"> </w:t>
      </w:r>
      <w:r>
        <w:rPr>
          <w:i/>
          <w:iCs/>
        </w:rPr>
        <w:t xml:space="preserve">n</w:t>
      </w:r>
      <w:r>
        <w:t xml:space="preserve"> = 7, dominated by the lightest article). We therefore</w:t>
      </w:r>
      <w:r>
        <w:t xml:space="preserve"> </w:t>
      </w:r>
      <w:r>
        <w:t xml:space="preserve">keep mass explicit in the loop. The second objective,</w:t>
      </w:r>
      <w:r>
        <w:t xml:space="preserve"> </w:t>
      </w:r>
      <w:r>
        <w:rPr>
          <w:i/>
          <w:iCs/>
        </w:rPr>
        <w:t xml:space="preserve">E</w:t>
      </w:r>
      <w:r>
        <w:rPr>
          <w:vertAlign w:val="subscript"/>
        </w:rPr>
        <w:t xml:space="preserve">reb</w:t>
      </w:r>
      <w:r>
        <w:t xml:space="preserve">, is in absolute millijoules computed with each</w:t>
      </w:r>
      <w:r>
        <w:t xml:space="preserve"> </w:t>
      </w:r>
      <w:r>
        <w:t xml:space="preserve">article’s weighed mass, so added grams are penalized through the</w:t>
      </w:r>
      <w:r>
        <w:t xml:space="preserve"> </w:t>
      </w:r>
      <w:r>
        <w:t xml:space="preserve">motion they send back to the payload. The transmissibility</w:t>
      </w:r>
      <w:r>
        <w:t xml:space="preserve"> </w:t>
      </w:r>
      <w:r>
        <w:rPr>
          <w:i/>
          <w:iCs/>
        </w:rPr>
        <w:t xml:space="preserve">t</w:t>
      </w:r>
      <w:r>
        <w:rPr>
          <w:vertAlign w:val="subscript"/>
        </w:rPr>
        <w:t xml:space="preserve">180</w:t>
      </w:r>
      <w:r>
        <w:t xml:space="preserve"> </w:t>
      </w:r>
      <w:r>
        <w:t xml:space="preserve">stays a ratio on purpose, because payload peak acceleration is a</w:t>
      </w:r>
      <w:r>
        <w:t xml:space="preserve"> </w:t>
      </w:r>
      <w:r>
        <w:t xml:space="preserve">damage criterion that does not scale with specimen mass. The objective surrogates take</w:t>
      </w:r>
      <w:r>
        <w:t xml:space="preserve"> </w:t>
      </w:r>
      <w:r>
        <w:t xml:space="preserve">the design coordinates of Table </w:t>
      </w:r>
      <w:hyperlink w:anchor="lbl_tab_design_vars">
        <w:r>
          <w:rPr>
            <w:rStyle w:val="Hyperlink"/>
          </w:rPr>
          <w:t xml:space="preserve">2</w:t>
        </w:r>
      </w:hyperlink>
      <w:r>
        <w:t xml:space="preserve"> </w:t>
      </w:r>
      <w:r>
        <w:t xml:space="preserve">as their</w:t>
      </w:r>
      <w:r>
        <w:t xml:space="preserve"> </w:t>
      </w:r>
      <w:r>
        <w:t xml:space="preserve">inputs. We attach printed mass as a separately modeled</w:t>
      </w:r>
      <w:r>
        <w:t xml:space="preserve"> </w:t>
      </w:r>
      <w:r>
        <w:rPr>
          <w:i/>
          <w:iCs/>
        </w:rPr>
        <w:t xml:space="preserve">tracking metric</w:t>
      </w:r>
      <w:r>
        <w:t xml:space="preserve">, so the model learns as-printed mass as a</w:t>
      </w:r>
      <w:r>
        <w:t xml:space="preserve"> </w:t>
      </w:r>
      <w:r>
        <w:t xml:space="preserve">function of the design coordinates and every recommendation reports a</w:t>
      </w:r>
      <w:r>
        <w:t xml:space="preserve"> </w:t>
      </w:r>
      <w:r>
        <w:t xml:space="preserve">predicted printed mass. In the diagnostic refit behind</w:t>
      </w:r>
      <w:r>
        <w:t xml:space="preserve"> </w:t>
      </w:r>
      <w:r>
        <w:t xml:space="preserve">Fig. </w:t>
      </w:r>
      <w:hyperlink w:anchor="lbl_fig_sensitivity">
        <w:r>
          <w:rPr>
            <w:rStyle w:val="Hyperlink"/>
          </w:rPr>
          <w:t xml:space="preserve">9</w:t>
        </w:r>
      </w:hyperlink>
      <w:r>
        <w:t xml:space="preserve">, we additionally include printed mass as an</w:t>
      </w:r>
      <w:r>
        <w:t xml:space="preserve"> </w:t>
      </w:r>
      <w:r>
        <w:t xml:space="preserve">input to probe this confound. With the calibrated</w:t>
      </w:r>
      <w:r>
        <w:t xml:space="preserve"> </w:t>
      </w:r>
      <w:r>
        <w:t xml:space="preserve">printed-mass model (Supplementary Information), we then held</w:t>
      </w:r>
      <w:r>
        <w:t xml:space="preserve"> </w:t>
      </w:r>
      <w:r>
        <w:rPr>
          <w:i/>
          <w:iCs/>
        </w:rPr>
        <w:t xml:space="preserve">printed</w:t>
      </w:r>
      <w:r>
        <w:t xml:space="preserve"> </w:t>
      </w:r>
      <w:r>
        <w:t xml:space="preserve">grams constant in batches 3 and 4. Across all 53 tested</w:t>
      </w:r>
      <w:r>
        <w:t xml:space="preserve"> </w:t>
      </w:r>
      <w:r>
        <w:t xml:space="preserve">articles, printed mass explains about 1% of the variance in</w:t>
      </w:r>
      <w:r>
        <w:t xml:space="preserve"> </w:t>
      </w:r>
      <w:r>
        <w:t xml:space="preserve">transmissibility (</w:t>
      </w:r>
      <w:r>
        <w:rPr>
          <w:i/>
          <w:iCs/>
        </w:rPr>
        <w:t xml:space="preserve">r</w:t>
      </w:r>
      <w:r>
        <w:t xml:space="preserve"> = 0.12), so the seed batch’s mass confound was</w:t>
      </w:r>
      <w:r>
        <w:t xml:space="preserve"> </w:t>
      </w:r>
      <w:r>
        <w:t xml:space="preserve">removed by the experimental design rather than adjusted away in the</w:t>
      </w:r>
      <w:r>
        <w:t xml:space="preserve"> </w:t>
      </w:r>
      <w:r>
        <w:t xml:space="preserve">analysis (Section </w:t>
      </w:r>
      <w:hyperlink w:anchor="lbl_sec_results_audits">
        <w:r>
          <w:rPr>
            <w:rStyle w:val="Hyperlink"/>
          </w:rPr>
          <w:t xml:space="preserve">4.3</w:t>
        </w:r>
      </w:hyperlink>
      <w:r>
        <w:t xml:space="preserve">).</w:t>
      </w:r>
    </w:p>
    <w:p>
      <w:pPr>
        <w:pStyle w:val="RuninHeading4"/>
      </w:pPr>
      <w:r>
        <w:rPr>
          <w:i/>
          <w:iCs/>
        </w:rPr>
        <w:t xml:space="preserve">Budget and seeding.</w:t>
      </w:r>
      <w:r>
        <w:t xml:space="preserve"> </w:t>
      </w:r>
      <w:r>
        <w:t xml:space="preserve">We drew the nine seed designs as the</w:t>
      </w:r>
      <w:r>
        <w:t xml:space="preserve"> </w:t>
      </w:r>
      <w:r>
        <w:t xml:space="preserve">first points of a scrambled Sobol</w:t>
      </w:r>
      <w:r>
        <w:t xml:space="preserve"> </w:t>
      </w:r>
      <w:r>
        <w:t xml:space="preserve">sequence [</w:t>
      </w:r>
      <w:hyperlink w:anchor="bib57">
        <w:r>
          <w:rPr>
            <w:rStyle w:val="Hyperlink"/>
          </w:rPr>
          <w:t xml:space="preserve">57</w:t>
        </w:r>
      </w:hyperlink>
      <w:r>
        <w:t xml:space="preserve">,</w:t>
      </w:r>
      <w:r>
        <w:t xml:space="preserve"> </w:t>
      </w:r>
      <w:hyperlink w:anchor="bib58">
        <w:r>
          <w:rPr>
            <w:rStyle w:val="Hyperlink"/>
          </w:rPr>
          <w:t xml:space="preserve">58</w:t>
        </w:r>
      </w:hyperlink>
      <w:r>
        <w:t xml:space="preserve">], the</w:t>
      </w:r>
      <w:r>
        <w:t xml:space="preserve"> </w:t>
      </w:r>
      <w:r>
        <w:t xml:space="preserve">initialization step of the Ax platform, with a recorded seed (0). A</w:t>
      </w:r>
      <w:r>
        <w:t xml:space="preserve"> </w:t>
      </w:r>
      <w:r>
        <w:t xml:space="preserve">Sobol sequence is a quasi-random sequence that covers the</w:t>
      </w:r>
      <w:r>
        <w:t xml:space="preserve"> </w:t>
      </w:r>
      <w:r>
        <w:t xml:space="preserve">five-variable box more evenly than the same number of independent</w:t>
      </w:r>
      <w:r>
        <w:t xml:space="preserve"> </w:t>
      </w:r>
      <w:r>
        <w:t xml:space="preserve">random draws. We printed the nine designs together with the fixed</w:t>
      </w:r>
      <w:r>
        <w:t xml:space="preserve"> </w:t>
      </w:r>
      <w:r>
        <w:t xml:space="preserve">reference prism (S0). Optimization proceeds in</w:t>
      </w:r>
      <w:r>
        <w:t xml:space="preserve"> </w:t>
      </w:r>
      <w:r>
        <w:t xml:space="preserve">sequential batches of</w:t>
      </w:r>
      <w:r>
        <w:t xml:space="preserve"> </w:t>
      </w:r>
      <w:r>
        <w:rPr>
          <w:i/>
          <w:iCs/>
        </w:rPr>
        <w:t xml:space="preserve">q</w:t>
      </w:r>
      <w:r>
        <w:t xml:space="preserve"> = 9 prints, sized to one build-plate</w:t>
      </w:r>
      <w:r>
        <w:t xml:space="preserve"> </w:t>
      </w:r>
      <w:r>
        <w:t xml:space="preserve">generation cycle. Three model-recommended batches are reported here</w:t>
      </w:r>
      <w:r>
        <w:t xml:space="preserve"> </w:t>
      </w:r>
      <w:r>
        <w:t xml:space="preserve">(Ax trials 10 to 18, 28 to 36, and 37 to 45). The numbering gap</w:t>
      </w:r>
      <w:r>
        <w:t xml:space="preserve"> </w:t>
      </w:r>
      <w:r>
        <w:t xml:space="preserve">records a superseded draft batch that was regenerated, before</w:t>
      </w:r>
      <w:r>
        <w:t xml:space="preserve"> </w:t>
      </w:r>
      <w:r>
        <w:t xml:space="preserve">printing, when the batch-level filament handling was simplified.</w:t>
      </w:r>
      <w:r>
        <w:t xml:space="preserve"> </w:t>
      </w:r>
      <w:r>
        <w:t xml:space="preserve">From batch 3 the four filament settings take one quasi-random point</w:t>
      </w:r>
      <w:r>
        <w:t xml:space="preserve"> </w:t>
      </w:r>
      <w:r>
        <w:t xml:space="preserve">per batch, formally the settings of that batch’s best-predicted</w:t>
      </w:r>
      <w:r>
        <w:t xml:space="preserve"> </w:t>
      </w:r>
      <w:r>
        <w:t xml:space="preserve">article, so those axes are confounded with batch and are reported as</w:t>
      </w:r>
      <w:r>
        <w:t xml:space="preserve"> </w:t>
      </w:r>
      <w:r>
        <w:t xml:space="preserve">unidentified rather than learned. We record all random seeds,</w:t>
      </w:r>
      <w:r>
        <w:t xml:space="preserve"> </w:t>
      </w:r>
      <w:r>
        <w:t xml:space="preserve">the full experiment state, and the recommendation tables</w:t>
      </w:r>
      <w:r>
        <w:t xml:space="preserve"> </w:t>
      </w:r>
      <w:r>
        <w:t xml:space="preserve">per round. Full computational reproducibility (the exact processing</w:t>
      </w:r>
      <w:r>
        <w:t xml:space="preserve"> </w:t>
      </w:r>
      <w:r>
        <w:t xml:space="preserve">pipeline and model settings) is carried by the campaign code. We plan to escalate to</w:t>
      </w:r>
      <w:r>
        <w:t xml:space="preserve"> </w:t>
      </w:r>
      <w:r>
        <w:t xml:space="preserve">trust-region BO (TuRBO) [</w:t>
      </w:r>
      <w:hyperlink w:anchor="bib59">
        <w:r>
          <w:rPr>
            <w:rStyle w:val="Hyperlink"/>
          </w:rPr>
          <w:t xml:space="preserve">59</w:t>
        </w:r>
      </w:hyperlink>
      <w:r>
        <w:t xml:space="preserve">] only if</w:t>
      </w:r>
      <w:r>
        <w:t xml:space="preserve"> </w:t>
      </w:r>
      <w:r>
        <w:t xml:space="preserve">per-member-diameter extensions push the design space well beyond the</w:t>
      </w:r>
      <w:r>
        <w:t xml:space="preserve"> </w:t>
      </w:r>
      <w:r>
        <w:t xml:space="preserve">present regime. We retain a single-objective log-Expected-Improvement</w:t>
      </w:r>
      <w:r>
        <w:t xml:space="preserve"> </w:t>
      </w:r>
      <w:r>
        <w:t xml:space="preserve">run [</w:t>
      </w:r>
      <w:hyperlink w:anchor="bib43">
        <w:r>
          <w:rPr>
            <w:rStyle w:val="Hyperlink"/>
          </w:rPr>
          <w:t xml:space="preserve">43</w:t>
        </w:r>
      </w:hyperlink>
      <w:r>
        <w:t xml:space="preserve">] on</w:t>
      </w:r>
      <w:r>
        <w:t xml:space="preserve"> </w:t>
      </w:r>
      <w:r>
        <w:rPr>
          <w:i/>
          <w:iCs/>
        </w:rPr>
        <w:t xml:space="preserve">t</w:t>
      </w:r>
      <w:r>
        <w:rPr>
          <w:vertAlign w:val="subscript"/>
        </w:rPr>
        <w:t xml:space="preserve">180</w:t>
      </w:r>
      <w:r>
        <w:t xml:space="preserve"> </w:t>
      </w:r>
      <w:r>
        <w:t xml:space="preserve">as a baseline to</w:t>
      </w:r>
      <w:r>
        <w:t xml:space="preserve"> </w:t>
      </w:r>
      <w:r>
        <w:t xml:space="preserve">quantify the benefit of the multi-objective formulation. We will</w:t>
      </w:r>
      <w:r>
        <w:t xml:space="preserve"> </w:t>
      </w:r>
      <w:r>
        <w:t xml:space="preserve">archive the campaign code and recommended batches at a</w:t>
      </w:r>
      <w:r>
        <w:t xml:space="preserve"> </w:t>
      </w:r>
      <w:r>
        <w:t xml:space="preserve">Zenodo-minted DOI mirroring the GitHub repository.</w:t>
      </w:r>
    </w:p>
    <w:bookmarkStart w:id="41" w:name="lbl_sec_methods_rankstability"/>
    <w:p>
      <w:pPr>
        <w:pStyle w:val="RuninHeading2"/>
      </w:pPr>
      <w:r>
        <w:rPr>
          <w:b/>
          <w:bCs/>
        </w:rPr>
        <w:t xml:space="preserve">3.5 Replicate Rank-Stability Study.</w:t>
      </w:r>
      <w:r>
        <w:t xml:space="preserve"> </w:t>
      </w:r>
      <w:r>
        <w:t xml:space="preserve">Repeated prints of the batch-3 designs</w:t>
      </w:r>
      <w:r>
        <w:t xml:space="preserve"> </w:t>
      </w:r>
      <w:r>
        <w:t xml:space="preserve">(Section </w:t>
      </w:r>
      <w:hyperlink w:anchor="lbl_sec_results_batches">
        <w:r>
          <w:rPr>
            <w:rStyle w:val="Hyperlink"/>
          </w:rPr>
          <w:t xml:space="preserve">4.2</w:t>
        </w:r>
      </w:hyperlink>
      <w:r>
        <w:t xml:space="preserve">) showed that a single article’s</w:t>
      </w:r>
      <w:r>
        <w:t xml:space="preserve"> </w:t>
      </w:r>
      <w:r>
        <w:t xml:space="preserve">measurement can move between seatings</w:t>
      </w:r>
      <w:r>
        <w:t xml:space="preserve"> </w:t>
      </w:r>
      <w:r>
        <w:t xml:space="preserve">and prints by more than the design signal separating neighboring</w:t>
      </w:r>
      <w:r>
        <w:t xml:space="preserve"> </w:t>
      </w:r>
      <w:r>
        <w:t xml:space="preserve">designs, which bounds any claim that one design outranks another. We</w:t>
      </w:r>
      <w:r>
        <w:t xml:space="preserve"> </w:t>
      </w:r>
      <w:r>
        <w:t xml:space="preserve">plan a replicate study to quantify this bound by re-printing a</w:t>
      </w:r>
      <w:r>
        <w:t xml:space="preserve"> </w:t>
      </w:r>
      <w:r>
        <w:t xml:space="preserve">deliberately spread subset of the already-measured designs. Among</w:t>
      </w:r>
      <w:r>
        <w:t xml:space="preserve"> </w:t>
      </w:r>
      <w:r>
        <w:t xml:space="preserve">the campaign’s in-sample designs, ranked by the current posterior’s</w:t>
      </w:r>
      <w:r>
        <w:t xml:space="preserve"> </w:t>
      </w:r>
      <w:r>
        <w:t xml:space="preserve">predictions, we will select the best-predicted design, the</w:t>
      </w:r>
      <w:r>
        <w:t xml:space="preserve"> </w:t>
      </w:r>
      <w:r>
        <w:t xml:space="preserve">worst-predicted design, and one mid-pack (</w:t>
      </w:r>
      <w:r>
        <w:t xml:space="preserve">“</w:t>
      </w:r>
      <w:r>
        <w:t xml:space="preserve">run-of-the-mill</w:t>
      </w:r>
      <w:r>
        <w:t xml:space="preserve">”</w:t>
      </w:r>
      <w:r>
        <w:t xml:space="preserve">)</w:t>
      </w:r>
      <w:r>
        <w:t xml:space="preserve"> </w:t>
      </w:r>
      <w:r>
        <w:t xml:space="preserve">design. We will then print three fresh articles of each and drop-test</w:t>
      </w:r>
      <w:r>
        <w:t xml:space="preserve"> </w:t>
      </w:r>
      <w:r>
        <w:t xml:space="preserve">every article under the standard protocol</w:t>
      </w:r>
      <w:r>
        <w:t xml:space="preserve"> </w:t>
      </w:r>
      <w:r>
        <w:t xml:space="preserve">of Section </w:t>
      </w:r>
      <w:hyperlink w:anchor="lbl_sec_methods_testing">
        <w:r>
          <w:rPr>
            <w:rStyle w:val="Hyperlink"/>
          </w:rPr>
          <w:t xml:space="preserve">3.3</w:t>
        </w:r>
      </w:hyperlink>
      <w:r>
        <w:t xml:space="preserve">, including the between-seat</w:t>
      </w:r>
      <w:r>
        <w:t xml:space="preserve"> </w:t>
      </w:r>
      <w:r>
        <w:t xml:space="preserve">replication rule. This repeat count is provisional and will be fixed</w:t>
      </w:r>
      <w:r>
        <w:t xml:space="preserve"> </w:t>
      </w:r>
      <w:r>
        <w:t xml:space="preserve">when the print is scheduled. The question is whether the predicted ordering</w:t>
      </w:r>
      <w:r>
        <w:t xml:space="preserve"> </w:t>
      </w:r>
      <w:r>
        <w:t xml:space="preserve">survives fabrication and seating variation. With three designs the</w:t>
      </w:r>
      <w:r>
        <w:t xml:space="preserve"> </w:t>
      </w:r>
      <w:r>
        <w:t xml:space="preserve">exact permutation floor for a Spearman rank correlation is</w:t>
      </w:r>
      <w:r>
        <w:t xml:space="preserve"> </w:t>
      </w:r>
      <w:r>
        <w:rPr>
          <w:i/>
          <w:iCs/>
        </w:rPr>
        <w:t xml:space="preserve">p</w:t>
      </w:r>
      <w:r>
        <w:t xml:space="preserve"> = 1/6, so no significance claim is available at this size.</w:t>
      </w:r>
      <w:r>
        <w:t xml:space="preserve"> </w:t>
      </w:r>
      <w:r>
        <w:t xml:space="preserve">Instead, the primary readout is the separation of the three designs’</w:t>
      </w:r>
      <w:r>
        <w:t xml:space="preserve"> </w:t>
      </w:r>
      <w:r>
        <w:t xml:space="preserve">repeat clusters relative to the within-design (print-to-print plus</w:t>
      </w:r>
      <w:r>
        <w:t xml:space="preserve"> </w:t>
      </w:r>
      <w:r>
        <w:t xml:space="preserve">seat-to-seat) scatter, reported alongside</w:t>
      </w:r>
      <w:r>
        <w:t xml:space="preserve"> </w:t>
      </w:r>
      <w:r>
        <w:rPr>
          <w:i/>
          <w:iCs/>
        </w:rPr>
        <w:t xml:space="preserve">ρ</w:t>
      </w:r>
      <w:r>
        <w:rPr>
          <w:i/>
          <w:iCs/>
          <w:vertAlign w:val="subscript"/>
        </w:rPr>
        <w:t xml:space="preserve">s</w:t>
      </w:r>
      <w:r>
        <w:t xml:space="preserve"> </w:t>
      </w:r>
      <w:r>
        <w:t xml:space="preserve">between the</w:t>
      </w:r>
      <w:r>
        <w:t xml:space="preserve"> </w:t>
      </w:r>
      <w:r>
        <w:t xml:space="preserve">predicted and measured orderings of each repeat. Clean separation</w:t>
      </w:r>
      <w:r>
        <w:t xml:space="preserve"> </w:t>
      </w:r>
      <w:r>
        <w:t xml:space="preserve">would support treating the campaign’s rankings as design properties.</w:t>
      </w:r>
      <w:r>
        <w:t xml:space="preserve"> </w:t>
      </w:r>
      <w:r>
        <w:t xml:space="preserve">Overlapping clusters would measure the ranking noise floor that the</w:t>
      </w:r>
      <w:r>
        <w:t xml:space="preserve"> </w:t>
      </w:r>
      <w:r>
        <w:t xml:space="preserve">three batch-3 prints could only bound. Table </w:t>
      </w:r>
      <w:hyperlink w:anchor="lbl_tab_rank_stability">
        <w:r>
          <w:rPr>
            <w:rStyle w:val="Hyperlink"/>
          </w:rPr>
          <w:t xml:space="preserve">4</w:t>
        </w:r>
      </w:hyperlink>
      <w:r>
        <w:t xml:space="preserve"> </w:t>
      </w:r>
      <w:r>
        <w:t xml:space="preserve">gives the reporting format. We will add entries and</w:t>
      </w:r>
      <w:r>
        <w:t xml:space="preserve"> </w:t>
      </w:r>
      <w:r>
        <w:t xml:space="preserve">design IDs once the repeat articles are printed and tested.</w:t>
      </w:r>
    </w:p>
    <w:bookmarkEnd w:id="41"/>
    <w:bookmarkStart w:id="42" w:name="lbl_tab_rank_stability"/>
    <w:p>
      <w:pPr>
        <w:pStyle w:val="TableCaption"/>
      </w:pPr>
      <w:bookmarkStart w:id="90006" w:name="cap_tab4"/>
      <w:r>
        <w:t xml:space="preserve">Table 4 </w:t>
      </w:r>
      <w:r>
        <w:rPr>
          <w:i/>
          <w:iCs/>
        </w:rPr>
        <w:t xml:space="preserve">Placeholder (data pending).</w:t>
      </w:r>
      <w:r>
        <w:t xml:space="preserve"> </w:t>
      </w:r>
      <w:r>
        <w:t xml:space="preserve">Planned replicate</w:t>
      </w:r>
      <w:r>
        <w:t xml:space="preserve"> </w:t>
      </w:r>
      <w:r>
        <w:t xml:space="preserve">rank-stability study: the best-, mid-, and worst-predicted</w:t>
      </w:r>
      <w:r>
        <w:t xml:space="preserve"> </w:t>
      </w:r>
      <w:r>
        <w:t xml:space="preserve">in-sample designs, each re-printed as a nominal three fresh</w:t>
      </w:r>
      <w:r>
        <w:t xml:space="preserve"> </w:t>
      </w:r>
      <w:r>
        <w:t xml:space="preserve">articles and drop-tested under the standard protocol. Entries</w:t>
      </w:r>
      <w:r>
        <w:t xml:space="preserve"> </w:t>
      </w:r>
      <w:r>
        <w:t xml:space="preserve">will record each repeat’s stabilized</w:t>
      </w:r>
      <w:r>
        <w:t xml:space="preserve"> </w:t>
      </w:r>
      <w:r>
        <w:rPr>
          <w:i/>
          <w:iCs/>
        </w:rPr>
        <w:t xml:space="preserve">t</w:t>
      </w:r>
      <w:r>
        <w:rPr>
          <w:vertAlign w:val="subscript"/>
        </w:rPr>
        <w:t xml:space="preserve">180</w:t>
      </w:r>
      <w:r>
        <w:t xml:space="preserve">, the</w:t>
      </w:r>
      <w:r>
        <w:t xml:space="preserve"> </w:t>
      </w:r>
      <w:r>
        <w:t xml:space="preserve">within-design scatter, and the measured rank of each design’s</w:t>
      </w:r>
      <w:r>
        <w:t xml:space="preserve"> </w:t>
      </w:r>
      <w:r>
        <w:t xml:space="preserve">repeat cluster against its predicted rank.</w:t>
      </w:r>
      <w:bookmarkEnd w:id="90006"/>
    </w:p>
    <w:tbl>
      <w:tblPr>
        <w:tblStyle w:val="Table"/>
        <w:tblW w:type="dxa" w:w="4491"/>
        <w:jc w:val="start"/>
        <w:tblLayout w:type="fixed"/>
        <w:tblLook w:firstRow="1" w:lastRow="0" w:firstColumn="0" w:lastColumn="0" w:noHBand="0" w:noVBand="0" w:val="0020"/>
        <w:tblCaption w:val="Table 4 Placeholder (data pending). Planned replicate rank-stability study: the best-, mid-, and worst-predicted in-sample designs, each re-printed as a nominal three fresh articles and drop-tested under the standard protocol. Entries will record each repeat’s stabilized t180, the within-design scatter, and the measured rank of each design’s repeat cluster against its predicted rank."/>
      </w:tblPr>
      <w:tblGrid>
        <w:gridCol w:w="610"/>
        <w:gridCol w:w="692"/>
        <w:gridCol w:w="1020"/>
        <w:gridCol w:w="723"/>
        <w:gridCol w:w="723"/>
        <w:gridCol w:w="723"/>
      </w:tblGrid>
      <w:tr>
        <w:trPr>
          <w:tblHeader w:val="true"/>
        </w:trPr>
        <w:tc>
          <w:tcPr/>
          <w:p>
            <w:pPr>
              <w:pStyle w:val="TableText"/>
              <w:jc w:val="left"/>
            </w:pPr>
            <w:r>
              <w:t xml:space="preserve">Tier</w:t>
            </w:r>
          </w:p>
        </w:tc>
        <w:tc>
          <w:tcPr/>
          <w:p>
            <w:pPr>
              <w:pStyle w:val="TableText"/>
              <w:jc w:val="left"/>
            </w:pPr>
            <w:r>
              <w:t xml:space="preserve">Design</w:t>
            </w:r>
          </w:p>
        </w:tc>
        <w:tc>
          <w:tcPr/>
          <w:p>
            <w:pPr>
              <w:pStyle w:val="TableText"/>
              <w:jc w:val="center"/>
            </w:pPr>
            <w:r>
              <w:t xml:space="preserve">Pred. </w:t>
            </w:r>
            <w:r>
              <w:rPr>
                <w:i/>
                <w:iCs/>
              </w:rPr>
              <w:t xml:space="preserve">t</w:t>
            </w:r>
            <w:r>
              <w:rPr>
                <w:vertAlign w:val="subscript"/>
              </w:rPr>
              <w:t xml:space="preserve">180</w:t>
            </w:r>
          </w:p>
        </w:tc>
        <w:tc>
          <w:tcPr>
            <w:gridSpan w:val="3"/>
          </w:tcPr>
          <w:p>
            <w:pPr>
              <w:pStyle w:val="TableText"/>
              <w:jc w:val="center"/>
            </w:pPr>
            <w:r>
              <w:rPr>
                <w:i/>
                <w:iCs/>
              </w:rPr>
              <w:t xml:space="preserve">t</w:t>
            </w:r>
            <w:r>
              <w:rPr>
                <w:vertAlign w:val="subscript"/>
              </w:rPr>
              <w:t xml:space="preserve">180</w:t>
            </w:r>
            <w:r>
              <w:t xml:space="preserve"> </w:t>
            </w:r>
            <w:r>
              <w:t xml:space="preserve">(repeats 1 / 2 / 3)</w:t>
            </w:r>
          </w:p>
        </w:tc>
      </w:tr>
      <w:tr>
        <w:tc>
          <w:tcPr/>
          <w:p>
            <w:pPr>
              <w:pStyle w:val="TableText"/>
              <w:jc w:val="left"/>
            </w:pPr>
            <w:r>
              <w:t xml:space="preserve">Best</w:t>
            </w:r>
          </w:p>
        </w:tc>
        <w:tc>
          <w:tcPr/>
          <w:p>
            <w:pPr>
              <w:pStyle w:val="TableText"/>
              <w:jc w:val="left"/>
            </w:pPr>
            <w:r>
              <w:rPr>
                <w:i/>
                <w:iCs/>
              </w:rPr>
              <w:t xml:space="preserve">TBD</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Mid</w:t>
            </w:r>
          </w:p>
        </w:tc>
        <w:tc>
          <w:tcPr/>
          <w:p>
            <w:pPr>
              <w:pStyle w:val="TableText"/>
              <w:jc w:val="left"/>
            </w:pPr>
            <w:r>
              <w:rPr>
                <w:i/>
                <w:iCs/>
              </w:rPr>
              <w:t xml:space="preserve">TBD</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Worst</w:t>
            </w:r>
          </w:p>
        </w:tc>
        <w:tc>
          <w:tcPr/>
          <w:p>
            <w:pPr>
              <w:pStyle w:val="TableText"/>
              <w:jc w:val="left"/>
            </w:pPr>
            <w:r>
              <w:rPr>
                <w:i/>
                <w:iCs/>
              </w:rPr>
              <w:t xml:space="preserve">TBD</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c>
          <w:tcPr/>
          <w:p>
            <w:pPr>
              <w:pStyle w:val="TableText"/>
              <w:jc w:val="center"/>
            </w:pPr>
            <w:r>
              <w:rPr>
                <w:i/>
                <w:iCs/>
              </w:rPr>
              <w:t xml:space="preserve">-</w:t>
            </w:r>
          </w:p>
        </w:tc>
      </w:tr>
    </w:tbl>
    <w:bookmarkEnd w:id="42"/>
    <w:bookmarkStart w:id="43" w:name="lbl_sec_methods_validation"/>
    <w:p>
      <w:pPr>
        <w:pStyle w:val="RuninHeading2"/>
      </w:pPr>
      <w:r>
        <w:rPr>
          <w:b/>
          <w:bCs/>
        </w:rPr>
        <w:t xml:space="preserve">3.6 Metal-Analog Validation.</w:t>
      </w:r>
      <w:r>
        <w:t xml:space="preserve"> </w:t>
      </w:r>
      <w:r>
        <w:t xml:space="preserve">In the future we plan a validation campaign that tests whether the</w:t>
      </w:r>
      <w:r>
        <w:t xml:space="preserve"> </w:t>
      </w:r>
      <w:r>
        <w:t xml:space="preserve">rankings learned on the printed PLA/TPU specimens generalize beyond</w:t>
      </w:r>
      <w:r>
        <w:t xml:space="preserve"> </w:t>
      </w:r>
      <w:r>
        <w:t xml:space="preserve">the as-printed polymer system. We will reproduce a subset of the</w:t>
      </w:r>
      <w:r>
        <w:t xml:space="preserve"> </w:t>
      </w:r>
      <w:r>
        <w:rPr>
          <w:i/>
          <w:iCs/>
        </w:rPr>
        <w:t xml:space="preserve">T</w:t>
      </w:r>
      <w:r>
        <w:rPr>
          <w:vertAlign w:val="subscript"/>
        </w:rPr>
        <w:t xml:space="preserve">3</w:t>
      </w:r>
      <w:r>
        <w:t xml:space="preserve">-prism designs as</w:t>
      </w:r>
      <w:r>
        <w:t xml:space="preserve"> </w:t>
      </w:r>
      <w:r>
        <w:rPr>
          <w:i/>
          <w:iCs/>
        </w:rPr>
        <w:t xml:space="preserve">metal analogs</w:t>
      </w:r>
      <w:r>
        <w:t xml:space="preserve"> </w:t>
      </w:r>
      <w:r>
        <w:t xml:space="preserve">built from hollow aluminum rods (compression</w:t>
      </w:r>
      <w:r>
        <w:t xml:space="preserve"> </w:t>
      </w:r>
      <w:r>
        <w:t xml:space="preserve">members) and stainless-steel threaded cables (tension members), using</w:t>
      </w:r>
      <w:r>
        <w:t xml:space="preserve"> </w:t>
      </w:r>
      <w:r>
        <w:t xml:space="preserve">the same</w:t>
      </w:r>
      <w:r>
        <w:t xml:space="preserve"> </w:t>
      </w:r>
      <w:r>
        <w:rPr>
          <w:i/>
          <w:iCs/>
        </w:rPr>
        <w:t xml:space="preserve">R</w:t>
      </w:r>
      <w:r>
        <w:t xml:space="preserve">,</w:t>
      </w:r>
      <w:r>
        <w:t xml:space="preserve"> </w:t>
      </w:r>
      <w:r>
        <w:rPr>
          <w:i/>
          <w:iCs/>
        </w:rPr>
        <w:t xml:space="preserve">H</w:t>
      </w:r>
      <w:r>
        <w:t xml:space="preserve">,</w:t>
      </w:r>
      <w:r>
        <w:t xml:space="preserve"> </w:t>
      </w:r>
      <w:r>
        <w:rPr>
          <w:i/>
          <w:iCs/>
        </w:rPr>
        <w:t xml:space="preserve">θ</w:t>
      </w:r>
      <w:r>
        <w:t xml:space="preserve">, and member-diameter parameterization.</w:t>
      </w:r>
      <w:r>
        <w:t xml:space="preserve"> </w:t>
      </w:r>
      <w:r>
        <w:t xml:space="preserve">Rather than fabricating only the top-ranked geometries, we will</w:t>
      </w:r>
      <w:r>
        <w:t xml:space="preserve"> </w:t>
      </w:r>
      <w:r>
        <w:t xml:space="preserve">deliberately span the predicted performance range. A few designs the</w:t>
      </w:r>
      <w:r>
        <w:t xml:space="preserve"> </w:t>
      </w:r>
      <w:r>
        <w:t xml:space="preserve">surrogate predicts to be</w:t>
      </w:r>
      <w:r>
        <w:t xml:space="preserve"> </w:t>
      </w:r>
      <w:r>
        <w:rPr>
          <w:i/>
          <w:iCs/>
        </w:rPr>
        <w:t xml:space="preserve">worst</w:t>
      </w:r>
      <w:r>
        <w:t xml:space="preserve">-performing, a few</w:t>
      </w:r>
      <w:r>
        <w:t xml:space="preserve"> </w:t>
      </w:r>
      <w:r>
        <w:rPr>
          <w:i/>
          <w:iCs/>
        </w:rPr>
        <w:t xml:space="preserve">mediocre</w:t>
      </w:r>
      <w:r>
        <w:t xml:space="preserve">, and a few</w:t>
      </w:r>
      <w:r>
        <w:t xml:space="preserve"> </w:t>
      </w:r>
      <w:r>
        <w:rPr>
          <w:i/>
          <w:iCs/>
        </w:rPr>
        <w:t xml:space="preserve">best</w:t>
      </w:r>
      <w:r>
        <w:t xml:space="preserve">-performing will each be built in</w:t>
      </w:r>
      <w:r>
        <w:t xml:space="preserve"> </w:t>
      </w:r>
      <w:r>
        <w:t xml:space="preserve">both material systems. Comparing the measured ordering of the</w:t>
      </w:r>
      <w:r>
        <w:t xml:space="preserve"> </w:t>
      </w:r>
      <w:r>
        <w:t xml:space="preserve">PLA/TPU specimens against their hollow-aluminum/stainless-steel</w:t>
      </w:r>
      <w:r>
        <w:t xml:space="preserve"> </w:t>
      </w:r>
      <w:r>
        <w:t xml:space="preserve">counterparts probes whether both systems preserve the same</w:t>
      </w:r>
      <w:r>
        <w:t xml:space="preserve"> </w:t>
      </w:r>
      <w:r>
        <w:t xml:space="preserve">rank ordering of impact performance. We treat this as a</w:t>
      </w:r>
      <w:r>
        <w:t xml:space="preserve"> </w:t>
      </w:r>
      <w:r>
        <w:rPr>
          <w:i/>
          <w:iCs/>
        </w:rPr>
        <w:t xml:space="preserve">planned, exploratory</w:t>
      </w:r>
      <w:r>
        <w:t xml:space="preserve"> </w:t>
      </w:r>
      <w:r>
        <w:t xml:space="preserve">comparison rather than a preregistered</w:t>
      </w:r>
      <w:r>
        <w:t xml:space="preserve"> </w:t>
      </w:r>
      <w:r>
        <w:t xml:space="preserve">validation. The deformation modes, joint compliance,</w:t>
      </w:r>
      <w:r>
        <w:t xml:space="preserve"> </w:t>
      </w:r>
      <w:r>
        <w:t xml:space="preserve">friction, pretension behavior, and strain-rate sensitivity all differ</w:t>
      </w:r>
      <w:r>
        <w:t xml:space="preserve"> </w:t>
      </w:r>
      <w:r>
        <w:t xml:space="preserve">between the PLA/TPU and aluminum/steel systems, so agreement is not</w:t>
      </w:r>
      <w:r>
        <w:t xml:space="preserve"> </w:t>
      </w:r>
      <w:r>
        <w:t xml:space="preserve">expected a priori. The protocol details that would let the</w:t>
      </w:r>
      <w:r>
        <w:t xml:space="preserve"> </w:t>
      </w:r>
      <w:r>
        <w:t xml:space="preserve">comparison distinguish geometric rank transfer from material-system</w:t>
      </w:r>
      <w:r>
        <w:t xml:space="preserve"> </w:t>
      </w:r>
      <w:r>
        <w:t xml:space="preserve">and mass confounds remain to be fixed and will be tabulated before</w:t>
      </w:r>
      <w:r>
        <w:t xml:space="preserve"> </w:t>
      </w:r>
      <w:r>
        <w:t xml:space="preserve">any metal article is built. They are the aluminum alloy and temper,</w:t>
      </w:r>
      <w:r>
        <w:t xml:space="preserve"> </w:t>
      </w:r>
      <w:r>
        <w:t xml:space="preserve">tube wall thickness, cable construction, joint hardware and torque, article</w:t>
      </w:r>
      <w:r>
        <w:t xml:space="preserve"> </w:t>
      </w:r>
      <w:r>
        <w:t xml:space="preserve">and payload masses, replicate count, and tie-handling rules. The intended</w:t>
      </w:r>
      <w:r>
        <w:t xml:space="preserve"> </w:t>
      </w:r>
      <w:r>
        <w:t xml:space="preserve">rank statistic is the Spearman rank-correlation coefficient</w:t>
      </w:r>
      <w:r>
        <w:t xml:space="preserve"> </w:t>
      </w:r>
      <w:r>
        <w:rPr>
          <w:i/>
          <w:iCs/>
        </w:rPr>
        <w:t xml:space="preserve">ρ</w:t>
      </w:r>
      <w:r>
        <w:rPr>
          <w:i/>
          <w:iCs/>
          <w:vertAlign w:val="subscript"/>
        </w:rPr>
        <w:t xml:space="preserve">s</w:t>
      </w:r>
      <w:r>
        <w:t xml:space="preserve"> </w:t>
      </w:r>
      <w:r>
        <w:t xml:space="preserve">between the two</w:t>
      </w:r>
      <w:r>
        <w:t xml:space="preserve"> </w:t>
      </w:r>
      <w:r>
        <w:t xml:space="preserve">material systems’ orderings of the primary campaign metric (</w:t>
      </w:r>
      <w:r>
        <w:rPr>
          <w:i/>
          <w:iCs/>
        </w:rPr>
        <w:t xml:space="preserve">t</w:t>
      </w:r>
      <w:r>
        <w:rPr>
          <w:vertAlign w:val="subscript"/>
        </w:rPr>
        <w:t xml:space="preserve">180</w:t>
      </w:r>
      <w:r>
        <w:t xml:space="preserve"> </w:t>
      </w:r>
      <w:r>
        <w:t xml:space="preserve">under the identical drop protocol), reported with an exact permutation</w:t>
      </w:r>
      <w:r>
        <w:t xml:space="preserve"> </w:t>
      </w:r>
      <w:r>
        <w:t xml:space="preserve">test. We will report the velocity loss index and, once the quasi-static</w:t>
      </w:r>
      <w:r>
        <w:t xml:space="preserve"> </w:t>
      </w:r>
      <w:r>
        <w:t xml:space="preserve">extension runs, SEA as secondary rankings. Rank agreement would be preliminary</w:t>
      </w:r>
      <w:r>
        <w:t xml:space="preserve"> </w:t>
      </w:r>
      <w:r>
        <w:t xml:space="preserve">evidence consistent with transfer. Disagreement would not isolate</w:t>
      </w:r>
      <w:r>
        <w:t xml:space="preserve"> </w:t>
      </w:r>
      <w:r>
        <w:t xml:space="preserve">which material or joint difference caused the change.</w:t>
      </w:r>
      <w:r>
        <w:t xml:space="preserve"> </w:t>
      </w:r>
      <w:r>
        <w:t xml:space="preserve">Table </w:t>
      </w:r>
      <w:hyperlink w:anchor="lbl_tab_metal_validation">
        <w:r>
          <w:rPr>
            <w:rStyle w:val="Hyperlink"/>
          </w:rPr>
          <w:t xml:space="preserve">5</w:t>
        </w:r>
      </w:hyperlink>
      <w:r>
        <w:t xml:space="preserve"> </w:t>
      </w:r>
      <w:r>
        <w:t xml:space="preserve">gives the planned reporting format.</w:t>
      </w:r>
      <w:r>
        <w:t xml:space="preserve"> </w:t>
      </w:r>
      <w:r>
        <w:t xml:space="preserve">We will add the table entries and the</w:t>
      </w:r>
      <w:r>
        <w:t xml:space="preserve"> </w:t>
      </w:r>
      <w:r>
        <w:t xml:space="preserve">specimen photographs of Fig. </w:t>
      </w:r>
      <w:hyperlink w:anchor="lbl_fig_metal_validation">
        <w:r>
          <w:rPr>
            <w:rStyle w:val="Hyperlink"/>
          </w:rPr>
          <w:t xml:space="preserve">4</w:t>
        </w:r>
      </w:hyperlink>
      <w:r>
        <w:t xml:space="preserve"> </w:t>
      </w:r>
      <w:r>
        <w:t xml:space="preserve">after</w:t>
      </w:r>
      <w:r>
        <w:t xml:space="preserve"> </w:t>
      </w:r>
      <w:r>
        <w:t xml:space="preserve">fabrication and testing.</w:t>
      </w:r>
    </w:p>
    <w:bookmarkEnd w:id="43"/>
    <w:bookmarkStart w:id="44" w:name="lbl_tab_metal_validation"/>
    <w:p>
      <w:pPr>
        <w:pStyle w:val="TableCaption"/>
      </w:pPr>
      <w:bookmarkStart w:id="90007" w:name="cap_tab5"/>
      <w:r>
        <w:t xml:space="preserve">Table 5 </w:t>
      </w:r>
      <w:r>
        <w:rPr>
          <w:i/>
          <w:iCs/>
        </w:rPr>
        <w:t xml:space="preserve">Placeholder (data pending).</w:t>
      </w:r>
      <w:r>
        <w:t xml:space="preserve"> </w:t>
      </w:r>
      <w:r>
        <w:t xml:space="preserve">Planned rank-ordering</w:t>
      </w:r>
      <w:r>
        <w:t xml:space="preserve"> </w:t>
      </w:r>
      <w:r>
        <w:t xml:space="preserve">validation: representative</w:t>
      </w:r>
      <w:r>
        <w:t xml:space="preserve"> </w:t>
      </w:r>
      <w:r>
        <w:rPr>
          <w:i/>
          <w:iCs/>
        </w:rPr>
        <w:t xml:space="preserve">T</w:t>
      </w:r>
      <w:r>
        <w:rPr>
          <w:vertAlign w:val="subscript"/>
        </w:rPr>
        <w:t xml:space="preserve">3</w:t>
      </w:r>
      <w:r>
        <w:t xml:space="preserve">-prism designs predicted to be</w:t>
      </w:r>
      <w:r>
        <w:t xml:space="preserve"> </w:t>
      </w:r>
      <w:r>
        <w:t xml:space="preserve">worst-, mid-, and best-performing, each fabricated as a printed</w:t>
      </w:r>
      <w:r>
        <w:t xml:space="preserve"> </w:t>
      </w:r>
      <w:r>
        <w:t xml:space="preserve">PLA/TPU specimen and as a hollow-aluminum-rod / stainless-steel-cable</w:t>
      </w:r>
      <w:r>
        <w:t xml:space="preserve"> </w:t>
      </w:r>
      <w:r>
        <w:t xml:space="preserve">metal analog. Entries will record the measured performance metric</w:t>
      </w:r>
      <w:r>
        <w:t xml:space="preserve"> </w:t>
      </w:r>
      <w:r>
        <w:t xml:space="preserve">(</w:t>
      </w:r>
      <w:r>
        <w:rPr>
          <w:i/>
          <w:iCs/>
        </w:rPr>
        <w:t xml:space="preserve">t</w:t>
      </w:r>
      <w:r>
        <w:rPr>
          <w:vertAlign w:val="subscript"/>
        </w:rPr>
        <w:t xml:space="preserve">180</w:t>
      </w:r>
      <w:r>
        <w:t xml:space="preserve"> </w:t>
      </w:r>
      <w:r>
        <w:t xml:space="preserve">under the identical drop protocol, with the velocity</w:t>
      </w:r>
      <w:r>
        <w:t xml:space="preserve"> </w:t>
      </w:r>
      <w:r>
        <w:t xml:space="preserve">loss index secondary) and the resulting rank within each</w:t>
      </w:r>
      <w:r>
        <w:t xml:space="preserve"> </w:t>
      </w:r>
      <w:r>
        <w:t xml:space="preserve">material system.</w:t>
      </w:r>
      <w:bookmarkEnd w:id="90007"/>
    </w:p>
    <w:tbl>
      <w:tblPr>
        <w:tblStyle w:val="Table"/>
        <w:tblW w:type="dxa" w:w="4818"/>
        <w:jc w:val="start"/>
        <w:tblLayout w:type="fixed"/>
        <w:tblLook w:firstRow="1" w:lastRow="0" w:firstColumn="0" w:lastColumn="0" w:noHBand="0" w:noVBand="0" w:val="0020"/>
        <w:tblCaption w:val="Table 5 Placeholder (data pending). Planned rank-ordering validation: representative T3-prism designs predicted to be worst-, mid-, and best-performing, each fabricated as a printed PLA/TPU specimen and as a hollow-aluminum-rod / stainless-steel-cable metal analog. Entries will record the measured performance metric (t180 under the identical drop protocol, with the velocity loss index secondary) and the resulting rank within each material system."/>
      </w:tblPr>
      <w:tblGrid>
        <w:gridCol w:w="1348"/>
        <w:gridCol w:w="938"/>
        <w:gridCol w:w="1348"/>
        <w:gridCol w:w="1184"/>
      </w:tblGrid>
      <w:tr>
        <w:trPr>
          <w:tblHeader w:val="true"/>
        </w:trPr>
        <w:tc>
          <w:tcPr/>
          <w:p>
            <w:pPr>
              <w:pStyle w:val="TableText"/>
              <w:jc w:val="left"/>
            </w:pPr>
            <w:r>
              <w:t xml:space="preserve">Predicted tier</w:t>
            </w:r>
          </w:p>
        </w:tc>
        <w:tc>
          <w:tcPr/>
          <w:p>
            <w:pPr>
              <w:pStyle w:val="TableText"/>
              <w:jc w:val="left"/>
            </w:pPr>
            <w:r>
              <w:t xml:space="preserve">Design ID</w:t>
            </w:r>
          </w:p>
        </w:tc>
        <w:tc>
          <w:tcPr/>
          <w:p>
            <w:pPr>
              <w:pStyle w:val="TableText"/>
              <w:jc w:val="center"/>
            </w:pPr>
            <w:r>
              <w:t xml:space="preserve">PLA/TPU (rank)</w:t>
            </w:r>
          </w:p>
        </w:tc>
        <w:tc>
          <w:tcPr/>
          <w:p>
            <w:pPr>
              <w:pStyle w:val="TableText"/>
              <w:jc w:val="center"/>
            </w:pPr>
            <w:r>
              <w:t xml:space="preserve">Al/SS (rank)</w:t>
            </w:r>
          </w:p>
        </w:tc>
      </w:tr>
      <w:tr>
        <w:tc>
          <w:tcPr/>
          <w:p>
            <w:pPr>
              <w:pStyle w:val="TableText"/>
              <w:jc w:val="left"/>
            </w:pPr>
            <w:r>
              <w:t xml:space="preserve">Worst</w:t>
            </w:r>
          </w:p>
        </w:tc>
        <w:tc>
          <w:tcPr/>
          <w:p>
            <w:pPr>
              <w:pStyle w:val="TableText"/>
              <w:jc w:val="left"/>
            </w:pPr>
            <w:r>
              <w:rPr>
                <w:i/>
                <w:iCs/>
              </w:rPr>
              <w:t xml:space="preserve">D-w1</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Worst</w:t>
            </w:r>
          </w:p>
        </w:tc>
        <w:tc>
          <w:tcPr/>
          <w:p>
            <w:pPr>
              <w:pStyle w:val="TableText"/>
              <w:jc w:val="left"/>
            </w:pPr>
            <w:r>
              <w:rPr>
                <w:i/>
                <w:iCs/>
              </w:rPr>
              <w:t xml:space="preserve">D-w2</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Mediocre</w:t>
            </w:r>
          </w:p>
        </w:tc>
        <w:tc>
          <w:tcPr/>
          <w:p>
            <w:pPr>
              <w:pStyle w:val="TableText"/>
              <w:jc w:val="left"/>
            </w:pPr>
            <w:r>
              <w:rPr>
                <w:i/>
                <w:iCs/>
              </w:rPr>
              <w:t xml:space="preserve">D-m1</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Mediocre</w:t>
            </w:r>
          </w:p>
        </w:tc>
        <w:tc>
          <w:tcPr/>
          <w:p>
            <w:pPr>
              <w:pStyle w:val="TableText"/>
              <w:jc w:val="left"/>
            </w:pPr>
            <w:r>
              <w:rPr>
                <w:i/>
                <w:iCs/>
              </w:rPr>
              <w:t xml:space="preserve">D-m2</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Best</w:t>
            </w:r>
          </w:p>
        </w:tc>
        <w:tc>
          <w:tcPr/>
          <w:p>
            <w:pPr>
              <w:pStyle w:val="TableText"/>
              <w:jc w:val="left"/>
            </w:pPr>
            <w:r>
              <w:rPr>
                <w:i/>
                <w:iCs/>
              </w:rPr>
              <w:t xml:space="preserve">D-b1</w:t>
            </w:r>
          </w:p>
        </w:tc>
        <w:tc>
          <w:tcPr/>
          <w:p>
            <w:pPr>
              <w:pStyle w:val="TableText"/>
              <w:jc w:val="center"/>
            </w:pPr>
            <w:r>
              <w:rPr>
                <w:i/>
                <w:iCs/>
              </w:rPr>
              <w:t xml:space="preserve">-</w:t>
            </w:r>
          </w:p>
        </w:tc>
        <w:tc>
          <w:tcPr/>
          <w:p>
            <w:pPr>
              <w:pStyle w:val="TableText"/>
              <w:jc w:val="center"/>
            </w:pPr>
            <w:r>
              <w:rPr>
                <w:i/>
                <w:iCs/>
              </w:rPr>
              <w:t xml:space="preserve">-</w:t>
            </w:r>
          </w:p>
        </w:tc>
      </w:tr>
      <w:tr>
        <w:tc>
          <w:tcPr/>
          <w:p>
            <w:pPr>
              <w:pStyle w:val="TableText"/>
              <w:jc w:val="left"/>
            </w:pPr>
            <w:r>
              <w:t xml:space="preserve">Best</w:t>
            </w:r>
          </w:p>
        </w:tc>
        <w:tc>
          <w:tcPr/>
          <w:p>
            <w:pPr>
              <w:pStyle w:val="TableText"/>
              <w:jc w:val="left"/>
            </w:pPr>
            <w:r>
              <w:rPr>
                <w:i/>
                <w:iCs/>
              </w:rPr>
              <w:t xml:space="preserve">D-b2</w:t>
            </w:r>
          </w:p>
        </w:tc>
        <w:tc>
          <w:tcPr/>
          <w:p>
            <w:pPr>
              <w:pStyle w:val="TableText"/>
              <w:jc w:val="center"/>
            </w:pPr>
            <w:r>
              <w:rPr>
                <w:i/>
                <w:iCs/>
              </w:rPr>
              <w:t xml:space="preserve">-</w:t>
            </w:r>
          </w:p>
        </w:tc>
        <w:tc>
          <w:tcPr/>
          <w:p>
            <w:pPr>
              <w:pStyle w:val="TableText"/>
              <w:jc w:val="center"/>
            </w:pPr>
            <w:r>
              <w:rPr>
                <w:i/>
                <w:iCs/>
              </w:rPr>
              <w:t xml:space="preserve">-</w:t>
            </w:r>
          </w:p>
        </w:tc>
      </w:tr>
    </w:tbl>
    <w:bookmarkEnd w:id="44"/>
    <w:tbl>
      <w:tblPr>
        <w:tblStyle w:val="FigureTable"/>
        <w:tblW w:type="dxa" w:w="9840"/>
        <w:jc w:val="center"/>
        <w:tblLook w:firstRow="0" w:lastRow="0" w:firstColumn="0" w:lastColumn="0"/>
      </w:tblPr>
      <w:tblGrid>
        <w:gridCol w:w="9840"/>
      </w:tblGrid>
      <w:tr>
        <w:tc>
          <w:tcPr/>
          <w:p>
            <w:pPr>
              <w:pStyle w:val="FigurePlaceholder"/>
              <w:jc w:val="center"/>
            </w:pPr>
            <w:r>
              <w:rPr>
                <w:i/>
                <w:iCs/>
              </w:rPr>
              <w:t xml:space="preserve">Figure placeholder: Assembled validation specimens for</w:t>
            </w:r>
            <w:r>
              <w:rPr>
                <w:i/>
                <w:iCs/>
              </w:rPr>
              <w:t xml:space="preserve"> </w:t>
            </w:r>
            <w:r>
              <w:rPr>
                <w:i/>
                <w:iCs/>
              </w:rPr>
              <w:t xml:space="preserve">each predicted performance tier (worst / mediocre / best), shown as</w:t>
            </w:r>
            <w:r>
              <w:rPr>
                <w:i/>
                <w:iCs/>
              </w:rPr>
              <w:t xml:space="preserve"> </w:t>
            </w:r>
            <w:r>
              <w:rPr>
                <w:i/>
                <w:iCs/>
              </w:rPr>
              <w:t xml:space="preserve">printed PLA/TPU builds alongside their hollow-aluminum-rod and</w:t>
            </w:r>
            <w:r>
              <w:rPr>
                <w:i/>
                <w:iCs/>
              </w:rPr>
              <w:t xml:space="preserve"> </w:t>
            </w:r>
            <w:r>
              <w:rPr>
                <w:i/>
                <w:iCs/>
              </w:rPr>
              <w:t xml:space="preserve">stainless-steel-threaded-cable metal analogs, with callouts marking</w:t>
            </w:r>
            <w:r>
              <w:rPr>
                <w:i/>
                <w:iCs/>
              </w:rPr>
              <w:t xml:space="preserve"> </w:t>
            </w:r>
            <w:r>
              <w:rPr>
                <w:i/>
                <w:iCs/>
              </w:rPr>
              <w:t xml:space="preserve">the aluminum compression members, the threaded steel tension cables,</w:t>
            </w:r>
            <w:r>
              <w:rPr>
                <w:i/>
                <w:iCs/>
              </w:rPr>
              <w:t xml:space="preserve"> </w:t>
            </w:r>
            <w:r>
              <w:rPr>
                <w:i/>
                <w:iCs/>
              </w:rPr>
              <w:t xml:space="preserve">and the strut-end cable anchors. Photographs to be added once the</w:t>
            </w:r>
            <w:r>
              <w:rPr>
                <w:i/>
                <w:iCs/>
              </w:rPr>
              <w:t xml:space="preserve"> </w:t>
            </w:r>
            <w:r>
              <w:rPr>
                <w:i/>
                <w:iCs/>
              </w:rPr>
              <w:t xml:space="preserve">specimens are fabricated.</w:t>
            </w:r>
          </w:p>
        </w:tc>
      </w:tr>
    </w:tbl>
    <w:p>
      <w:pPr>
        <w:pStyle w:val="ImageCaption"/>
      </w:pPr>
      <w:bookmarkStart w:id="90008" w:name="cap_fig4"/>
      <w:r>
        <w:t xml:space="preserve">Fig. 4 </w:t>
      </w:r>
      <w:r>
        <w:rPr>
          <w:i/>
          <w:iCs/>
        </w:rPr>
        <w:t xml:space="preserve">Placeholder.</w:t>
      </w:r>
      <w:r>
        <w:t xml:space="preserve"> </w:t>
      </w:r>
      <w:r>
        <w:t xml:space="preserve">Assembled validation specimens for</w:t>
      </w:r>
      <w:r>
        <w:t xml:space="preserve"> </w:t>
      </w:r>
      <w:r>
        <w:t xml:space="preserve">each predicted performance tier (worst / mediocre / best), shown as</w:t>
      </w:r>
      <w:r>
        <w:t xml:space="preserve"> </w:t>
      </w:r>
      <w:r>
        <w:t xml:space="preserve">printed PLA/TPU builds alongside their hollow-aluminum-rod and</w:t>
      </w:r>
      <w:r>
        <w:t xml:space="preserve"> </w:t>
      </w:r>
      <w:r>
        <w:t xml:space="preserve">stainless-steel-threaded-cable metal analogs, with callouts marking</w:t>
      </w:r>
      <w:r>
        <w:t xml:space="preserve"> </w:t>
      </w:r>
      <w:r>
        <w:t xml:space="preserve">the aluminum compression members, the threaded steel tension cables,</w:t>
      </w:r>
      <w:r>
        <w:t xml:space="preserve"> </w:t>
      </w:r>
      <w:r>
        <w:t xml:space="preserve">and the strut-end cable anchors. Photographs to be added once the</w:t>
      </w:r>
      <w:r>
        <w:t xml:space="preserve"> </w:t>
      </w:r>
      <w:r>
        <w:t xml:space="preserve">specimens are fabricated.</w:t>
      </w:r>
      <w:bookmarkEnd w:id="90008"/>
    </w:p>
    <w:bookmarkEnd w:id="45"/>
    <w:bookmarkEnd w:id="46"/>
    <w:bookmarkStart w:id="71" w:name="lbl_sec_results"/>
    <w:p>
      <w:pPr>
        <w:pStyle w:val="Heading1"/>
      </w:pPr>
      <w:r>
        <w:t xml:space="preserve">4 Results</w:t>
      </w:r>
    </w:p>
    <w:bookmarkStart w:id="47" w:name="lbl_sec_results_seed"/>
    <w:p>
      <w:pPr>
        <w:pStyle w:val="RuninHeading2"/>
      </w:pPr>
      <w:r>
        <w:rPr>
          <w:b/>
          <w:bCs/>
        </w:rPr>
        <w:t xml:space="preserve">4.1 Seed-Batch Measurements.</w:t>
      </w:r>
      <w:r>
        <w:t xml:space="preserve"> </w:t>
      </w:r>
      <w:r>
        <w:t xml:space="preserve">We printed all nine Sobol specimens and the reference prism and</w:t>
      </w:r>
      <w:r>
        <w:t xml:space="preserve"> </w:t>
      </w:r>
      <w:r>
        <w:t xml:space="preserve">declared them acceptable to test. Nine articles (seven mapped Sobol</w:t>
      </w:r>
      <w:r>
        <w:t xml:space="preserve"> </w:t>
      </w:r>
      <w:r>
        <w:t xml:space="preserve">designs, the reference prism, and one article whose design mapping</w:t>
      </w:r>
      <w:r>
        <w:t xml:space="preserve"> </w:t>
      </w:r>
      <w:r>
        <w:t xml:space="preserve">is unconfirmed) completed seed characterization sessions, totaling</w:t>
      </w:r>
      <w:r>
        <w:t xml:space="preserve"> </w:t>
      </w:r>
      <w:r>
        <w:t xml:space="preserve">over 900 clean captures within a project-wide history of more than</w:t>
      </w:r>
      <w:r>
        <w:t xml:space="preserve"> </w:t>
      </w:r>
      <w:r>
        <w:t xml:space="preserve">4</w:t>
      </w:r>
      <w:r>
        <w:t xml:space="preserve">,</w:t>
      </w:r>
      <w:r>
        <w:t xml:space="preserve">000 instrumented drops. The two remaining seed designs (specs 03</w:t>
      </w:r>
      <w:r>
        <w:t xml:space="preserve"> </w:t>
      </w:r>
      <w:r>
        <w:t xml:space="preserve">and 06) were printed, but their drop sessions are absent from the</w:t>
      </w:r>
      <w:r>
        <w:t xml:space="preserve"> </w:t>
      </w:r>
      <w:r>
        <w:t xml:space="preserve">campaign record and they do not enter any fit or figure.</w:t>
      </w:r>
      <w:r>
        <w:t xml:space="preserve"> </w:t>
      </w:r>
      <w:r>
        <w:t xml:space="preserve">Table </w:t>
      </w:r>
      <w:hyperlink w:anchor="lbl_tab_seed_results">
        <w:r>
          <w:rPr>
            <w:rStyle w:val="Hyperlink"/>
          </w:rPr>
          <w:t xml:space="preserve">6</w:t>
        </w:r>
      </w:hyperlink>
      <w:r>
        <w:t xml:space="preserve"> </w:t>
      </w:r>
      <w:r>
        <w:t xml:space="preserve">reports the</w:t>
      </w:r>
      <w:r>
        <w:t xml:space="preserve"> </w:t>
      </w:r>
      <w:r>
        <w:t xml:space="preserve">stabilized objectives. Three findings frame the batch. First, the</w:t>
      </w:r>
      <w:r>
        <w:t xml:space="preserve"> </w:t>
      </w:r>
      <w:r>
        <w:t xml:space="preserve">measured</w:t>
      </w:r>
      <w:r>
        <w:t xml:space="preserve"> </w:t>
      </w:r>
      <w:r>
        <w:rPr>
          <w:i/>
          <w:iCs/>
        </w:rPr>
        <w:t xml:space="preserve">t</w:t>
      </w:r>
      <w:r>
        <w:rPr>
          <w:vertAlign w:val="subscript"/>
        </w:rPr>
        <w:t xml:space="preserve">180</w:t>
      </w:r>
      <w:r>
        <w:t xml:space="preserve"> </w:t>
      </w:r>
      <w:r>
        <w:t xml:space="preserve">spans 0.893 to 1.062. Six of nine tested articles</w:t>
      </w:r>
      <w:r>
        <w:t xml:space="preserve"> </w:t>
      </w:r>
      <w:r>
        <w:rPr>
          <w:i/>
          <w:iCs/>
        </w:rPr>
        <w:t xml:space="preserve">amplify</w:t>
      </w:r>
      <w:r>
        <w:t xml:space="preserve"> </w:t>
      </w:r>
      <w:r>
        <w:t xml:space="preserve">the peak shock reaching the top vertex (means above</w:t>
      </w:r>
      <w:r>
        <w:t xml:space="preserve"> </w:t>
      </w:r>
      <w:r>
        <w:t xml:space="preserve">unity), and two sit marginally below unity (0.997 and 0.980). One</w:t>
      </w:r>
      <w:r>
        <w:t xml:space="preserve"> </w:t>
      </w:r>
      <w:r>
        <w:t xml:space="preserve">tested article (the print of Sobol spec 01, the thick-strut,</w:t>
      </w:r>
      <w:r>
        <w:t xml:space="preserve"> </w:t>
      </w:r>
      <w:r>
        <w:t xml:space="preserve">thin-cable, high-twist corner of the batch) had a mean</w:t>
      </w:r>
      <w:r>
        <w:t xml:space="preserve"> </w:t>
      </w:r>
      <w:r>
        <w:rPr>
          <w:i/>
          <w:iCs/>
        </w:rPr>
        <w:t xml:space="preserve">t</w:t>
      </w:r>
      <w:r>
        <w:rPr>
          <w:vertAlign w:val="subscript"/>
        </w:rPr>
        <w:t xml:space="preserve">180</w:t>
      </w:r>
      <w:r>
        <w:t xml:space="preserve"> </w:t>
      </w:r>
      <w:r>
        <w:t xml:space="preserve">of</w:t>
      </w:r>
      <w:r>
        <w:t xml:space="preserve"> </w:t>
      </w:r>
      <w:r>
        <w:t xml:space="preserve">0.893, indicating peak attenuation under the tested condition. This</w:t>
      </w:r>
      <w:r>
        <w:t xml:space="preserve"> </w:t>
      </w:r>
      <w:r>
        <w:t xml:space="preserve">article later reproduced its attenuation within 0.13% across an</w:t>
      </w:r>
      <w:r>
        <w:t xml:space="preserve"> </w:t>
      </w:r>
      <w:r>
        <w:t xml:space="preserve">independent re-seat. It is the campaign’s positive control for the</w:t>
      </w:r>
      <w:r>
        <w:t xml:space="preserve"> </w:t>
      </w:r>
      <w:r>
        <w:t xml:space="preserve">replication rule of Section </w:t>
      </w:r>
      <w:hyperlink w:anchor="lbl_sec_methods_testing">
        <w:r>
          <w:rPr>
            <w:rStyle w:val="Hyperlink"/>
          </w:rPr>
          <w:t xml:space="preserve">3.3</w:t>
        </w:r>
      </w:hyperlink>
      <w:r>
        <w:t xml:space="preserve">.</w:t>
      </w:r>
      <w:r>
        <w:t xml:space="preserve"> </w:t>
      </w:r>
      <w:r>
        <w:t xml:space="preserve">Across the tested articles,</w:t>
      </w:r>
      <w:r>
        <w:t xml:space="preserve"> </w:t>
      </w:r>
      <w:r>
        <w:rPr>
          <w:i/>
          <w:iCs/>
        </w:rPr>
        <w:t xml:space="preserve">t</w:t>
      </w:r>
      <w:r>
        <w:rPr>
          <w:vertAlign w:val="subscript"/>
        </w:rPr>
        <w:t xml:space="preserve">180</w:t>
      </w:r>
      <w:r>
        <w:t xml:space="preserve"> </w:t>
      </w:r>
      <w:r>
        <w:t xml:space="preserve">spans 0.169 (18.9% of</w:t>
      </w:r>
      <w:r>
        <w:t xml:space="preserve"> </w:t>
      </w:r>
      <w:r>
        <w:t xml:space="preserve">the observed minimum). This between-article range far exceeds the</w:t>
      </w:r>
      <w:r>
        <w:t xml:space="preserve"> </w:t>
      </w:r>
      <w:r>
        <w:t xml:space="preserve">0.17 to</w:t>
      </w:r>
      <w:r>
        <w:t xml:space="preserve"> </w:t>
      </w:r>
      <w:r>
        <w:t xml:space="preserve">0.48% within-session per-drop CV, but one mechanically tested</w:t>
      </w:r>
      <w:r>
        <w:t xml:space="preserve"> </w:t>
      </w:r>
      <w:r>
        <w:t xml:space="preserve">article per geometry cannot separate geometry effects</w:t>
      </w:r>
      <w:r>
        <w:t xml:space="preserve"> </w:t>
      </w:r>
      <w:r>
        <w:t xml:space="preserve">from print-to-print variation or other fabrication covariates.</w:t>
      </w:r>
      <w:r>
        <w:t xml:space="preserve"> </w:t>
      </w:r>
      <w:r>
        <w:t xml:space="preserve">Second, the objectives show an</w:t>
      </w:r>
      <w:r>
        <w:t xml:space="preserve"> </w:t>
      </w:r>
      <w:r>
        <w:t xml:space="preserve">apparent trade-off in this sample. The best attenuator has the</w:t>
      </w:r>
      <w:r>
        <w:t xml:space="preserve"> </w:t>
      </w:r>
      <w:r>
        <w:t xml:space="preserve">lowest velocity loss index of the batch (0.950) and the largest</w:t>
      </w:r>
      <w:r>
        <w:t xml:space="preserve"> </w:t>
      </w:r>
      <w:r>
        <w:rPr>
          <w:i/>
          <w:iCs/>
        </w:rPr>
        <w:t xml:space="preserve">E</w:t>
      </w:r>
      <w:r>
        <w:rPr>
          <w:vertAlign w:val="subscript"/>
        </w:rPr>
        <w:t xml:space="preserve">reb</w:t>
      </w:r>
      <w:r>
        <w:t xml:space="preserve"> </w:t>
      </w:r>
      <w:r>
        <w:t xml:space="preserve">(13.9 mJ per drop), so the observed front is</w:t>
      </w:r>
      <w:r>
        <w:t xml:space="preserve"> </w:t>
      </w:r>
      <w:r>
        <w:t xml:space="preserve">nondegenerate. The trade-off rests largely on that single article,</w:t>
      </w:r>
      <w:r>
        <w:t xml:space="preserve"> </w:t>
      </w:r>
      <w:r>
        <w:t xml:space="preserve">though, and is not statistically resolved at this sample size</w:t>
      </w:r>
      <w:r>
        <w:t xml:space="preserve"> </w:t>
      </w:r>
      <w:r>
        <w:t xml:space="preserve">(Section </w:t>
      </w:r>
      <w:hyperlink w:anchor="lbl_sec_discussion">
        <w:r>
          <w:rPr>
            <w:rStyle w:val="Hyperlink"/>
          </w:rPr>
          <w:t xml:space="preserve">5</w:t>
        </w:r>
      </w:hyperlink>
      <w:r>
        <w:t xml:space="preserve">). Third, among the eight mapped</w:t>
      </w:r>
      <w:r>
        <w:t xml:space="preserve"> </w:t>
      </w:r>
      <w:r>
        <w:t xml:space="preserve">articles with weighed masses, printed mass and</w:t>
      </w:r>
      <w:r>
        <w:t xml:space="preserve"> </w:t>
      </w:r>
      <w:r>
        <w:rPr>
          <w:i/>
          <w:iCs/>
        </w:rPr>
        <w:t xml:space="preserve">t</w:t>
      </w:r>
      <w:r>
        <w:rPr>
          <w:vertAlign w:val="subscript"/>
        </w:rPr>
        <w:t xml:space="preserve">180</w:t>
      </w:r>
      <w:r>
        <w:t xml:space="preserve"> </w:t>
      </w:r>
      <w:r>
        <w:t xml:space="preserve">showed a</w:t>
      </w:r>
      <w:r>
        <w:t xml:space="preserve"> </w:t>
      </w:r>
      <w:r>
        <w:t xml:space="preserve">large sample</w:t>
      </w:r>
      <w:r>
        <w:t xml:space="preserve"> </w:t>
      </w:r>
      <w:r>
        <w:t xml:space="preserve">correlation (</w:t>
      </w:r>
      <w:r>
        <w:rPr>
          <w:i/>
          <w:iCs/>
        </w:rPr>
        <w:t xml:space="preserve">r</w:t>
      </w:r>
      <w:r>
        <w:t xml:space="preserve"> = 0.82,</w:t>
      </w:r>
      <w:r>
        <w:t xml:space="preserve"> </w:t>
      </w:r>
      <w:r>
        <w:rPr>
          <w:i/>
          <w:iCs/>
        </w:rPr>
        <w:t xml:space="preserve">n</w:t>
      </w:r>
      <w:r>
        <w:t xml:space="preserve"> = 8). The association is confounded with</w:t>
      </w:r>
      <w:r>
        <w:t xml:space="preserve"> </w:t>
      </w:r>
      <w:r>
        <w:t xml:space="preserve">the design coordinates and is highly sensitive to the lightest</w:t>
      </w:r>
      <w:r>
        <w:t xml:space="preserve"> </w:t>
      </w:r>
      <w:r>
        <w:t xml:space="preserve">article (</w:t>
      </w:r>
      <w:r>
        <w:rPr>
          <w:i/>
          <w:iCs/>
        </w:rPr>
        <w:t xml:space="preserve">r</w:t>
      </w:r>
      <w:r>
        <w:t xml:space="preserve"> = 0.26 when 6lhxfy is omitted), so it is not evidence of a</w:t>
      </w:r>
      <w:r>
        <w:t xml:space="preserve"> </w:t>
      </w:r>
      <w:r>
        <w:t xml:space="preserve">causal mass effect. It nonetheless motivated the mass-aware objective</w:t>
      </w:r>
      <w:r>
        <w:t xml:space="preserve"> </w:t>
      </w:r>
      <w:r>
        <w:t xml:space="preserve">formulation of Section </w:t>
      </w:r>
      <w:hyperlink w:anchor="lbl_sec_methods_bo">
        <w:r>
          <w:rPr>
            <w:rStyle w:val="Hyperlink"/>
          </w:rPr>
          <w:t xml:space="preserve">3.4</w:t>
        </w:r>
      </w:hyperlink>
      <w:r>
        <w:t xml:space="preserve">, and the</w:t>
      </w:r>
      <w:r>
        <w:t xml:space="preserve"> </w:t>
      </w:r>
      <w:r>
        <w:t xml:space="preserve">constant-printed-mass batches later removed the confound</w:t>
      </w:r>
      <w:r>
        <w:t xml:space="preserve"> </w:t>
      </w:r>
      <w:r>
        <w:t xml:space="preserve">(Section </w:t>
      </w:r>
      <w:hyperlink w:anchor="lbl_sec_results_audits">
        <w:r>
          <w:rPr>
            <w:rStyle w:val="Hyperlink"/>
          </w:rPr>
          <w:t xml:space="preserve">4.3</w:t>
        </w:r>
      </w:hyperlink>
      <w:r>
        <w:t xml:space="preserve">). Figure </w:t>
      </w:r>
      <w:hyperlink w:anchor="lbl_fig_seed_designs">
        <w:r>
          <w:rPr>
            <w:rStyle w:val="Hyperlink"/>
          </w:rPr>
          <w:t xml:space="preserve">5</w:t>
        </w:r>
      </w:hyperlink>
      <w:r>
        <w:t xml:space="preserve"> </w:t>
      </w:r>
      <w:r>
        <w:t xml:space="preserve">renders</w:t>
      </w:r>
      <w:r>
        <w:t xml:space="preserve"> </w:t>
      </w:r>
      <w:r>
        <w:t xml:space="preserve">the seed geometries to a common scale, showing how widely the</w:t>
      </w:r>
      <w:r>
        <w:t xml:space="preserve"> </w:t>
      </w:r>
      <w:r>
        <w:t xml:space="preserve">constant-mass box spans aspect ratio, member sizing, and twist.</w:t>
      </w:r>
    </w:p>
    <w:bookmarkEnd w:id="47"/>
    <w:p>
      <w:pPr>
        <w:pStyle w:val="CaptionedFigure"/>
      </w:pPr>
      <w:r>
        <w:drawing>
          <wp:inline>
            <wp:extent cx="2971800" cy="1672055"/>
            <wp:effectExtent b="0" l="0" r="0" t="0"/>
            <wp:docPr descr="" title="" id="49" name="Picture"/>
            <a:graphic>
              <a:graphicData uri="http://schemas.openxmlformats.org/drawingml/2006/picture">
                <pic:pic>
                  <pic:nvPicPr>
                    <pic:cNvPr descr="/home/runner/work/tensegrity-optimization/tensegrity-optimization/figures/bo/fig-seed-designs.png" id="50" name="Picture"/>
                    <pic:cNvPicPr>
                      <a:picLocks noChangeArrowheads="1" noChangeAspect="1"/>
                    </pic:cNvPicPr>
                  </pic:nvPicPr>
                  <pic:blipFill>
                    <a:blip r:embed="rId48"/>
                    <a:stretch>
                      <a:fillRect/>
                    </a:stretch>
                  </pic:blipFill>
                  <pic:spPr bwMode="auto">
                    <a:xfrm>
                      <a:off x="0" y="0"/>
                      <a:ext cx="2971800" cy="1672055"/>
                    </a:xfrm>
                    <a:prstGeom prst="rect">
                      <a:avLst/>
                    </a:prstGeom>
                    <a:noFill/>
                    <a:ln w="9525">
                      <a:noFill/>
                      <a:headEnd/>
                      <a:tailEnd/>
                    </a:ln>
                  </pic:spPr>
                </pic:pic>
              </a:graphicData>
            </a:graphic>
          </wp:inline>
        </w:drawing>
      </w:r>
    </w:p>
    <w:p>
      <w:pPr>
        <w:pStyle w:val="ImageCaption"/>
      </w:pPr>
      <w:bookmarkStart w:id="90009" w:name="cap_fig5"/>
      <w:r>
        <w:t xml:space="preserve">Fig. 5 The nine seed geometries rendered to a common millimeter</w:t>
      </w:r>
      <w:r>
        <w:t xml:space="preserve"> </w:t>
      </w:r>
      <w:r>
        <w:t xml:space="preserve">scale (rigid PLA struts in black, TPU tendons in orange). Every</w:t>
      </w:r>
      <w:r>
        <w:t xml:space="preserve"> </w:t>
      </w:r>
      <w:r>
        <w:t xml:space="preserve">rendering corresponds to a physically printed article in the seed</w:t>
      </w:r>
      <w:r>
        <w:t xml:space="preserve"> </w:t>
      </w:r>
      <w:r>
        <w:t xml:space="preserve">campaign.</w:t>
      </w:r>
      <w:bookmarkEnd w:id="90009"/>
    </w:p>
    <w:p>
      <w:pPr>
        <w:pStyle w:val="SectionBreak"/>
        <w:sectPr>
          <w:type w:val="continuous"/>
          <w:pgSz w:w="12240" w:h="16197"/>
          <w:pgMar w:left="1200" w:right="1200" w:top="920" w:bottom="1320" w:header="500" w:footer="820"/>
          <w:lnNumType w:countBy="1" w:distance="80" w:restart="continuous"/>
          <w:cols w:num="2" w:space="480"/>
        </w:sectPr>
      </w:pPr>
    </w:p>
    <w:bookmarkStart w:id="51" w:name="lbl_tab_seed_results"/>
    <w:p>
      <w:pPr>
        <w:pStyle w:val="TableCaption"/>
      </w:pPr>
      <w:bookmarkStart w:id="90010" w:name="cap_tab6"/>
      <w:r>
        <w:t xml:space="preserve">Table 6 Seed-batch drop-tower results: 101 stabilized captures per</w:t>
      </w:r>
      <w:r>
        <w:t xml:space="preserve"> </w:t>
      </w:r>
      <w:r>
        <w:t xml:space="preserve">article (103 for autv5r) at 60 in onto the standardized</w:t>
      </w:r>
      <w:r>
        <w:t xml:space="preserve"> </w:t>
      </w:r>
      <w:r>
        <w:t xml:space="preserve">polyurethane surface, CFC-180 filtering, counted after the first</w:t>
      </w:r>
      <w:r>
        <w:t xml:space="preserve"> </w:t>
      </w:r>
      <w:r>
        <w:t xml:space="preserve">two warm-up drops of each session were discarded. Means ± one</w:t>
      </w:r>
      <w:r>
        <w:t xml:space="preserve"> </w:t>
      </w:r>
      <w:r>
        <w:t xml:space="preserve">standard deviation over the stabilized drops. Rows are ordered by</w:t>
      </w:r>
      <w:r>
        <w:t xml:space="preserve"> </w:t>
      </w:r>
      <w:r>
        <w:rPr>
          <w:i/>
          <w:iCs/>
        </w:rPr>
        <w:t xml:space="preserve">t</w:t>
      </w:r>
      <w:r>
        <w:rPr>
          <w:vertAlign w:val="subscript"/>
        </w:rPr>
        <w:t xml:space="preserve">180</w:t>
      </w:r>
      <w:r>
        <w:t xml:space="preserve">.</w:t>
      </w:r>
      <w:r>
        <w:t xml:space="preserve"> </w:t>
      </w:r>
      <w:r>
        <w:rPr>
          <w:i/>
          <w:iCs/>
        </w:rPr>
        <w:t xml:space="preserve">E</w:t>
      </w:r>
      <w:r>
        <w:rPr>
          <w:vertAlign w:val="subscript"/>
        </w:rPr>
        <w:t xml:space="preserve">reb</w:t>
      </w:r>
      <w:r>
        <w:t xml:space="preserve"> </w:t>
      </w:r>
      <w:r>
        <w:t xml:space="preserve">uses each</w:t>
      </w:r>
      <w:r>
        <w:t xml:space="preserve"> </w:t>
      </w:r>
      <w:r>
        <w:t xml:space="preserve">article’s weighed mass per Eq. </w:t>
      </w:r>
      <w:hyperlink w:anchor="lbl_eq_objectives">
        <w:r>
          <w:rPr>
            <w:rStyle w:val="Hyperlink"/>
          </w:rPr>
          <w:t xml:space="preserve">(1)</w:t>
        </w:r>
      </w:hyperlink>
      <w:r>
        <w:t xml:space="preserve">. The ringdown</w:t>
      </w:r>
      <w:r>
        <w:t xml:space="preserve"> </w:t>
      </w:r>
      <w:r>
        <w:t xml:space="preserve">frequency</w:t>
      </w:r>
      <w:r>
        <w:t xml:space="preserve"> </w:t>
      </w:r>
      <w:r>
        <w:rPr>
          <w:i/>
          <w:iCs/>
        </w:rPr>
        <w:t xml:space="preserve">f</w:t>
      </w:r>
      <w:r>
        <w:rPr>
          <w:i/>
          <w:iCs/>
          <w:vertAlign w:val="subscript"/>
        </w:rPr>
        <w:t xml:space="preserve">n</w:t>
      </w:r>
      <w:r>
        <w:t xml:space="preserve"> </w:t>
      </w:r>
      <w:r>
        <w:t xml:space="preserve">is a print-health descriptor, not an objective.</w:t>
      </w:r>
      <w:r>
        <w:t xml:space="preserve"> </w:t>
      </w:r>
      <w:r>
        <w:t xml:space="preserve">A dash denotes a quantity that cannot be computed from the</w:t>
      </w:r>
      <w:r>
        <w:t xml:space="preserve"> </w:t>
      </w:r>
      <w:r>
        <w:t xml:space="preserve">available record. Article</w:t>
      </w:r>
      <w:r>
        <w:t xml:space="preserve"> </w:t>
      </w:r>
      <w:r>
        <w:rPr>
          <w:i/>
          <w:iCs/>
        </w:rPr>
        <w:t xml:space="preserve">amdjwm</w:t>
      </w:r>
      <w:r>
        <w:t xml:space="preserve">, which lacks a weighed</w:t>
      </w:r>
      <w:r>
        <w:t xml:space="preserve"> </w:t>
      </w:r>
      <w:r>
        <w:t xml:space="preserve">mass and a confirmed design mapping, is excluded from the surrogate</w:t>
      </w:r>
      <w:r>
        <w:t xml:space="preserve"> </w:t>
      </w:r>
      <w:r>
        <w:t xml:space="preserve">fit and from all mass-dependent quantities. No accepted</w:t>
      </w:r>
      <w:r>
        <w:t xml:space="preserve"> </w:t>
      </w:r>
      <w:r>
        <w:rPr>
          <w:i/>
          <w:iCs/>
        </w:rPr>
        <w:t xml:space="preserve">f</w:t>
      </w:r>
      <w:r>
        <w:rPr>
          <w:i/>
          <w:iCs/>
          <w:vertAlign w:val="subscript"/>
        </w:rPr>
        <w:t xml:space="preserve">n</w:t>
      </w:r>
      <w:r>
        <w:t xml:space="preserve"> </w:t>
      </w:r>
      <w:r>
        <w:t xml:space="preserve">estimate is available for</w:t>
      </w:r>
      <w:r>
        <w:t xml:space="preserve"> </w:t>
      </w:r>
      <w:r>
        <w:rPr>
          <w:i/>
          <w:iCs/>
        </w:rPr>
        <w:t xml:space="preserve">bag26v</w:t>
      </w:r>
      <w:r>
        <w:t xml:space="preserve"> </w:t>
      </w:r>
      <w:r>
        <w:t xml:space="preserve">or</w:t>
      </w:r>
      <w:r>
        <w:t xml:space="preserve"> </w:t>
      </w:r>
      <w:r>
        <w:rPr>
          <w:i/>
          <w:iCs/>
        </w:rPr>
        <w:t xml:space="preserve">ajhby6</w:t>
      </w:r>
      <w:r>
        <w:t xml:space="preserve">.</w:t>
      </w:r>
      <w:r>
        <w:t xml:space="preserve"> </w:t>
      </w:r>
      <w:r>
        <w:t xml:space="preserve">Specs 03 and 06 were printed but have no drop sessions in the</w:t>
      </w:r>
      <w:r>
        <w:t xml:space="preserve"> </w:t>
      </w:r>
      <w:r>
        <w:t xml:space="preserve">campaign record.</w:t>
      </w:r>
      <w:bookmarkEnd w:id="90010"/>
    </w:p>
    <w:tbl>
      <w:tblPr>
        <w:tblStyle w:val="Table"/>
        <w:tblW w:type="dxa" w:w="5792"/>
        <w:jc w:val="start"/>
        <w:tblLayout w:type="fixed"/>
        <w:tblLook w:firstRow="1" w:lastRow="0" w:firstColumn="0" w:lastColumn="0" w:noHBand="0" w:noVBand="0" w:val="0020"/>
        <w:tblCaption w:val="Table 6 Seed-batch drop-tower results: 101 stabilized captures per article (103 for autv5r) at 60 in onto the standardized polyurethane surface, CFC-180 filtering, counted after the first two warm-up drops of each session were discarded. Means ± one standard deviation over the stabilized drops. Rows are ordered by t180. Ereb uses each article’s weighed mass per Eq. (1). The ringdown frequency fn is a print-health descriptor, not an objective. A dash denotes a quantity that cannot be computed from the available record. Article amdjwm, which lacks a weighed mass and a confirmed design mapping, is excluded from the surrogate fit and from all mass-dependent quantities. No accepted fn estimate is available for bag26v or ajhby6. Specs 03 and 06 were printed but have no drop sessions in the campaign record."/>
      </w:tblPr>
      <w:tblGrid>
        <w:gridCol w:w="1020"/>
        <w:gridCol w:w="774"/>
        <w:gridCol w:w="856"/>
        <w:gridCol w:w="1430"/>
        <w:gridCol w:w="938"/>
        <w:gridCol w:w="774"/>
      </w:tblGrid>
      <w:tr>
        <w:trPr>
          <w:tblHeader w:val="true"/>
        </w:trPr>
        <w:tc>
          <w:tcPr/>
          <w:p>
            <w:pPr>
              <w:pStyle w:val="TableText"/>
              <w:jc w:val="left"/>
            </w:pPr>
            <w:r>
              <w:t xml:space="preserve">Design</w:t>
            </w:r>
          </w:p>
        </w:tc>
        <w:tc>
          <w:tcPr/>
          <w:p>
            <w:pPr>
              <w:pStyle w:val="TableText"/>
              <w:jc w:val="left"/>
            </w:pPr>
            <w:r>
              <w:t xml:space="preserve">Article</w:t>
            </w:r>
          </w:p>
        </w:tc>
        <w:tc>
          <w:tcPr/>
          <w:p>
            <w:pPr>
              <w:pStyle w:val="TableText"/>
              <w:jc w:val="center"/>
            </w:pPr>
            <w:r>
              <w:t xml:space="preserve">Mass (g)</w:t>
            </w:r>
          </w:p>
        </w:tc>
        <w:tc>
          <w:tcPr/>
          <w:p>
            <w:pPr>
              <w:pStyle w:val="TableText"/>
              <w:jc w:val="center"/>
            </w:pPr>
            <w:r>
              <w:rPr>
                <w:i/>
                <w:iCs/>
              </w:rPr>
              <w:t xml:space="preserve">t</w:t>
            </w:r>
            <w:r>
              <w:rPr>
                <w:vertAlign w:val="subscript"/>
              </w:rPr>
              <w:t xml:space="preserve">180</w:t>
            </w:r>
          </w:p>
        </w:tc>
        <w:tc>
          <w:tcPr/>
          <w:p>
            <w:pPr>
              <w:pStyle w:val="TableText"/>
              <w:jc w:val="center"/>
            </w:pPr>
            <w:r>
              <w:rPr>
                <w:i/>
                <w:iCs/>
              </w:rPr>
              <w:t xml:space="preserve">E</w:t>
            </w:r>
            <w:r>
              <w:rPr>
                <w:vertAlign w:val="subscript"/>
              </w:rPr>
              <w:t xml:space="preserve">reb</w:t>
            </w:r>
            <w:r>
              <w:t xml:space="preserve"> </w:t>
            </w:r>
            <w:r>
              <w:t xml:space="preserve">(mJ)</w:t>
            </w:r>
          </w:p>
        </w:tc>
        <w:tc>
          <w:tcPr/>
          <w:p>
            <w:pPr>
              <w:pStyle w:val="TableText"/>
              <w:jc w:val="center"/>
            </w:pPr>
            <w:r>
              <w:rPr>
                <w:i/>
                <w:iCs/>
              </w:rPr>
              <w:t xml:space="preserve">f</w:t>
            </w:r>
            <w:r>
              <w:rPr>
                <w:i/>
                <w:iCs/>
                <w:vertAlign w:val="subscript"/>
              </w:rPr>
              <w:t xml:space="preserve">n</w:t>
            </w:r>
            <w:r>
              <w:t xml:space="preserve"> </w:t>
            </w:r>
            <w:r>
              <w:t xml:space="preserve">(Hz)</w:t>
            </w:r>
          </w:p>
        </w:tc>
      </w:tr>
      <w:tr>
        <w:tc>
          <w:tcPr/>
          <w:p>
            <w:pPr>
              <w:pStyle w:val="TableText"/>
              <w:jc w:val="left"/>
            </w:pPr>
            <w:r>
              <w:t xml:space="preserve">Spec 01</w:t>
            </w:r>
          </w:p>
        </w:tc>
        <w:tc>
          <w:tcPr/>
          <w:p>
            <w:pPr>
              <w:pStyle w:val="TableText"/>
              <w:jc w:val="left"/>
            </w:pPr>
            <w:r>
              <w:t xml:space="preserve">6lhxfy</w:t>
            </w:r>
          </w:p>
        </w:tc>
        <w:tc>
          <w:tcPr/>
          <w:p>
            <w:pPr>
              <w:pStyle w:val="TableText"/>
              <w:jc w:val="center"/>
            </w:pPr>
            <w:r>
              <w:t xml:space="preserve">18.50</w:t>
            </w:r>
          </w:p>
        </w:tc>
        <w:tc>
          <w:tcPr/>
          <w:p>
            <w:pPr>
              <w:pStyle w:val="TableText"/>
              <w:jc w:val="center"/>
            </w:pPr>
            <w:r>
              <w:t xml:space="preserve">0.8931 ± 0.0042</w:t>
            </w:r>
          </w:p>
        </w:tc>
        <w:tc>
          <w:tcPr/>
          <w:p>
            <w:pPr>
              <w:pStyle w:val="TableText"/>
              <w:jc w:val="center"/>
            </w:pPr>
            <w:r>
              <w:t xml:space="preserve">13.9</w:t>
            </w:r>
          </w:p>
        </w:tc>
        <w:tc>
          <w:tcPr/>
          <w:p>
            <w:pPr>
              <w:pStyle w:val="TableText"/>
              <w:jc w:val="center"/>
            </w:pPr>
            <w:r>
              <w:t xml:space="preserve">368</w:t>
            </w:r>
          </w:p>
        </w:tc>
      </w:tr>
      <w:tr>
        <w:tc>
          <w:tcPr/>
          <w:p>
            <w:pPr>
              <w:pStyle w:val="TableText"/>
              <w:jc w:val="left"/>
            </w:pPr>
            <w:r>
              <w:t xml:space="preserve">(unmapped)</w:t>
            </w:r>
          </w:p>
        </w:tc>
        <w:tc>
          <w:tcPr/>
          <w:p>
            <w:pPr>
              <w:pStyle w:val="TableText"/>
              <w:jc w:val="left"/>
            </w:pPr>
            <w:r>
              <w:t xml:space="preserve">amdjwm</w:t>
            </w:r>
          </w:p>
        </w:tc>
        <w:tc>
          <w:tcPr/>
          <w:p>
            <w:pPr>
              <w:pStyle w:val="TableText"/>
              <w:jc w:val="center"/>
            </w:pPr>
            <w:r>
              <w:t xml:space="preserve">-</w:t>
            </w:r>
          </w:p>
        </w:tc>
        <w:tc>
          <w:tcPr/>
          <w:p>
            <w:pPr>
              <w:pStyle w:val="TableText"/>
              <w:jc w:val="center"/>
            </w:pPr>
            <w:r>
              <w:t xml:space="preserve">0.9805 ± 0.0025</w:t>
            </w:r>
          </w:p>
        </w:tc>
        <w:tc>
          <w:tcPr/>
          <w:p>
            <w:pPr>
              <w:pStyle w:val="TableText"/>
              <w:jc w:val="center"/>
            </w:pPr>
            <w:r>
              <w:t xml:space="preserve">-</w:t>
            </w:r>
          </w:p>
        </w:tc>
        <w:tc>
          <w:tcPr/>
          <w:p>
            <w:pPr>
              <w:pStyle w:val="TableText"/>
              <w:jc w:val="center"/>
            </w:pPr>
            <w:r>
              <w:t xml:space="preserve">455</w:t>
            </w:r>
          </w:p>
        </w:tc>
      </w:tr>
      <w:tr>
        <w:tc>
          <w:tcPr/>
          <w:p>
            <w:pPr>
              <w:pStyle w:val="TableText"/>
              <w:jc w:val="left"/>
            </w:pPr>
            <w:r>
              <w:t xml:space="preserve">Spec 05</w:t>
            </w:r>
          </w:p>
        </w:tc>
        <w:tc>
          <w:tcPr/>
          <w:p>
            <w:pPr>
              <w:pStyle w:val="TableText"/>
              <w:jc w:val="left"/>
            </w:pPr>
            <w:r>
              <w:t xml:space="preserve">6nheas</w:t>
            </w:r>
          </w:p>
        </w:tc>
        <w:tc>
          <w:tcPr/>
          <w:p>
            <w:pPr>
              <w:pStyle w:val="TableText"/>
              <w:jc w:val="center"/>
            </w:pPr>
            <w:r>
              <w:t xml:space="preserve">21.73</w:t>
            </w:r>
          </w:p>
        </w:tc>
        <w:tc>
          <w:tcPr/>
          <w:p>
            <w:pPr>
              <w:pStyle w:val="TableText"/>
              <w:jc w:val="center"/>
            </w:pPr>
            <w:r>
              <w:t xml:space="preserve">0.9970 ± 0.0032</w:t>
            </w:r>
          </w:p>
        </w:tc>
        <w:tc>
          <w:tcPr/>
          <w:p>
            <w:pPr>
              <w:pStyle w:val="TableText"/>
              <w:jc w:val="center"/>
            </w:pPr>
            <w:r>
              <w:t xml:space="preserve">13.1</w:t>
            </w:r>
          </w:p>
        </w:tc>
        <w:tc>
          <w:tcPr/>
          <w:p>
            <w:pPr>
              <w:pStyle w:val="TableText"/>
              <w:jc w:val="center"/>
            </w:pPr>
            <w:r>
              <w:t xml:space="preserve">322</w:t>
            </w:r>
          </w:p>
        </w:tc>
      </w:tr>
      <w:tr>
        <w:tc>
          <w:tcPr/>
          <w:p>
            <w:pPr>
              <w:pStyle w:val="TableText"/>
              <w:jc w:val="left"/>
            </w:pPr>
            <w:r>
              <w:t xml:space="preserve">S0 ref.</w:t>
            </w:r>
          </w:p>
        </w:tc>
        <w:tc>
          <w:tcPr/>
          <w:p>
            <w:pPr>
              <w:pStyle w:val="TableText"/>
              <w:jc w:val="left"/>
            </w:pPr>
            <w:r>
              <w:t xml:space="preserve">bpx68c</w:t>
            </w:r>
          </w:p>
        </w:tc>
        <w:tc>
          <w:tcPr/>
          <w:p>
            <w:pPr>
              <w:pStyle w:val="TableText"/>
              <w:jc w:val="center"/>
            </w:pPr>
            <w:r>
              <w:t xml:space="preserve">20.23</w:t>
            </w:r>
          </w:p>
        </w:tc>
        <w:tc>
          <w:tcPr/>
          <w:p>
            <w:pPr>
              <w:pStyle w:val="TableText"/>
              <w:jc w:val="center"/>
            </w:pPr>
            <w:r>
              <w:t xml:space="preserve">1.0111 ± 0.0024</w:t>
            </w:r>
          </w:p>
        </w:tc>
        <w:tc>
          <w:tcPr/>
          <w:p>
            <w:pPr>
              <w:pStyle w:val="TableText"/>
              <w:jc w:val="center"/>
            </w:pPr>
            <w:r>
              <w:t xml:space="preserve">6.2</w:t>
            </w:r>
          </w:p>
        </w:tc>
        <w:tc>
          <w:tcPr/>
          <w:p>
            <w:pPr>
              <w:pStyle w:val="TableText"/>
              <w:jc w:val="center"/>
            </w:pPr>
            <w:r>
              <w:t xml:space="preserve">468</w:t>
            </w:r>
          </w:p>
        </w:tc>
      </w:tr>
      <w:tr>
        <w:tc>
          <w:tcPr/>
          <w:p>
            <w:pPr>
              <w:pStyle w:val="TableText"/>
              <w:jc w:val="left"/>
            </w:pPr>
            <w:r>
              <w:t xml:space="preserve">Spec 07</w:t>
            </w:r>
          </w:p>
        </w:tc>
        <w:tc>
          <w:tcPr/>
          <w:p>
            <w:pPr>
              <w:pStyle w:val="TableText"/>
              <w:jc w:val="left"/>
            </w:pPr>
            <w:r>
              <w:t xml:space="preserve">ajhby6</w:t>
            </w:r>
          </w:p>
        </w:tc>
        <w:tc>
          <w:tcPr/>
          <w:p>
            <w:pPr>
              <w:pStyle w:val="TableText"/>
              <w:jc w:val="center"/>
            </w:pPr>
            <w:r>
              <w:t xml:space="preserve">20.53</w:t>
            </w:r>
          </w:p>
        </w:tc>
        <w:tc>
          <w:tcPr/>
          <w:p>
            <w:pPr>
              <w:pStyle w:val="TableText"/>
              <w:jc w:val="center"/>
            </w:pPr>
            <w:r>
              <w:t xml:space="preserve">1.0127 ± 0.0038</w:t>
            </w:r>
          </w:p>
        </w:tc>
        <w:tc>
          <w:tcPr/>
          <w:p>
            <w:pPr>
              <w:pStyle w:val="TableText"/>
              <w:jc w:val="center"/>
            </w:pPr>
            <w:r>
              <w:t xml:space="preserve">6.1</w:t>
            </w:r>
          </w:p>
        </w:tc>
        <w:tc>
          <w:tcPr/>
          <w:p>
            <w:pPr>
              <w:pStyle w:val="TableText"/>
              <w:jc w:val="center"/>
            </w:pPr>
            <w:r>
              <w:t xml:space="preserve">-</w:t>
            </w:r>
          </w:p>
        </w:tc>
      </w:tr>
      <w:tr>
        <w:tc>
          <w:tcPr/>
          <w:p>
            <w:pPr>
              <w:pStyle w:val="TableText"/>
              <w:jc w:val="left"/>
            </w:pPr>
            <w:r>
              <w:t xml:space="preserve">Spec 00</w:t>
            </w:r>
          </w:p>
        </w:tc>
        <w:tc>
          <w:tcPr/>
          <w:p>
            <w:pPr>
              <w:pStyle w:val="TableText"/>
              <w:jc w:val="left"/>
            </w:pPr>
            <w:r>
              <w:t xml:space="preserve">9hhbkp</w:t>
            </w:r>
          </w:p>
        </w:tc>
        <w:tc>
          <w:tcPr/>
          <w:p>
            <w:pPr>
              <w:pStyle w:val="TableText"/>
              <w:jc w:val="center"/>
            </w:pPr>
            <w:r>
              <w:t xml:space="preserve">21.62</w:t>
            </w:r>
          </w:p>
        </w:tc>
        <w:tc>
          <w:tcPr/>
          <w:p>
            <w:pPr>
              <w:pStyle w:val="TableText"/>
              <w:jc w:val="center"/>
            </w:pPr>
            <w:r>
              <w:t xml:space="preserve">1.0183 ± 0.0017</w:t>
            </w:r>
          </w:p>
        </w:tc>
        <w:tc>
          <w:tcPr/>
          <w:p>
            <w:pPr>
              <w:pStyle w:val="TableText"/>
              <w:jc w:val="center"/>
            </w:pPr>
            <w:r>
              <w:t xml:space="preserve">6.9</w:t>
            </w:r>
          </w:p>
        </w:tc>
        <w:tc>
          <w:tcPr/>
          <w:p>
            <w:pPr>
              <w:pStyle w:val="TableText"/>
              <w:jc w:val="center"/>
            </w:pPr>
            <w:r>
              <w:t xml:space="preserve">364</w:t>
            </w:r>
          </w:p>
        </w:tc>
      </w:tr>
      <w:tr>
        <w:tc>
          <w:tcPr/>
          <w:p>
            <w:pPr>
              <w:pStyle w:val="TableText"/>
              <w:jc w:val="left"/>
            </w:pPr>
            <w:r>
              <w:t xml:space="preserve">Spec 04</w:t>
            </w:r>
          </w:p>
        </w:tc>
        <w:tc>
          <w:tcPr/>
          <w:p>
            <w:pPr>
              <w:pStyle w:val="TableText"/>
              <w:jc w:val="left"/>
            </w:pPr>
            <w:r>
              <w:t xml:space="preserve">nvxsrv</w:t>
            </w:r>
          </w:p>
        </w:tc>
        <w:tc>
          <w:tcPr/>
          <w:p>
            <w:pPr>
              <w:pStyle w:val="TableText"/>
              <w:jc w:val="center"/>
            </w:pPr>
            <w:r>
              <w:t xml:space="preserve">20.66</w:t>
            </w:r>
          </w:p>
        </w:tc>
        <w:tc>
          <w:tcPr/>
          <w:p>
            <w:pPr>
              <w:pStyle w:val="TableText"/>
              <w:jc w:val="center"/>
            </w:pPr>
            <w:r>
              <w:t xml:space="preserve">1.0275 ± 0.0044</w:t>
            </w:r>
          </w:p>
        </w:tc>
        <w:tc>
          <w:tcPr/>
          <w:p>
            <w:pPr>
              <w:pStyle w:val="TableText"/>
              <w:jc w:val="center"/>
            </w:pPr>
            <w:r>
              <w:t xml:space="preserve">8.2</w:t>
            </w:r>
          </w:p>
        </w:tc>
        <w:tc>
          <w:tcPr/>
          <w:p>
            <w:pPr>
              <w:pStyle w:val="TableText"/>
              <w:jc w:val="center"/>
            </w:pPr>
            <w:r>
              <w:t xml:space="preserve">294</w:t>
            </w:r>
          </w:p>
        </w:tc>
      </w:tr>
      <w:tr>
        <w:tc>
          <w:tcPr/>
          <w:p>
            <w:pPr>
              <w:pStyle w:val="TableText"/>
              <w:jc w:val="left"/>
            </w:pPr>
            <w:r>
              <w:t xml:space="preserve">Spec 02</w:t>
            </w:r>
          </w:p>
        </w:tc>
        <w:tc>
          <w:tcPr/>
          <w:p>
            <w:pPr>
              <w:pStyle w:val="TableText"/>
              <w:jc w:val="left"/>
            </w:pPr>
            <w:r>
              <w:t xml:space="preserve">autv5r</w:t>
            </w:r>
          </w:p>
        </w:tc>
        <w:tc>
          <w:tcPr/>
          <w:p>
            <w:pPr>
              <w:pStyle w:val="TableText"/>
              <w:jc w:val="center"/>
            </w:pPr>
            <w:r>
              <w:t xml:space="preserve">22.04</w:t>
            </w:r>
          </w:p>
        </w:tc>
        <w:tc>
          <w:tcPr/>
          <w:p>
            <w:pPr>
              <w:pStyle w:val="TableText"/>
              <w:jc w:val="center"/>
            </w:pPr>
            <w:r>
              <w:t xml:space="preserve">1.0404 ± 0.0035</w:t>
            </w:r>
          </w:p>
        </w:tc>
        <w:tc>
          <w:tcPr/>
          <w:p>
            <w:pPr>
              <w:pStyle w:val="TableText"/>
              <w:jc w:val="center"/>
            </w:pPr>
            <w:r>
              <w:t xml:space="preserve">8.8</w:t>
            </w:r>
          </w:p>
        </w:tc>
        <w:tc>
          <w:tcPr/>
          <w:p>
            <w:pPr>
              <w:pStyle w:val="TableText"/>
              <w:jc w:val="center"/>
            </w:pPr>
            <w:r>
              <w:t xml:space="preserve">386</w:t>
            </w:r>
          </w:p>
        </w:tc>
      </w:tr>
      <w:tr>
        <w:tc>
          <w:tcPr/>
          <w:p>
            <w:pPr>
              <w:pStyle w:val="TableText"/>
              <w:jc w:val="left"/>
            </w:pPr>
            <w:r>
              <w:t xml:space="preserve">Spec 08</w:t>
            </w:r>
          </w:p>
        </w:tc>
        <w:tc>
          <w:tcPr/>
          <w:p>
            <w:pPr>
              <w:pStyle w:val="TableText"/>
              <w:jc w:val="left"/>
            </w:pPr>
            <w:r>
              <w:t xml:space="preserve">bag26v</w:t>
            </w:r>
          </w:p>
        </w:tc>
        <w:tc>
          <w:tcPr/>
          <w:p>
            <w:pPr>
              <w:pStyle w:val="TableText"/>
              <w:jc w:val="center"/>
            </w:pPr>
            <w:r>
              <w:t xml:space="preserve">21.42</w:t>
            </w:r>
          </w:p>
        </w:tc>
        <w:tc>
          <w:tcPr/>
          <w:p>
            <w:pPr>
              <w:pStyle w:val="TableText"/>
              <w:jc w:val="center"/>
            </w:pPr>
            <w:r>
              <w:t xml:space="preserve">1.0616 ± 0.0051</w:t>
            </w:r>
          </w:p>
        </w:tc>
        <w:tc>
          <w:tcPr/>
          <w:p>
            <w:pPr>
              <w:pStyle w:val="TableText"/>
              <w:jc w:val="center"/>
            </w:pPr>
            <w:r>
              <w:t xml:space="preserve">7.7</w:t>
            </w:r>
          </w:p>
        </w:tc>
        <w:tc>
          <w:tcPr/>
          <w:p>
            <w:pPr>
              <w:pStyle w:val="TableText"/>
              <w:jc w:val="center"/>
            </w:pPr>
            <w:r>
              <w:t xml:space="preserve">-</w:t>
            </w:r>
          </w:p>
        </w:tc>
      </w:tr>
    </w:tbl>
    <w:bookmarkEnd w:id="51"/>
    <w:p>
      <w:pPr>
        <w:pStyle w:val="SectionBreak"/>
        <w:sectPr>
          <w:type w:val="continuous"/>
          <w:pgSz w:w="12240" w:h="16197"/>
          <w:pgMar w:left="1200" w:right="1200" w:top="920" w:bottom="1320" w:header="500" w:footer="820"/>
          <w:cols w:space="480"/>
        </w:sectPr>
      </w:pPr>
    </w:p>
    <w:bookmarkStart w:id="52" w:name="lbl_sec_results_batches"/>
    <w:p>
      <w:pPr>
        <w:pStyle w:val="RuninHeading2"/>
      </w:pPr>
      <w:r>
        <w:rPr>
          <w:b/>
          <w:bCs/>
        </w:rPr>
        <w:t xml:space="preserve">4.2 Model-Recommended Batches and Replication.</w:t>
      </w:r>
      <w:r>
        <w:t xml:space="preserve"> </w:t>
      </w:r>
      <w:r>
        <w:t xml:space="preserve">Table </w:t>
      </w:r>
      <w:hyperlink w:anchor="lbl_tab_batch_results">
        <w:r>
          <w:rPr>
            <w:rStyle w:val="Hyperlink"/>
          </w:rPr>
          <w:t xml:space="preserve">7</w:t>
        </w:r>
      </w:hyperlink>
      <w:r>
        <w:t xml:space="preserve"> </w:t>
      </w:r>
      <w:r>
        <w:t xml:space="preserve">reports the stabilized objectives for</w:t>
      </w:r>
      <w:r>
        <w:t xml:space="preserve"> </w:t>
      </w:r>
      <w:r>
        <w:t xml:space="preserve">the three model-recommended batches, and</w:t>
      </w:r>
      <w:r>
        <w:t xml:space="preserve"> </w:t>
      </w:r>
      <w:r>
        <w:t xml:space="preserve">Fig. </w:t>
      </w:r>
      <w:hyperlink w:anchor="lbl_fig_front_evolution">
        <w:r>
          <w:rPr>
            <w:rStyle w:val="Hyperlink"/>
          </w:rPr>
          <w:t xml:space="preserve">6</w:t>
        </w:r>
      </w:hyperlink>
      <w:r>
        <w:t xml:space="preserve"> </w:t>
      </w:r>
      <w:r>
        <w:t xml:space="preserve">overlays every measured article with</w:t>
      </w:r>
      <w:r>
        <w:t xml:space="preserve"> </w:t>
      </w:r>
      <w:r>
        <w:t xml:space="preserve">the non-dominated front after each batch. We evaluate Pareto</w:t>
      </w:r>
      <w:r>
        <w:t xml:space="preserve"> </w:t>
      </w:r>
      <w:r>
        <w:t xml:space="preserve">membership over articles with both objectives and omit the unmapped</w:t>
      </w:r>
      <w:r>
        <w:t xml:space="preserve"> </w:t>
      </w:r>
      <w:r>
        <w:t xml:space="preserve">seed article amdjwm, whose</w:t>
      </w:r>
      <w:r>
        <w:t xml:space="preserve"> </w:t>
      </w:r>
      <w:r>
        <w:rPr>
          <w:i/>
          <w:iCs/>
        </w:rPr>
        <w:t xml:space="preserve">E</w:t>
      </w:r>
      <w:r>
        <w:rPr>
          <w:vertAlign w:val="subscript"/>
        </w:rPr>
        <w:t xml:space="preserve">reb</w:t>
      </w:r>
      <w:r>
        <w:t xml:space="preserve"> </w:t>
      </w:r>
      <w:r>
        <w:t xml:space="preserve">cannot be computed</w:t>
      </w:r>
      <w:r>
        <w:t xml:space="preserve"> </w:t>
      </w:r>
      <w:r>
        <w:t xml:space="preserve">without a weighed mass. Dominated hypervolume, evaluated</w:t>
      </w:r>
      <w:r>
        <w:t xml:space="preserve"> </w:t>
      </w:r>
      <w:r>
        <w:t xml:space="preserve">at the fixed reference point (</w:t>
      </w:r>
      <w:r>
        <w:rPr>
          <w:i/>
          <w:iCs/>
        </w:rPr>
        <w:t xml:space="preserve">t</w:t>
      </w:r>
      <w:r>
        <w:rPr>
          <w:vertAlign w:val="subscript"/>
        </w:rPr>
        <w:t xml:space="preserve">180</w:t>
      </w:r>
      <w:r>
        <w:t xml:space="preserve">,</w:t>
      </w:r>
      <w:r>
        <w:t xml:space="preserve"> </w:t>
      </w:r>
      <w:r>
        <w:rPr>
          <w:i/>
          <w:iCs/>
        </w:rPr>
        <w:t xml:space="preserve">E</w:t>
      </w:r>
      <w:r>
        <w:rPr>
          <w:vertAlign w:val="subscript"/>
        </w:rPr>
        <w:t xml:space="preserve">reb</w:t>
      </w:r>
      <w:r>
        <w:t xml:space="preserve">) = (1.35, 15 mJ), grew from 3.155 after the seed batch to 3.969</w:t>
      </w:r>
      <w:r>
        <w:t xml:space="preserve"> </w:t>
      </w:r>
      <w:r>
        <w:t xml:space="preserve">after batch 2 (+25.8%), 4.007 after batch 3 (+0.9%), and 5.195</w:t>
      </w:r>
      <w:r>
        <w:t xml:space="preserve"> </w:t>
      </w:r>
      <w:r>
        <w:t xml:space="preserve">after batch 4 (+29.7%), a 65% total gain over the seed front. We</w:t>
      </w:r>
      <w:r>
        <w:t xml:space="preserve"> </w:t>
      </w:r>
      <w:r>
        <w:t xml:space="preserve">have not run a budget-matched physical baseline of Sobol designs, so</w:t>
      </w:r>
      <w:r>
        <w:t xml:space="preserve"> </w:t>
      </w:r>
      <w:r>
        <w:t xml:space="preserve">the comparison the data support is against the campaign’s own Sobol</w:t>
      </w:r>
      <w:r>
        <w:t xml:space="preserve"> </w:t>
      </w:r>
      <w:r>
        <w:t xml:space="preserve">seed. After batch 4, every member of the combined front (corny7,</w:t>
      </w:r>
      <w:r>
        <w:t xml:space="preserve"> </w:t>
      </w:r>
      <w:r>
        <w:t xml:space="preserve">corny6, drran5, drran3, r2d2c6) is a model-recommended design, and the</w:t>
      </w:r>
      <w:r>
        <w:t xml:space="preserve"> </w:t>
      </w:r>
      <w:r>
        <w:t xml:space="preserve">last seed article left the front when the batch-4 record dominated</w:t>
      </w:r>
      <w:r>
        <w:t xml:space="preserve"> </w:t>
      </w:r>
      <w:r>
        <w:t xml:space="preserve">it. These fronts score every article as measured, with each</w:t>
      </w:r>
      <w:r>
        <w:t xml:space="preserve"> </w:t>
      </w:r>
      <w:r>
        <w:t xml:space="preserve">repeated batch-3 design at its first print. Scoring each batch-3 design</w:t>
      </w:r>
      <w:r>
        <w:t xml:space="preserve"> </w:t>
      </w:r>
      <w:r>
        <w:t xml:space="preserve">instead at the mean of its screened prints</w:t>
      </w:r>
      <w:r>
        <w:t xml:space="preserve"> </w:t>
      </w:r>
      <w:r>
        <w:t xml:space="preserve">(Table </w:t>
      </w:r>
      <w:hyperlink w:anchor="lbl_tab_round3_repeatability">
        <w:r>
          <w:rPr>
            <w:rStyle w:val="Hyperlink"/>
          </w:rPr>
          <w:t xml:space="preserve">8</w:t>
        </w:r>
      </w:hyperlink>
      <w:r>
        <w:t xml:space="preserve">) removes drran5 and drran3 from</w:t>
      </w:r>
      <w:r>
        <w:t xml:space="preserve"> </w:t>
      </w:r>
      <w:r>
        <w:t xml:space="preserve">the final front. The design-mean front is corny7, corny6, r2d2c2,</w:t>
      </w:r>
      <w:r>
        <w:t xml:space="preserve"> </w:t>
      </w:r>
      <w:r>
        <w:t xml:space="preserve">corny4, and r2d2c6, still entirely model-recommended, with r2d2c2’s</w:t>
      </w:r>
      <w:r>
        <w:t xml:space="preserve"> </w:t>
      </w:r>
      <w:r>
        <w:t xml:space="preserve">membership provisional on its drift flag. Scored the same way, batch 3</w:t>
      </w:r>
      <w:r>
        <w:t xml:space="preserve"> </w:t>
      </w:r>
      <w:r>
        <w:t xml:space="preserve">added 0.1% to the hypervolume instead of 0.9%, so most of its apparent</w:t>
      </w:r>
      <w:r>
        <w:t xml:space="preserve"> </w:t>
      </w:r>
      <w:r>
        <w:t xml:space="preserve">gain came from favorable first prints.</w:t>
      </w:r>
    </w:p>
    <w:bookmarkEnd w:id="52"/>
    <w:p>
      <w:pPr>
        <w:pStyle w:val="RuninHeading4"/>
      </w:pPr>
      <w:r>
        <w:rPr>
          <w:i/>
          <w:iCs/>
        </w:rPr>
        <w:t xml:space="preserve">Batch 2 (Ax trials 10 to 18).</w:t>
      </w:r>
      <w:r>
        <w:t xml:space="preserve"> </w:t>
      </w:r>
      <w:r>
        <w:t xml:space="preserve">We generated the first</w:t>
      </w:r>
      <w:r>
        <w:t xml:space="preserve"> </w:t>
      </w:r>
      <w:r>
        <w:t xml:space="preserve">recommended batch from the seed fit and printed it under the</w:t>
      </w:r>
      <w:r>
        <w:t xml:space="preserve"> </w:t>
      </w:r>
      <w:r>
        <w:t xml:space="preserve">constant-solid-mass projection, so its printed masses still spread</w:t>
      </w:r>
      <w:r>
        <w:t xml:space="preserve"> </w:t>
      </w:r>
      <w:r>
        <w:t xml:space="preserve">widely (17.91 to 23.47 g). A regenerated constant-printed-mass</w:t>
      </w:r>
      <w:r>
        <w:t xml:space="preserve"> </w:t>
      </w:r>
      <w:r>
        <w:t xml:space="preserve">recommendation set is archived alongside the as-printed one, and every</w:t>
      </w:r>
      <w:r>
        <w:t xml:space="preserve"> </w:t>
      </w:r>
      <w:r>
        <w:t xml:space="preserve">result reported here is for the as-printed set. The batch grew the front almost entirely</w:t>
      </w:r>
      <w:r>
        <w:t xml:space="preserve"> </w:t>
      </w:r>
      <w:r>
        <w:t xml:space="preserve">on the velocity-loss axis, and four batch-2 articles joined the front.</w:t>
      </w:r>
      <w:r>
        <w:t xml:space="preserve"> </w:t>
      </w:r>
      <w:r>
        <w:t xml:space="preserve">Article r2d2c6 still holds the lowest</w:t>
      </w:r>
      <w:r>
        <w:t xml:space="preserve"> </w:t>
      </w:r>
      <w:r>
        <w:rPr>
          <w:i/>
          <w:iCs/>
        </w:rPr>
        <w:t xml:space="preserve">E</w:t>
      </w:r>
      <w:r>
        <w:rPr>
          <w:vertAlign w:val="subscript"/>
        </w:rPr>
        <w:t xml:space="preserve">reb</w:t>
      </w:r>
      <w:r>
        <w:t xml:space="preserve"> </w:t>
      </w:r>
      <w:r>
        <w:t xml:space="preserve">on record,</w:t>
      </w:r>
      <w:r>
        <w:t xml:space="preserve"> </w:t>
      </w:r>
      <w:r>
        <w:t xml:space="preserve">4.1 mJ per drop, and its velocity loss index of 0.986 ties two</w:t>
      </w:r>
      <w:r>
        <w:t xml:space="preserve"> </w:t>
      </w:r>
      <w:r>
        <w:t xml:space="preserve">later articles (drran3 and corny4) for the highest. On the</w:t>
      </w:r>
      <w:r>
        <w:t xml:space="preserve"> </w:t>
      </w:r>
      <w:r>
        <w:t xml:space="preserve">transmissibility axis, the archived posterior predictions sat below</w:t>
      </w:r>
      <w:r>
        <w:t xml:space="preserve"> </w:t>
      </w:r>
      <w:r>
        <w:t xml:space="preserve">the measurements for nine of nine articles, with a mean absolute</w:t>
      </w:r>
      <w:r>
        <w:t xml:space="preserve"> </w:t>
      </w:r>
      <w:r>
        <w:t xml:space="preserve">percentage error (MAPE) of 14.4%. The worst case was r2d2c3</w:t>
      </w:r>
      <w:r>
        <w:t xml:space="preserve"> </w:t>
      </w:r>
      <w:r>
        <w:t xml:space="preserve">(predicted 0.910, measured 1.334), the strongest amplifier in the</w:t>
      </w:r>
      <w:r>
        <w:t xml:space="preserve"> </w:t>
      </w:r>
      <w:r>
        <w:t xml:space="preserve">campaign record. That nine-of-nine</w:t>
      </w:r>
      <w:r>
        <w:t xml:space="preserve"> </w:t>
      </w:r>
      <w:r>
        <w:t xml:space="preserve">optimism probably widened the refit posterior for every batch that followed.</w:t>
      </w:r>
    </w:p>
    <w:p>
      <w:pPr>
        <w:pStyle w:val="RuninHeading4"/>
      </w:pPr>
      <w:r>
        <w:rPr>
          <w:i/>
          <w:iCs/>
        </w:rPr>
        <w:t xml:space="preserve">Batch 3 (Ax trials 28 to 36).</w:t>
      </w:r>
      <w:r>
        <w:t xml:space="preserve"> </w:t>
      </w:r>
      <w:r>
        <w:t xml:space="preserve">Batch 3 was the first batch at</w:t>
      </w:r>
      <w:r>
        <w:t xml:space="preserve"> </w:t>
      </w:r>
      <w:r>
        <w:t xml:space="preserve">constant</w:t>
      </w:r>
      <w:r>
        <w:t xml:space="preserve"> </w:t>
      </w:r>
      <w:r>
        <w:rPr>
          <w:i/>
          <w:iCs/>
        </w:rPr>
        <w:t xml:space="preserve">printed</w:t>
      </w:r>
      <w:r>
        <w:t xml:space="preserve"> </w:t>
      </w:r>
      <w:r>
        <w:t xml:space="preserve">mass (19.24 to 20.06 g, CV 1.7%) and</w:t>
      </w:r>
      <w:r>
        <w:t xml:space="preserve"> </w:t>
      </w:r>
      <w:r>
        <w:t xml:space="preserve">the first with the infill and filament axes active</w:t>
      </w:r>
      <w:r>
        <w:t xml:space="preserve"> </w:t>
      </w:r>
      <w:r>
        <w:t xml:space="preserve">(Section </w:t>
      </w:r>
      <w:hyperlink w:anchor="lbl_sec_methods_parameterization">
        <w:r>
          <w:rPr>
            <w:rStyle w:val="Hyperlink"/>
          </w:rPr>
          <w:t xml:space="preserve">3.1</w:t>
        </w:r>
      </w:hyperlink>
      <w:r>
        <w:t xml:space="preserve">). Its first prints filled</w:t>
      </w:r>
      <w:r>
        <w:t xml:space="preserve"> </w:t>
      </w:r>
      <w:r>
        <w:t xml:space="preserve">the knee of the front without extending it (+0.9% hypervolume,</w:t>
      </w:r>
      <w:r>
        <w:t xml:space="preserve"> </w:t>
      </w:r>
      <w:r>
        <w:t xml:space="preserve">three articles joined). Eight of nine articles measured within 0.3</w:t>
      </w:r>
      <w:r>
        <w:t xml:space="preserve"> </w:t>
      </w:r>
      <w:r>
        <w:t xml:space="preserve">posterior standard deviations of their predictions (MAPE 3.8%). Two</w:t>
      </w:r>
      <w:r>
        <w:t xml:space="preserve"> </w:t>
      </w:r>
      <w:r>
        <w:t xml:space="preserve">first-print results stood out. The best-predicted design (trial 32,</w:t>
      </w:r>
      <w:r>
        <w:t xml:space="preserve"> </w:t>
      </w:r>
      <w:r>
        <w:t xml:space="preserve">predicted 1.020) measured 1.251, then the strongest amplification on</w:t>
      </w:r>
      <w:r>
        <w:t xml:space="preserve"> </w:t>
      </w:r>
      <w:r>
        <w:t xml:space="preserve">record, and the batch’s only attenuator (drran8, 0.980,</w:t>
      </w:r>
      <w:r>
        <w:t xml:space="preserve"> </w:t>
      </w:r>
      <w:r>
        <w:t xml:space="preserve">drift-flagged) was its only twisted design. Neither result held up on</w:t>
      </w:r>
      <w:r>
        <w:t xml:space="preserve"> </w:t>
      </w:r>
      <w:r>
        <w:t xml:space="preserve">the later prints described below.</w:t>
      </w:r>
    </w:p>
    <w:p>
      <w:pPr>
        <w:pStyle w:val="RuninHeading4"/>
      </w:pPr>
      <w:r>
        <w:rPr>
          <w:i/>
          <w:iCs/>
        </w:rPr>
        <w:t xml:space="preserve">Batch 4 (Ax trials 37 to 45).</w:t>
      </w:r>
      <w:r>
        <w:t xml:space="preserve"> </w:t>
      </w:r>
      <w:r>
        <w:t xml:space="preserve">The acquisition split the</w:t>
      </w:r>
      <w:r>
        <w:t xml:space="preserve"> </w:t>
      </w:r>
      <w:r>
        <w:t xml:space="preserve">batch between the wide, high-twist, thin-cable family it had been</w:t>
      </w:r>
      <w:r>
        <w:t xml:space="preserve"> </w:t>
      </w:r>
      <w:r>
        <w:t xml:space="preserve">steering toward since batch 2 and a previously unvisited tall,</w:t>
      </w:r>
      <w:r>
        <w:t xml:space="preserve"> </w:t>
      </w:r>
      <w:r>
        <w:t xml:space="preserve">low-twist corner. Four of nine articles attenuate, all of them from</w:t>
      </w:r>
      <w:r>
        <w:t xml:space="preserve"> </w:t>
      </w:r>
      <w:r>
        <w:t xml:space="preserve">the wide family. Article corny7, the batch’s best-predicted design (trial 37,</w:t>
      </w:r>
      <w:r>
        <w:t xml:space="preserve"> </w:t>
      </w:r>
      <w:r>
        <w:t xml:space="preserve">predicted 0.934 ± 0.13), measured</w:t>
      </w:r>
      <w:r>
        <w:t xml:space="preserve"> </w:t>
      </w:r>
      <w:r>
        <w:rPr>
          <w:i/>
          <w:iCs/>
        </w:rPr>
        <w:t xml:space="preserve">t</w:t>
      </w:r>
      <w:r>
        <w:rPr>
          <w:vertAlign w:val="subscript"/>
        </w:rPr>
        <w:t xml:space="preserve">180</w:t>
      </w:r>
      <w:r>
        <w:t xml:space="preserve"> = 0.8031 ± 0.0025,</w:t>
      </w:r>
      <w:r>
        <w:t xml:space="preserve"> </w:t>
      </w:r>
      <w:r>
        <w:t xml:space="preserve">the strongest attenuation in the program, 10% below the best seed</w:t>
      </w:r>
      <w:r>
        <w:t xml:space="preserve"> </w:t>
      </w:r>
      <w:r>
        <w:t xml:space="preserve">article and 21% below the reference prism. Its velocity loss index,</w:t>
      </w:r>
      <w:r>
        <w:t xml:space="preserve"> </w:t>
      </w:r>
      <w:r>
        <w:t xml:space="preserve">0.968 (</w:t>
      </w:r>
      <w:r>
        <w:rPr>
          <w:i/>
          <w:iCs/>
        </w:rPr>
        <w:t xml:space="preserve">E</w:t>
      </w:r>
      <w:r>
        <w:rPr>
          <w:vertAlign w:val="subscript"/>
        </w:rPr>
        <w:t xml:space="preserve">reb</w:t>
      </w:r>
      <w:r>
        <w:t xml:space="preserve"> = 9.4 mJ per drop), is mid-pack, and it</w:t>
      </w:r>
      <w:r>
        <w:t xml:space="preserve"> </w:t>
      </w:r>
      <w:r>
        <w:t xml:space="preserve">dominates the seed attenuator on both</w:t>
      </w:r>
      <w:r>
        <w:t xml:space="preserve"> </w:t>
      </w:r>
      <w:r>
        <w:t xml:space="preserve">objectives (Fig. </w:t>
      </w:r>
      <w:hyperlink w:anchor="lbl_fig_batch4_pred_vs_meas">
        <w:r>
          <w:rPr>
            <w:rStyle w:val="Hyperlink"/>
          </w:rPr>
          <w:t xml:space="preserve">7</w:t>
        </w:r>
      </w:hyperlink>
      <w:r>
        <w:t xml:space="preserve">). Within the</w:t>
      </w:r>
      <w:r>
        <w:t xml:space="preserve"> </w:t>
      </w:r>
      <w:r>
        <w:t xml:space="preserve">attenuating family, the archived predictions ranked the four</w:t>
      </w:r>
      <w:r>
        <w:t xml:space="preserve"> </w:t>
      </w:r>
      <w:r>
        <w:t xml:space="preserve">measurements perfectly (Spearman</w:t>
      </w:r>
      <w:r>
        <w:t xml:space="preserve"> </w:t>
      </w:r>
      <w:r>
        <w:rPr>
          <w:i/>
          <w:iCs/>
        </w:rPr>
        <w:t xml:space="preserve">ρ</w:t>
      </w:r>
      <w:r>
        <w:t xml:space="preserve"> = +1.0). Across all nine</w:t>
      </w:r>
      <w:r>
        <w:t xml:space="preserve"> </w:t>
      </w:r>
      <w:r>
        <w:t xml:space="preserve">articles the rank correlation is 0.82, although the five amplifier</w:t>
      </w:r>
      <w:r>
        <w:t xml:space="preserve"> </w:t>
      </w:r>
      <w:r>
        <w:t xml:space="preserve">predictions span only 0.9% and so carry no ordering signal. The</w:t>
      </w:r>
      <w:r>
        <w:t xml:space="preserve"> </w:t>
      </w:r>
      <w:r>
        <w:t xml:space="preserve">batch MAPE was 6.0%, and no article left its predictive band by more</w:t>
      </w:r>
      <w:r>
        <w:t xml:space="preserve"> </w:t>
      </w:r>
      <w:r>
        <w:t xml:space="preserve">than one standard deviation. The record itself beat its band by 1.0</w:t>
      </w:r>
      <w:r>
        <w:t xml:space="preserve"> </w:t>
      </w:r>
      <w:r>
        <w:t xml:space="preserve">standard deviation in the good direction. Per the between-seat replication rule, the batch-4</w:t>
      </w:r>
      <w:r>
        <w:t xml:space="preserve"> </w:t>
      </w:r>
      <w:r>
        <w:t xml:space="preserve">attenuation values, including the record, are single-seating</w:t>
      </w:r>
      <w:r>
        <w:t xml:space="preserve"> </w:t>
      </w:r>
      <w:r>
        <w:t xml:space="preserve">measurements whose re-seat confirmations are scheduled. One session</w:t>
      </w:r>
      <w:r>
        <w:t xml:space="preserve"> </w:t>
      </w:r>
      <w:r>
        <w:t xml:space="preserve">(corny5) carries a drift flag, so its mean is provisional. Another</w:t>
      </w:r>
      <w:r>
        <w:t xml:space="preserve"> </w:t>
      </w:r>
      <w:r>
        <w:t xml:space="preserve">(corny6) was erratic, with a per-drop CV of 2.0%, but attenuates</w:t>
      </w:r>
      <w:r>
        <w:t xml:space="preserve"> </w:t>
      </w:r>
      <w:r>
        <w:t xml:space="preserve">under any reading of its record.</w:t>
      </w:r>
    </w:p>
    <w:p>
      <w:pPr>
        <w:pStyle w:val="RuninHeading4"/>
      </w:pPr>
      <w:r>
        <w:rPr>
          <w:i/>
          <w:iCs/>
        </w:rPr>
        <w:t xml:space="preserve">Replication: three prints of batch 3.</w:t>
      </w:r>
      <w:r>
        <w:t xml:space="preserve"> </w:t>
      </w:r>
      <w:r>
        <w:t xml:space="preserve">We printed the batch-3</w:t>
      </w:r>
      <w:r>
        <w:t xml:space="preserve"> </w:t>
      </w:r>
      <w:r>
        <w:t xml:space="preserve">plate three times and drop-tested every article under the identical</w:t>
      </w:r>
      <w:r>
        <w:t xml:space="preserve"> </w:t>
      </w:r>
      <w:r>
        <w:t xml:space="preserve">protocol, 540 drops in all. In the later prints, articles 2dran</w:t>
      </w:r>
      <w:r>
        <w:rPr>
          <w:i/>
          <w:iCs/>
        </w:rPr>
        <w:t xml:space="preserve">N</w:t>
      </w:r>
      <w:r>
        <w:t xml:space="preserve"> </w:t>
      </w:r>
      <w:r>
        <w:t xml:space="preserve">and</w:t>
      </w:r>
      <w:r>
        <w:t xml:space="preserve"> </w:t>
      </w:r>
      <w:r>
        <w:t xml:space="preserve">dran3</w:t>
      </w:r>
      <w:r>
        <w:rPr>
          <w:i/>
          <w:iCs/>
        </w:rPr>
        <w:t xml:space="preserve">N</w:t>
      </w:r>
      <w:r>
        <w:t xml:space="preserve"> </w:t>
      </w:r>
      <w:r>
        <w:t xml:space="preserve">re-print drran</w:t>
      </w:r>
      <w:r>
        <w:rPr>
          <w:i/>
          <w:iCs/>
        </w:rPr>
        <w:t xml:space="preserve">N</w:t>
      </w:r>
      <w:r>
        <w:t xml:space="preserve"> </w:t>
      </w:r>
      <w:r>
        <w:t xml:space="preserve">at the same Ax trial (round-3 print key).</w:t>
      </w:r>
      <w:r>
        <w:t xml:space="preserve"> </w:t>
      </w:r>
      <w:r>
        <w:t xml:space="preserve">Each of the nine designs therefore has three articles</w:t>
      </w:r>
      <w:r>
        <w:t xml:space="preserve"> </w:t>
      </w:r>
      <w:r>
        <w:t xml:space="preserve">(Table </w:t>
      </w:r>
      <w:hyperlink w:anchor="lbl_tab_round3_repeatability">
        <w:r>
          <w:rPr>
            <w:rStyle w:val="Hyperlink"/>
          </w:rPr>
          <w:t xml:space="preserve">8</w:t>
        </w:r>
      </w:hyperlink>
      <w:r>
        <w:t xml:space="preserve"> </w:t>
      </w:r>
      <w:r>
        <w:t xml:space="preserve">and Fig. </w:t>
      </w:r>
      <w:hyperlink w:anchor="lbl_fig_three_print">
        <w:r>
          <w:rPr>
            <w:rStyle w:val="Hyperlink"/>
          </w:rPr>
          <w:t xml:space="preserve">8</w:t>
        </w:r>
      </w:hyperlink>
      <w:r>
        <w:t xml:space="preserve">).</w:t>
      </w:r>
      <w:r>
        <w:t xml:space="preserve"> </w:t>
      </w:r>
      <w:r>
        <w:t xml:space="preserve">The three prints averaged 19.59, 19.86, and 20.07 g. Neither</w:t>
      </w:r>
      <w:r>
        <w:t xml:space="preserve"> </w:t>
      </w:r>
      <w:r>
        <w:t xml:space="preserve">extreme of the first print recurred. Trial 32, whose first print</w:t>
      </w:r>
      <w:r>
        <w:t xml:space="preserve"> </w:t>
      </w:r>
      <w:r>
        <w:t xml:space="preserve">(drran7) measured 1.2513, then the strongest amplification on record,</w:t>
      </w:r>
      <w:r>
        <w:t xml:space="preserve"> </w:t>
      </w:r>
      <w:r>
        <w:t xml:space="preserve">measured 1.0286 and 1.0448 on its later prints, close to its</w:t>
      </w:r>
      <w:r>
        <w:t xml:space="preserve"> </w:t>
      </w:r>
      <w:r>
        <w:t xml:space="preserve">prediction of 1.020. The drift-flagged 0.9804 attenuator of trial 35</w:t>
      </w:r>
      <w:r>
        <w:t xml:space="preserve"> </w:t>
      </w:r>
      <w:r>
        <w:t xml:space="preserve">(drran8) measured 1.0109 and 0.9958. Trial 35 is the</w:t>
      </w:r>
      <w:r>
        <w:t xml:space="preserve"> </w:t>
      </w:r>
      <w:r>
        <w:t xml:space="preserve">lowest-transmissibility design in every print, but its screened mean</w:t>
      </w:r>
      <w:r>
        <w:t xml:space="preserve"> </w:t>
      </w:r>
      <w:r>
        <w:t xml:space="preserve">is 1.003, so batch 3 contains no reproducibly attenuating design.</w:t>
      </w:r>
    </w:p>
    <w:p>
      <w:pPr>
        <w:pStyle w:val="BodyText"/>
      </w:pPr>
      <w:r>
        <w:t xml:space="preserve">We screen each session with the seat gauge of</w:t>
      </w:r>
      <w:r>
        <w:t xml:space="preserve"> </w:t>
      </w:r>
      <w:r>
        <w:t xml:space="preserve">Section </w:t>
      </w:r>
      <w:hyperlink w:anchor="lbl_sec_methods_testing">
        <w:r>
          <w:rPr>
            <w:rStyle w:val="Hyperlink"/>
          </w:rPr>
          <w:t xml:space="preserve">3.3</w:t>
        </w:r>
      </w:hyperlink>
      <w:r>
        <w:t xml:space="preserve">, and every large same-design</w:t>
      </w:r>
      <w:r>
        <w:t xml:space="preserve"> </w:t>
      </w:r>
      <w:r>
        <w:t xml:space="preserve">deviation came with a failed gauge.</w:t>
      </w:r>
      <w:r>
        <w:t xml:space="preserve"> </w:t>
      </w:r>
      <w:r>
        <w:t xml:space="preserve">The four sessions that read 1.15 or more were each their design’s</w:t>
      </w:r>
      <w:r>
        <w:t xml:space="preserve"> </w:t>
      </w:r>
      <w:r>
        <w:t xml:space="preserve">highest value, 4.5 to 19.8% above the design’s median over the three</w:t>
      </w:r>
      <w:r>
        <w:t xml:space="preserve"> </w:t>
      </w:r>
      <w:r>
        <w:t xml:space="preserve">prints. The 23 sessions below that threshold sat a median 0.2% from</w:t>
      </w:r>
      <w:r>
        <w:t xml:space="preserve"> </w:t>
      </w:r>
      <w:r>
        <w:t xml:space="preserve">their design medians (at most 3.7%, on a drift-flagged session), and</w:t>
      </w:r>
      <w:r>
        <w:t xml:space="preserve"> </w:t>
      </w:r>
      <w:r>
        <w:t xml:space="preserve">the gauge correlates with the deviation (Spearman</w:t>
      </w:r>
      <w:r>
        <w:t xml:space="preserve"> </w:t>
      </w:r>
      <w:r>
        <w:rPr>
          <w:i/>
          <w:iCs/>
        </w:rPr>
        <w:t xml:space="preserve">ρ</w:t>
      </w:r>
      <w:r>
        <w:t xml:space="preserve"> = 0.52,</w:t>
      </w:r>
      <w:r>
        <w:t xml:space="preserve"> </w:t>
      </w:r>
      <w:r>
        <w:rPr>
          <w:i/>
          <w:iCs/>
        </w:rPr>
        <w:t xml:space="preserve">p</w:t>
      </w:r>
      <w:r>
        <w:t xml:space="preserve"> = 0.006). The third print supplied one new gross outlier, dran35</w:t>
      </w:r>
      <w:r>
        <w:t xml:space="preserve"> </w:t>
      </w:r>
      <w:r>
        <w:t xml:space="preserve">(trial 28), at 1.168 with a gauge of 2.43, against 1.037 and 1.060 for</w:t>
      </w:r>
      <w:r>
        <w:t xml:space="preserve"> </w:t>
      </w:r>
      <w:r>
        <w:t xml:space="preserve">its earlier prints. Its re-seat is pending, and the screened means</w:t>
      </w:r>
      <w:r>
        <w:t xml:space="preserve"> </w:t>
      </w:r>
      <w:r>
        <w:t xml:space="preserve">leave it out.</w:t>
      </w:r>
    </w:p>
    <w:p>
      <w:pPr>
        <w:pStyle w:val="BodyText"/>
      </w:pPr>
      <w:r>
        <w:t xml:space="preserve">Setting aside the four gauge failures and the two drift-flagged</w:t>
      </w:r>
      <w:r>
        <w:t xml:space="preserve"> </w:t>
      </w:r>
      <w:r>
        <w:t xml:space="preserve">sessions leaves 21 of the 27. Fitting those 21 with one mean per</w:t>
      </w:r>
      <w:r>
        <w:t xml:space="preserve"> </w:t>
      </w:r>
      <w:r>
        <w:t xml:space="preserve">design plus one offset per print leaves a residual standard deviation</w:t>
      </w:r>
      <w:r>
        <w:t xml:space="preserve"> </w:t>
      </w:r>
      <w:r>
        <w:t xml:space="preserve">of 0.0087 in</w:t>
      </w:r>
      <w:r>
        <w:t xml:space="preserve"> </w:t>
      </w:r>
      <w:r>
        <w:rPr>
          <w:i/>
          <w:iCs/>
        </w:rPr>
        <w:t xml:space="preserve">t</w:t>
      </w:r>
      <w:r>
        <w:rPr>
          <w:vertAlign w:val="subscript"/>
        </w:rPr>
        <w:t xml:space="preserve">180</w:t>
      </w:r>
      <w:r>
        <w:t xml:space="preserve"> </w:t>
      </w:r>
      <w:r>
        <w:t xml:space="preserve">(10 degrees of freedom). That is below the</w:t>
      </w:r>
      <w:r>
        <w:t xml:space="preserve"> </w:t>
      </w:r>
      <w:r>
        <w:t xml:space="preserve">0.013 estimated from the first two prints alone, and still an order of</w:t>
      </w:r>
      <w:r>
        <w:t xml:space="preserve"> </w:t>
      </w:r>
      <w:r>
        <w:t xml:space="preserve">magnitude above the within-session standard errors (median 0.0006)</w:t>
      </w:r>
      <w:r>
        <w:t xml:space="preserve"> </w:t>
      </w:r>
      <w:r>
        <w:t xml:space="preserve">that the surrogate ingests. The second print’s offset is +0.008 and</w:t>
      </w:r>
      <w:r>
        <w:t xml:space="preserve"> </w:t>
      </w:r>
      <w:r>
        <w:t xml:space="preserve">the third’s −0.003, so the upward shift of the second print did not</w:t>
      </w:r>
      <w:r>
        <w:t xml:space="preserve"> </w:t>
      </w:r>
      <w:r>
        <w:t xml:space="preserve">recur. The third print was also the heaviest, so that shift was</w:t>
      </w:r>
      <w:r>
        <w:t xml:space="preserve"> </w:t>
      </w:r>
      <w:r>
        <w:t xml:space="preserve">probably not a mass effect. Over the screened sessions the intraclass correlation of</w:t>
      </w:r>
      <w:r>
        <w:t xml:space="preserve"> </w:t>
      </w:r>
      <w:r>
        <w:rPr>
          <w:i/>
          <w:iCs/>
        </w:rPr>
        <w:t xml:space="preserve">t</w:t>
      </w:r>
      <w:r>
        <w:rPr>
          <w:vertAlign w:val="subscript"/>
        </w:rPr>
        <w:t xml:space="preserve">180</w:t>
      </w:r>
      <w:r>
        <w:t xml:space="preserve"> </w:t>
      </w:r>
      <w:r>
        <w:t xml:space="preserve">(the share of its variance that lies between designs) is</w:t>
      </w:r>
      <w:r>
        <w:t xml:space="preserve"> </w:t>
      </w:r>
      <w:r>
        <w:t xml:space="preserve">0.58, against 0.06 when every session is included. Most of the design</w:t>
      </w:r>
      <w:r>
        <w:t xml:space="preserve"> </w:t>
      </w:r>
      <w:r>
        <w:t xml:space="preserve">signal in batch 3 comes from trial 35. Without it, the other eight</w:t>
      </w:r>
      <w:r>
        <w:t xml:space="preserve"> </w:t>
      </w:r>
      <w:r>
        <w:t xml:space="preserve">design means span 1.028 to 1.045 (standard deviation 0.006), less than</w:t>
      </w:r>
      <w:r>
        <w:t xml:space="preserve"> </w:t>
      </w:r>
      <w:r>
        <w:t xml:space="preserve">the scatter of a single article. Single articles therefore cannot rank</w:t>
      </w:r>
      <w:r>
        <w:t xml:space="preserve"> </w:t>
      </w:r>
      <w:r>
        <w:t xml:space="preserve">those eight, and the orderings from different prints agree poorly</w:t>
      </w:r>
      <w:r>
        <w:t xml:space="preserve"> </w:t>
      </w:r>
      <w:r>
        <w:t xml:space="preserve">(Spearman</w:t>
      </w:r>
      <w:r>
        <w:t xml:space="preserve"> </w:t>
      </w:r>
      <w:r>
        <w:rPr>
          <w:i/>
          <w:iCs/>
        </w:rPr>
        <w:t xml:space="preserve">ρ</w:t>
      </w:r>
      <w:r>
        <w:t xml:space="preserve"> </w:t>
      </w:r>
      <w:r>
        <w:t xml:space="preserve">of 0.08, 0.67, and 0.20 between pairs of prints). The</w:t>
      </w:r>
      <w:r>
        <w:t xml:space="preserve"> </w:t>
      </w:r>
      <w:r>
        <w:t xml:space="preserve">frozen batch-3 predictions rank the nine design means with</w:t>
      </w:r>
      <w:r>
        <w:t xml:space="preserve"> </w:t>
      </w:r>
      <w:r>
        <w:rPr>
          <w:i/>
          <w:iCs/>
        </w:rPr>
        <w:t xml:space="preserve">ρ</w:t>
      </w:r>
      <w:r>
        <w:t xml:space="preserve"> = 0.75 (</w:t>
      </w:r>
      <w:r>
        <w:rPr>
          <w:i/>
          <w:iCs/>
        </w:rPr>
        <w:t xml:space="preserve">p</w:t>
      </w:r>
      <w:r>
        <w:t xml:space="preserve"> = 0.02) when each mean is adjusted for the print</w:t>
      </w:r>
      <w:r>
        <w:t xml:space="preserve"> </w:t>
      </w:r>
      <w:r>
        <w:t xml:space="preserve">offsets, and with</w:t>
      </w:r>
      <w:r>
        <w:t xml:space="preserve"> </w:t>
      </w:r>
      <w:r>
        <w:rPr>
          <w:i/>
          <w:iCs/>
        </w:rPr>
        <w:t xml:space="preserve">ρ</w:t>
      </w:r>
      <w:r>
        <w:t xml:space="preserve"> = 0.55 (</w:t>
      </w:r>
      <w:r>
        <w:rPr>
          <w:i/>
          <w:iCs/>
        </w:rPr>
        <w:t xml:space="preserve">p</w:t>
      </w:r>
      <w:r>
        <w:t xml:space="preserve"> = 0.13) without that adjustment.</w:t>
      </w:r>
      <w:r>
        <w:t xml:space="preserve"> </w:t>
      </w:r>
      <w:r>
        <w:t xml:space="preserve">Against single prints they reach 0.20, 0.72, and 0.30.</w:t>
      </w:r>
    </w:p>
    <w:p>
      <w:pPr>
        <w:pStyle w:val="BodyText"/>
      </w:pPr>
      <w:r>
        <w:rPr>
          <w:i/>
          <w:iCs/>
        </w:rPr>
        <w:t xml:space="preserve">E</w:t>
      </w:r>
      <w:r>
        <w:rPr>
          <w:vertAlign w:val="subscript"/>
        </w:rPr>
        <w:t xml:space="preserve">reb</w:t>
      </w:r>
      <w:r>
        <w:t xml:space="preserve"> </w:t>
      </w:r>
      <w:r>
        <w:t xml:space="preserve">repeats far less well than transmissibility. For</w:t>
      </w:r>
      <w:r>
        <w:t xml:space="preserve"> </w:t>
      </w:r>
      <w:r>
        <w:t xml:space="preserve">each design the largest of its three values is 1.35 to 2.9 times the</w:t>
      </w:r>
      <w:r>
        <w:t xml:space="preserve"> </w:t>
      </w:r>
      <w:r>
        <w:t xml:space="preserve">smallest (5.2 against 15.1 mJ at trial 30). The rank</w:t>
      </w:r>
      <w:r>
        <w:t xml:space="preserve"> </w:t>
      </w:r>
      <w:r>
        <w:t xml:space="preserve">correlations between prints are −0.18, 0.25, and 0.33, and the</w:t>
      </w:r>
      <w:r>
        <w:t xml:space="preserve"> </w:t>
      </w:r>
      <w:r>
        <w:t xml:space="preserve">scatter between prints (standard deviation 3.4 mJ) exceeds the</w:t>
      </w:r>
      <w:r>
        <w:t xml:space="preserve"> </w:t>
      </w:r>
      <w:r>
        <w:t xml:space="preserve">spread of the design means (2.3 mJ).</w:t>
      </w:r>
    </w:p>
    <w:p>
      <w:pPr>
        <w:pStyle w:val="BodyText"/>
      </w:pPr>
      <w:r>
        <w:t xml:space="preserve">The 1.2513 session had passed every within-session stability check</w:t>
      </w:r>
      <w:r>
        <w:t xml:space="preserve"> </w:t>
      </w:r>
      <w:r>
        <w:t xml:space="preserve">(per-drop CV 0.77%, no drift), so a stable session is not enough to</w:t>
      </w:r>
      <w:r>
        <w:t xml:space="preserve"> </w:t>
      </w:r>
      <w:r>
        <w:t xml:space="preserve">show that its value reflects the design. We adopted the between-seat</w:t>
      </w:r>
      <w:r>
        <w:t xml:space="preserve"> </w:t>
      </w:r>
      <w:r>
        <w:t xml:space="preserve">replication rule of Section </w:t>
      </w:r>
      <w:hyperlink w:anchor="lbl_sec_methods_testing">
        <w:r>
          <w:rPr>
            <w:rStyle w:val="Hyperlink"/>
          </w:rPr>
          <w:t xml:space="preserve">3.3</w:t>
        </w:r>
      </w:hyperlink>
      <w:r>
        <w:t xml:space="preserve"> </w:t>
      </w:r>
      <w:r>
        <w:t xml:space="preserve">in response.</w:t>
      </w:r>
      <w:r>
        <w:t xml:space="preserve"> </w:t>
      </w:r>
      <w:r>
        <w:t xml:space="preserve">Across an independent re-seat, the seed attenuator agreed to within</w:t>
      </w:r>
      <w:r>
        <w:t xml:space="preserve"> </w:t>
      </w:r>
      <w:r>
        <w:t xml:space="preserve">0.13%, so genuine attenuation can reproduce. The seat gauge</w:t>
      </w:r>
      <w:r>
        <w:t xml:space="preserve"> </w:t>
      </w:r>
      <w:r>
        <w:t xml:space="preserve">accompanies the rule as an advisory screen, and all four batch-4</w:t>
      </w:r>
      <w:r>
        <w:t xml:space="preserve"> </w:t>
      </w:r>
      <w:r>
        <w:t xml:space="preserve">attenuators pass the gauge (0.98 to 1.06). The nine second-print</w:t>
      </w:r>
      <w:r>
        <w:t xml:space="preserve"> </w:t>
      </w:r>
      <w:r>
        <w:t xml:space="preserve">articles joined the surrogate’s training set as distinct observations</w:t>
      </w:r>
      <w:r>
        <w:t xml:space="preserve"> </w:t>
      </w:r>
      <w:r>
        <w:t xml:space="preserve">at identical design coordinates (Section </w:t>
      </w:r>
      <w:hyperlink w:anchor="lbl_sec_methods_bo">
        <w:r>
          <w:rPr>
            <w:rStyle w:val="Hyperlink"/>
          </w:rPr>
          <w:t xml:space="preserve">3.4</w:t>
        </w:r>
      </w:hyperlink>
      <w:r>
        <w:t xml:space="preserve">). None of</w:t>
      </w:r>
      <w:r>
        <w:t xml:space="preserve"> </w:t>
      </w:r>
      <w:r>
        <w:t xml:space="preserve">the third-print articles enters the fits, the cross-validation, or</w:t>
      </w:r>
      <w:r>
        <w:t xml:space="preserve"> </w:t>
      </w:r>
      <w:r>
        <w:t xml:space="preserve">Fig. </w:t>
      </w:r>
      <w:hyperlink w:anchor="lbl_fig_front_evolution">
        <w:r>
          <w:rPr>
            <w:rStyle w:val="Hyperlink"/>
          </w:rPr>
          <w:t xml:space="preserve">6</w:t>
        </w:r>
      </w:hyperlink>
      <w:r>
        <w:t xml:space="preserve">. Their sessions (2026-09-28 to</w:t>
      </w:r>
      <w:r>
        <w:t xml:space="preserve"> </w:t>
      </w:r>
      <w:r>
        <w:t xml:space="preserve">2026-10-02) postdate the most recent refit.</w:t>
      </w:r>
    </w:p>
    <w:p>
      <w:pPr>
        <w:pStyle w:val="SectionBreak"/>
        <w:sectPr>
          <w:type w:val="continuous"/>
          <w:pgSz w:w="12240" w:h="16197"/>
          <w:pgMar w:left="1200" w:right="1200" w:top="920" w:bottom="1320" w:header="500" w:footer="820"/>
          <w:lnNumType w:countBy="1" w:distance="80" w:restart="continuous"/>
          <w:cols w:num="2" w:space="480"/>
        </w:sectPr>
      </w:pPr>
    </w:p>
    <w:bookmarkStart w:id="53" w:name="lbl_tab_batch_results"/>
    <w:p>
      <w:pPr>
        <w:pStyle w:val="TableCaption"/>
      </w:pPr>
      <w:bookmarkStart w:id="90011" w:name="cap_tab7"/>
      <w:r>
        <w:t xml:space="preserve">Table 7 Model-recommended batch results under the protocol and</w:t>
      </w:r>
      <w:r>
        <w:t xml:space="preserve"> </w:t>
      </w:r>
      <w:r>
        <w:t xml:space="preserve">reporting conventions of Table </w:t>
      </w:r>
      <w:hyperlink w:anchor="lbl_tab_seed_results">
        <w:r>
          <w:rPr>
            <w:rStyle w:val="Hyperlink"/>
          </w:rPr>
          <w:t xml:space="preserve">6</w:t>
        </w:r>
      </w:hyperlink>
      <w:r>
        <w:t xml:space="preserve"> </w:t>
      </w:r>
      <w:r>
        <w:t xml:space="preserve">(CFC-180,</w:t>
      </w:r>
      <w:r>
        <w:t xml:space="preserve"> </w:t>
      </w:r>
      <w:r>
        <w:t xml:space="preserve">stabilized means ± one standard deviation, rows ordered by</w:t>
      </w:r>
      <w:r>
        <w:t xml:space="preserve"> </w:t>
      </w:r>
      <w:r>
        <w:rPr>
          <w:i/>
          <w:iCs/>
        </w:rPr>
        <w:t xml:space="preserve">t</w:t>
      </w:r>
      <w:r>
        <w:rPr>
          <w:vertAlign w:val="subscript"/>
        </w:rPr>
        <w:t xml:space="preserve">180</w:t>
      </w:r>
      <w:r>
        <w:t xml:space="preserve"> </w:t>
      </w:r>
      <w:r>
        <w:t xml:space="preserve">within each batch). Each article received about twenty</w:t>
      </w:r>
      <w:r>
        <w:t xml:space="preserve"> </w:t>
      </w:r>
      <w:r>
        <w:t xml:space="preserve">drops against the seed batch’s 101, and the archived per-drop</w:t>
      </w:r>
      <w:r>
        <w:t xml:space="preserve"> </w:t>
      </w:r>
      <w:r>
        <w:t xml:space="preserve">records give the exact per-session counts.</w:t>
      </w:r>
      <w:r>
        <w:t xml:space="preserve"> </w:t>
      </w:r>
      <w:r>
        <w:rPr>
          <w:i/>
          <w:iCs/>
        </w:rPr>
        <w:t xml:space="preserve">E</w:t>
      </w:r>
      <w:r>
        <w:rPr>
          <w:vertAlign w:val="subscript"/>
        </w:rPr>
        <w:t xml:space="preserve">reb</w:t>
      </w:r>
      <w:r>
        <w:t xml:space="preserve"> </w:t>
      </w:r>
      <w:r>
        <w:t xml:space="preserve">uses each article’s weighed mass per</w:t>
      </w:r>
      <w:r>
        <w:t xml:space="preserve"> </w:t>
      </w:r>
      <w:r>
        <w:t xml:space="preserve">Eq. </w:t>
      </w:r>
      <w:hyperlink w:anchor="lbl_eq_objectives">
        <w:r>
          <w:rPr>
            <w:rStyle w:val="Hyperlink"/>
          </w:rPr>
          <w:t xml:space="preserve">(1)</w:t>
        </w:r>
      </w:hyperlink>
      <w:r>
        <w:t xml:space="preserve">.</w:t>
      </w:r>
      <w:r>
        <w:t xml:space="preserve"> </w:t>
      </w:r>
      <w:r>
        <w:t xml:space="preserve">“</w:t>
      </w:r>
      <w:r>
        <w:t xml:space="preserve">Pred.</w:t>
      </w:r>
      <w:r>
        <w:t xml:space="preserve">”</w:t>
      </w:r>
      <w:r>
        <w:t xml:space="preserve"> </w:t>
      </w:r>
      <w:r>
        <w:t xml:space="preserve">is the posterior-mean</w:t>
      </w:r>
      <w:r>
        <w:t xml:space="preserve"> </w:t>
      </w:r>
      <w:r>
        <w:rPr>
          <w:i/>
          <w:iCs/>
        </w:rPr>
        <w:t xml:space="preserve">t</w:t>
      </w:r>
      <w:r>
        <w:rPr>
          <w:vertAlign w:val="subscript"/>
        </w:rPr>
        <w:t xml:space="preserve">180</w:t>
      </w:r>
      <w:r>
        <w:t xml:space="preserve"> </w:t>
      </w:r>
      <w:r>
        <w:t xml:space="preserve">archived when the batch was recommended, before any of</w:t>
      </w:r>
      <w:r>
        <w:t xml:space="preserve"> </w:t>
      </w:r>
      <w:r>
        <w:t xml:space="preserve">its articles were tested. Batch-2 articles were projected to</w:t>
      </w:r>
      <w:r>
        <w:t xml:space="preserve"> </w:t>
      </w:r>
      <w:r>
        <w:t xml:space="preserve">constant solid mass, and batches 3 and 4 to constant printed mass</w:t>
      </w:r>
      <w:r>
        <w:t xml:space="preserve"> </w:t>
      </w:r>
      <w:r>
        <w:t xml:space="preserve">(20.23 g). Flags follow the session record: †</w:t>
      </w:r>
      <w:r>
        <w:t xml:space="preserve"> </w:t>
      </w:r>
      <w:r>
        <w:t xml:space="preserve">marks a transmissibility-drift-flagged session whose mean is</w:t>
      </w:r>
      <w:r>
        <w:t xml:space="preserve"> </w:t>
      </w:r>
      <w:r>
        <w:t xml:space="preserve">provisional, and ‡ marks the erratic corny6 session</w:t>
      </w:r>
      <w:r>
        <w:t xml:space="preserve"> </w:t>
      </w:r>
      <w:r>
        <w:t xml:space="preserve">(per-drop CV 2.0%).</w:t>
      </w:r>
      <w:bookmarkEnd w:id="90011"/>
    </w:p>
    <w:tbl>
      <w:tblPr>
        <w:tblStyle w:val="Table"/>
        <w:tblW w:type="dxa" w:w="6238"/>
        <w:jc w:val="start"/>
        <w:tblLayout w:type="fixed"/>
        <w:tblLook w:firstRow="1" w:lastRow="0" w:firstColumn="0" w:lastColumn="0" w:noHBand="0" w:noVBand="0" w:val="0020"/>
        <w:tblCaption w:val="Table 7 Model-recommended batch results under the protocol and reporting conventions of Table 6 (CFC-180, stabilized means ± one standard deviation, rows ordered by t180 within each batch). Each article received about twenty drops against the seed batch’s 101, and the archived per-drop records give the exact per-session counts. Ereb uses each article’s weighed mass per Eq. (1). “Pred.” is the posterior-mean t180 archived when the batch was recommended, before any of its articles were tested. Batch-2 articles were projected to constant solid mass, and batches 3 and 4 to constant printed mass (20.23 g). Flags follow the session record: † marks a transmissibility-drift-flagged session whose mean is provisional, and ‡ marks the erratic corny6 session (per-drop CV 2.0%)."/>
      </w:tblPr>
      <w:tblGrid>
        <w:gridCol w:w="610"/>
        <w:gridCol w:w="774"/>
        <w:gridCol w:w="610"/>
        <w:gridCol w:w="856"/>
        <w:gridCol w:w="1430"/>
        <w:gridCol w:w="938"/>
        <w:gridCol w:w="1020"/>
      </w:tblGrid>
      <w:tr>
        <w:trPr>
          <w:tblHeader w:val="true"/>
        </w:trPr>
        <w:tc>
          <w:tcPr/>
          <w:p>
            <w:pPr>
              <w:pStyle w:val="TableText"/>
              <w:jc w:val="center"/>
            </w:pPr>
            <w:r>
              <w:t xml:space="preserve">Batch</w:t>
            </w:r>
          </w:p>
        </w:tc>
        <w:tc>
          <w:tcPr/>
          <w:p>
            <w:pPr>
              <w:pStyle w:val="TableText"/>
              <w:jc w:val="left"/>
            </w:pPr>
            <w:r>
              <w:t xml:space="preserve">Article</w:t>
            </w:r>
          </w:p>
        </w:tc>
        <w:tc>
          <w:tcPr/>
          <w:p>
            <w:pPr>
              <w:pStyle w:val="TableText"/>
              <w:jc w:val="center"/>
            </w:pPr>
            <w:r>
              <w:t xml:space="preserve">Trial</w:t>
            </w:r>
          </w:p>
        </w:tc>
        <w:tc>
          <w:tcPr/>
          <w:p>
            <w:pPr>
              <w:pStyle w:val="TableText"/>
              <w:jc w:val="center"/>
            </w:pPr>
            <w:r>
              <w:t xml:space="preserve">Mass (g)</w:t>
            </w:r>
          </w:p>
        </w:tc>
        <w:tc>
          <w:tcPr/>
          <w:p>
            <w:pPr>
              <w:pStyle w:val="TableText"/>
              <w:jc w:val="center"/>
            </w:pPr>
            <w:r>
              <w:rPr>
                <w:i/>
                <w:iCs/>
              </w:rPr>
              <w:t xml:space="preserve">t</w:t>
            </w:r>
            <w:r>
              <w:rPr>
                <w:vertAlign w:val="subscript"/>
              </w:rPr>
              <w:t xml:space="preserve">180</w:t>
            </w:r>
          </w:p>
        </w:tc>
        <w:tc>
          <w:tcPr/>
          <w:p>
            <w:pPr>
              <w:pStyle w:val="TableText"/>
              <w:jc w:val="center"/>
            </w:pPr>
            <w:r>
              <w:rPr>
                <w:i/>
                <w:iCs/>
              </w:rPr>
              <w:t xml:space="preserve">E</w:t>
            </w:r>
            <w:r>
              <w:rPr>
                <w:vertAlign w:val="subscript"/>
              </w:rPr>
              <w:t xml:space="preserve">reb</w:t>
            </w:r>
            <w:r>
              <w:t xml:space="preserve"> </w:t>
            </w:r>
            <w:r>
              <w:t xml:space="preserve">(mJ)</w:t>
            </w:r>
          </w:p>
        </w:tc>
        <w:tc>
          <w:tcPr/>
          <w:p>
            <w:pPr>
              <w:pStyle w:val="TableText"/>
              <w:jc w:val="center"/>
            </w:pPr>
            <w:r>
              <w:t xml:space="preserve">Pred. </w:t>
            </w:r>
            <w:r>
              <w:rPr>
                <w:i/>
                <w:iCs/>
              </w:rPr>
              <w:t xml:space="preserve">t</w:t>
            </w:r>
            <w:r>
              <w:rPr>
                <w:vertAlign w:val="subscript"/>
              </w:rPr>
              <w:t xml:space="preserve">180</w:t>
            </w:r>
          </w:p>
        </w:tc>
      </w:tr>
      <w:tr>
        <w:tc>
          <w:tcPr/>
          <w:p>
            <w:pPr>
              <w:pStyle w:val="TableText"/>
              <w:jc w:val="center"/>
            </w:pPr>
            <w:r>
              <w:t xml:space="preserve">2</w:t>
            </w:r>
          </w:p>
        </w:tc>
        <w:tc>
          <w:tcPr/>
          <w:p>
            <w:pPr>
              <w:pStyle w:val="TableText"/>
              <w:jc w:val="left"/>
            </w:pPr>
            <w:r>
              <w:t xml:space="preserve">r2d2c7</w:t>
            </w:r>
          </w:p>
        </w:tc>
        <w:tc>
          <w:tcPr/>
          <w:p>
            <w:pPr>
              <w:pStyle w:val="TableText"/>
              <w:jc w:val="center"/>
            </w:pPr>
            <w:r>
              <w:t xml:space="preserve">15</w:t>
            </w:r>
          </w:p>
        </w:tc>
        <w:tc>
          <w:tcPr/>
          <w:p>
            <w:pPr>
              <w:pStyle w:val="TableText"/>
              <w:jc w:val="center"/>
            </w:pPr>
            <w:r>
              <w:t xml:space="preserve">18.51</w:t>
            </w:r>
          </w:p>
        </w:tc>
        <w:tc>
          <w:tcPr/>
          <w:p>
            <w:pPr>
              <w:pStyle w:val="TableText"/>
              <w:jc w:val="center"/>
            </w:pPr>
            <w:r>
              <w:t xml:space="preserve">0.9484 ± 0.0008</w:t>
            </w:r>
          </w:p>
        </w:tc>
        <w:tc>
          <w:tcPr/>
          <w:p>
            <w:pPr>
              <w:pStyle w:val="TableText"/>
              <w:jc w:val="center"/>
            </w:pPr>
            <w:r>
              <w:t xml:space="preserve">12.2</w:t>
            </w:r>
          </w:p>
        </w:tc>
        <w:tc>
          <w:tcPr/>
          <w:p>
            <w:pPr>
              <w:pStyle w:val="TableText"/>
              <w:jc w:val="center"/>
            </w:pPr>
            <w:r>
              <w:t xml:space="preserve">0.905</w:t>
            </w:r>
          </w:p>
        </w:tc>
      </w:tr>
      <w:tr>
        <w:tc>
          <w:tcPr/>
          <w:p>
            <w:pPr>
              <w:pStyle w:val="TableText"/>
              <w:jc w:val="center"/>
            </w:pPr>
            <w:r>
              <w:t xml:space="preserve">2</w:t>
            </w:r>
          </w:p>
        </w:tc>
        <w:tc>
          <w:tcPr/>
          <w:p>
            <w:pPr>
              <w:pStyle w:val="TableText"/>
              <w:jc w:val="left"/>
            </w:pPr>
            <w:r>
              <w:t xml:space="preserve">r2d2c1</w:t>
            </w:r>
          </w:p>
        </w:tc>
        <w:tc>
          <w:tcPr/>
          <w:p>
            <w:pPr>
              <w:pStyle w:val="TableText"/>
              <w:jc w:val="center"/>
            </w:pPr>
            <w:r>
              <w:t xml:space="preserve">13</w:t>
            </w:r>
          </w:p>
        </w:tc>
        <w:tc>
          <w:tcPr/>
          <w:p>
            <w:pPr>
              <w:pStyle w:val="TableText"/>
              <w:jc w:val="center"/>
            </w:pPr>
            <w:r>
              <w:t xml:space="preserve">19.38</w:t>
            </w:r>
          </w:p>
        </w:tc>
        <w:tc>
          <w:tcPr/>
          <w:p>
            <w:pPr>
              <w:pStyle w:val="TableText"/>
              <w:jc w:val="center"/>
            </w:pPr>
            <w:r>
              <w:t xml:space="preserve">0.9942 ± 0.0021</w:t>
            </w:r>
          </w:p>
        </w:tc>
        <w:tc>
          <w:tcPr/>
          <w:p>
            <w:pPr>
              <w:pStyle w:val="TableText"/>
              <w:jc w:val="center"/>
            </w:pPr>
            <w:r>
              <w:t xml:space="preserve">6.0</w:t>
            </w:r>
          </w:p>
        </w:tc>
        <w:tc>
          <w:tcPr/>
          <w:p>
            <w:pPr>
              <w:pStyle w:val="TableText"/>
              <w:jc w:val="center"/>
            </w:pPr>
            <w:r>
              <w:t xml:space="preserve">0.948</w:t>
            </w:r>
          </w:p>
        </w:tc>
      </w:tr>
      <w:tr>
        <w:tc>
          <w:tcPr/>
          <w:p>
            <w:pPr>
              <w:pStyle w:val="TableText"/>
              <w:jc w:val="center"/>
            </w:pPr>
            <w:r>
              <w:t xml:space="preserve">2</w:t>
            </w:r>
          </w:p>
        </w:tc>
        <w:tc>
          <w:tcPr/>
          <w:p>
            <w:pPr>
              <w:pStyle w:val="TableText"/>
              <w:jc w:val="left"/>
            </w:pPr>
            <w:r>
              <w:t xml:space="preserve">r2d2c2</w:t>
            </w:r>
            <w:r>
              <w:rPr>
                <w:vertAlign w:val="superscript"/>
              </w:rPr>
              <w:t xml:space="preserve">†</w:t>
            </w:r>
          </w:p>
        </w:tc>
        <w:tc>
          <w:tcPr/>
          <w:p>
            <w:pPr>
              <w:pStyle w:val="TableText"/>
              <w:jc w:val="center"/>
            </w:pPr>
            <w:r>
              <w:t xml:space="preserve">12</w:t>
            </w:r>
          </w:p>
        </w:tc>
        <w:tc>
          <w:tcPr/>
          <w:p>
            <w:pPr>
              <w:pStyle w:val="TableText"/>
              <w:jc w:val="center"/>
            </w:pPr>
            <w:r>
              <w:t xml:space="preserve">17.96</w:t>
            </w:r>
          </w:p>
        </w:tc>
        <w:tc>
          <w:tcPr/>
          <w:p>
            <w:pPr>
              <w:pStyle w:val="TableText"/>
              <w:jc w:val="center"/>
            </w:pPr>
            <w:r>
              <w:t xml:space="preserve">1.0411 ± 0.0154</w:t>
            </w:r>
          </w:p>
        </w:tc>
        <w:tc>
          <w:tcPr/>
          <w:p>
            <w:pPr>
              <w:pStyle w:val="TableText"/>
              <w:jc w:val="center"/>
            </w:pPr>
            <w:r>
              <w:t xml:space="preserve">5.6</w:t>
            </w:r>
          </w:p>
        </w:tc>
        <w:tc>
          <w:tcPr/>
          <w:p>
            <w:pPr>
              <w:pStyle w:val="TableText"/>
              <w:jc w:val="center"/>
            </w:pPr>
            <w:r>
              <w:t xml:space="preserve">0.926</w:t>
            </w:r>
          </w:p>
        </w:tc>
      </w:tr>
      <w:tr>
        <w:tc>
          <w:tcPr/>
          <w:p>
            <w:pPr>
              <w:pStyle w:val="TableText"/>
              <w:jc w:val="center"/>
            </w:pPr>
            <w:r>
              <w:t xml:space="preserve">2</w:t>
            </w:r>
          </w:p>
        </w:tc>
        <w:tc>
          <w:tcPr/>
          <w:p>
            <w:pPr>
              <w:pStyle w:val="TableText"/>
              <w:jc w:val="left"/>
            </w:pPr>
            <w:r>
              <w:t xml:space="preserve">r2d2c9</w:t>
            </w:r>
          </w:p>
        </w:tc>
        <w:tc>
          <w:tcPr/>
          <w:p>
            <w:pPr>
              <w:pStyle w:val="TableText"/>
              <w:jc w:val="center"/>
            </w:pPr>
            <w:r>
              <w:t xml:space="preserve">10</w:t>
            </w:r>
          </w:p>
        </w:tc>
        <w:tc>
          <w:tcPr/>
          <w:p>
            <w:pPr>
              <w:pStyle w:val="TableText"/>
              <w:jc w:val="center"/>
            </w:pPr>
            <w:r>
              <w:t xml:space="preserve">17.91</w:t>
            </w:r>
          </w:p>
        </w:tc>
        <w:tc>
          <w:tcPr/>
          <w:p>
            <w:pPr>
              <w:pStyle w:val="TableText"/>
              <w:jc w:val="center"/>
            </w:pPr>
            <w:r>
              <w:t xml:space="preserve">1.0530 ± 0.0035</w:t>
            </w:r>
          </w:p>
        </w:tc>
        <w:tc>
          <w:tcPr/>
          <w:p>
            <w:pPr>
              <w:pStyle w:val="TableText"/>
              <w:jc w:val="center"/>
            </w:pPr>
            <w:r>
              <w:t xml:space="preserve">5.8</w:t>
            </w:r>
          </w:p>
        </w:tc>
        <w:tc>
          <w:tcPr/>
          <w:p>
            <w:pPr>
              <w:pStyle w:val="TableText"/>
              <w:jc w:val="center"/>
            </w:pPr>
            <w:r>
              <w:t xml:space="preserve">0.873</w:t>
            </w:r>
          </w:p>
        </w:tc>
      </w:tr>
      <w:tr>
        <w:tc>
          <w:tcPr/>
          <w:p>
            <w:pPr>
              <w:pStyle w:val="TableText"/>
              <w:jc w:val="center"/>
            </w:pPr>
            <w:r>
              <w:t xml:space="preserve">2</w:t>
            </w:r>
          </w:p>
        </w:tc>
        <w:tc>
          <w:tcPr/>
          <w:p>
            <w:pPr>
              <w:pStyle w:val="TableText"/>
              <w:jc w:val="left"/>
            </w:pPr>
            <w:r>
              <w:t xml:space="preserve">r2d2c6</w:t>
            </w:r>
          </w:p>
        </w:tc>
        <w:tc>
          <w:tcPr/>
          <w:p>
            <w:pPr>
              <w:pStyle w:val="TableText"/>
              <w:jc w:val="center"/>
            </w:pPr>
            <w:r>
              <w:t xml:space="preserve">14</w:t>
            </w:r>
          </w:p>
        </w:tc>
        <w:tc>
          <w:tcPr/>
          <w:p>
            <w:pPr>
              <w:pStyle w:val="TableText"/>
              <w:jc w:val="center"/>
            </w:pPr>
            <w:r>
              <w:t xml:space="preserve">19.11</w:t>
            </w:r>
          </w:p>
        </w:tc>
        <w:tc>
          <w:tcPr/>
          <w:p>
            <w:pPr>
              <w:pStyle w:val="TableText"/>
              <w:jc w:val="center"/>
            </w:pPr>
            <w:r>
              <w:t xml:space="preserve">1.0548 ± 0.0042</w:t>
            </w:r>
          </w:p>
        </w:tc>
        <w:tc>
          <w:tcPr/>
          <w:p>
            <w:pPr>
              <w:pStyle w:val="TableText"/>
              <w:jc w:val="center"/>
            </w:pPr>
            <w:r>
              <w:t xml:space="preserve">4.1</w:t>
            </w:r>
          </w:p>
        </w:tc>
        <w:tc>
          <w:tcPr/>
          <w:p>
            <w:pPr>
              <w:pStyle w:val="TableText"/>
              <w:jc w:val="center"/>
            </w:pPr>
            <w:r>
              <w:t xml:space="preserve">0.953</w:t>
            </w:r>
          </w:p>
        </w:tc>
      </w:tr>
      <w:tr>
        <w:tc>
          <w:tcPr/>
          <w:p>
            <w:pPr>
              <w:pStyle w:val="TableText"/>
              <w:jc w:val="center"/>
            </w:pPr>
            <w:r>
              <w:t xml:space="preserve">2</w:t>
            </w:r>
          </w:p>
        </w:tc>
        <w:tc>
          <w:tcPr/>
          <w:p>
            <w:pPr>
              <w:pStyle w:val="TableText"/>
              <w:jc w:val="left"/>
            </w:pPr>
            <w:r>
              <w:t xml:space="preserve">r2d2c8</w:t>
            </w:r>
          </w:p>
        </w:tc>
        <w:tc>
          <w:tcPr/>
          <w:p>
            <w:pPr>
              <w:pStyle w:val="TableText"/>
              <w:jc w:val="center"/>
            </w:pPr>
            <w:r>
              <w:t xml:space="preserve">17</w:t>
            </w:r>
          </w:p>
        </w:tc>
        <w:tc>
          <w:tcPr/>
          <w:p>
            <w:pPr>
              <w:pStyle w:val="TableText"/>
              <w:jc w:val="center"/>
            </w:pPr>
            <w:r>
              <w:t xml:space="preserve">19.98</w:t>
            </w:r>
          </w:p>
        </w:tc>
        <w:tc>
          <w:tcPr/>
          <w:p>
            <w:pPr>
              <w:pStyle w:val="TableText"/>
              <w:jc w:val="center"/>
            </w:pPr>
            <w:r>
              <w:t xml:space="preserve">1.0704 ± 0.0116</w:t>
            </w:r>
          </w:p>
        </w:tc>
        <w:tc>
          <w:tcPr/>
          <w:p>
            <w:pPr>
              <w:pStyle w:val="TableText"/>
              <w:jc w:val="center"/>
            </w:pPr>
            <w:r>
              <w:t xml:space="preserve">7.9</w:t>
            </w:r>
          </w:p>
        </w:tc>
        <w:tc>
          <w:tcPr/>
          <w:p>
            <w:pPr>
              <w:pStyle w:val="TableText"/>
              <w:jc w:val="center"/>
            </w:pPr>
            <w:r>
              <w:t xml:space="preserve">0.955</w:t>
            </w:r>
          </w:p>
        </w:tc>
      </w:tr>
      <w:tr>
        <w:tc>
          <w:tcPr/>
          <w:p>
            <w:pPr>
              <w:pStyle w:val="TableText"/>
              <w:jc w:val="center"/>
            </w:pPr>
            <w:r>
              <w:t xml:space="preserve">2</w:t>
            </w:r>
          </w:p>
        </w:tc>
        <w:tc>
          <w:tcPr/>
          <w:p>
            <w:pPr>
              <w:pStyle w:val="TableText"/>
              <w:jc w:val="left"/>
            </w:pPr>
            <w:r>
              <w:t xml:space="preserve">r2d2c5</w:t>
            </w:r>
          </w:p>
        </w:tc>
        <w:tc>
          <w:tcPr/>
          <w:p>
            <w:pPr>
              <w:pStyle w:val="TableText"/>
              <w:jc w:val="center"/>
            </w:pPr>
            <w:r>
              <w:t xml:space="preserve">18</w:t>
            </w:r>
          </w:p>
        </w:tc>
        <w:tc>
          <w:tcPr/>
          <w:p>
            <w:pPr>
              <w:pStyle w:val="TableText"/>
              <w:jc w:val="center"/>
            </w:pPr>
            <w:r>
              <w:t xml:space="preserve">23.47</w:t>
            </w:r>
          </w:p>
        </w:tc>
        <w:tc>
          <w:tcPr/>
          <w:p>
            <w:pPr>
              <w:pStyle w:val="TableText"/>
              <w:jc w:val="center"/>
            </w:pPr>
            <w:r>
              <w:t xml:space="preserve">1.1516 ± 0.0040</w:t>
            </w:r>
          </w:p>
        </w:tc>
        <w:tc>
          <w:tcPr/>
          <w:p>
            <w:pPr>
              <w:pStyle w:val="TableText"/>
              <w:jc w:val="center"/>
            </w:pPr>
            <w:r>
              <w:t xml:space="preserve">6.7</w:t>
            </w:r>
          </w:p>
        </w:tc>
        <w:tc>
          <w:tcPr/>
          <w:p>
            <w:pPr>
              <w:pStyle w:val="TableText"/>
              <w:jc w:val="center"/>
            </w:pPr>
            <w:r>
              <w:t xml:space="preserve">0.987</w:t>
            </w:r>
          </w:p>
        </w:tc>
      </w:tr>
      <w:tr>
        <w:tc>
          <w:tcPr/>
          <w:p>
            <w:pPr>
              <w:pStyle w:val="TableText"/>
              <w:jc w:val="center"/>
            </w:pPr>
            <w:r>
              <w:t xml:space="preserve">2</w:t>
            </w:r>
          </w:p>
        </w:tc>
        <w:tc>
          <w:tcPr/>
          <w:p>
            <w:pPr>
              <w:pStyle w:val="TableText"/>
              <w:jc w:val="left"/>
            </w:pPr>
            <w:r>
              <w:t xml:space="preserve">r2d2c4</w:t>
            </w:r>
          </w:p>
        </w:tc>
        <w:tc>
          <w:tcPr/>
          <w:p>
            <w:pPr>
              <w:pStyle w:val="TableText"/>
              <w:jc w:val="center"/>
            </w:pPr>
            <w:r>
              <w:t xml:space="preserve">11</w:t>
            </w:r>
          </w:p>
        </w:tc>
        <w:tc>
          <w:tcPr/>
          <w:p>
            <w:pPr>
              <w:pStyle w:val="TableText"/>
              <w:jc w:val="center"/>
            </w:pPr>
            <w:r>
              <w:t xml:space="preserve">19.33</w:t>
            </w:r>
          </w:p>
        </w:tc>
        <w:tc>
          <w:tcPr/>
          <w:p>
            <w:pPr>
              <w:pStyle w:val="TableText"/>
              <w:jc w:val="center"/>
            </w:pPr>
            <w:r>
              <w:t xml:space="preserve">1.1847 ± 0.0076</w:t>
            </w:r>
          </w:p>
        </w:tc>
        <w:tc>
          <w:tcPr/>
          <w:p>
            <w:pPr>
              <w:pStyle w:val="TableText"/>
              <w:jc w:val="center"/>
            </w:pPr>
            <w:r>
              <w:t xml:space="preserve">6.4</w:t>
            </w:r>
          </w:p>
        </w:tc>
        <w:tc>
          <w:tcPr/>
          <w:p>
            <w:pPr>
              <w:pStyle w:val="TableText"/>
              <w:jc w:val="center"/>
            </w:pPr>
            <w:r>
              <w:t xml:space="preserve">0.885</w:t>
            </w:r>
          </w:p>
        </w:tc>
      </w:tr>
      <w:tr>
        <w:tc>
          <w:tcPr/>
          <w:p>
            <w:pPr>
              <w:pStyle w:val="TableText"/>
              <w:jc w:val="center"/>
            </w:pPr>
            <w:r>
              <w:t xml:space="preserve">2</w:t>
            </w:r>
          </w:p>
        </w:tc>
        <w:tc>
          <w:tcPr/>
          <w:p>
            <w:pPr>
              <w:pStyle w:val="TableText"/>
              <w:jc w:val="left"/>
            </w:pPr>
            <w:r>
              <w:t xml:space="preserve">r2d2c3</w:t>
            </w:r>
          </w:p>
        </w:tc>
        <w:tc>
          <w:tcPr/>
          <w:p>
            <w:pPr>
              <w:pStyle w:val="TableText"/>
              <w:jc w:val="center"/>
            </w:pPr>
            <w:r>
              <w:t xml:space="preserve">16</w:t>
            </w:r>
          </w:p>
        </w:tc>
        <w:tc>
          <w:tcPr/>
          <w:p>
            <w:pPr>
              <w:pStyle w:val="TableText"/>
              <w:jc w:val="center"/>
            </w:pPr>
            <w:r>
              <w:t xml:space="preserve">18.63</w:t>
            </w:r>
          </w:p>
        </w:tc>
        <w:tc>
          <w:tcPr/>
          <w:p>
            <w:pPr>
              <w:pStyle w:val="TableText"/>
              <w:jc w:val="center"/>
            </w:pPr>
            <w:r>
              <w:t xml:space="preserve">1.3337 ± 0.0117</w:t>
            </w:r>
          </w:p>
        </w:tc>
        <w:tc>
          <w:tcPr/>
          <w:p>
            <w:pPr>
              <w:pStyle w:val="TableText"/>
              <w:jc w:val="center"/>
            </w:pPr>
            <w:r>
              <w:t xml:space="preserve">5.6</w:t>
            </w:r>
          </w:p>
        </w:tc>
        <w:tc>
          <w:tcPr/>
          <w:p>
            <w:pPr>
              <w:pStyle w:val="TableText"/>
              <w:jc w:val="center"/>
            </w:pPr>
            <w:r>
              <w:t xml:space="preserve">0.910</w:t>
            </w:r>
          </w:p>
        </w:tc>
      </w:tr>
      <w:tr>
        <w:tc>
          <w:tcPr/>
          <w:p>
            <w:pPr>
              <w:pStyle w:val="TableText"/>
              <w:jc w:val="center"/>
            </w:pPr>
            <w:r>
              <w:t xml:space="preserve">3</w:t>
            </w:r>
          </w:p>
        </w:tc>
        <w:tc>
          <w:tcPr/>
          <w:p>
            <w:pPr>
              <w:pStyle w:val="TableText"/>
              <w:jc w:val="left"/>
            </w:pPr>
            <w:r>
              <w:t xml:space="preserve">drran8</w:t>
            </w:r>
            <w:r>
              <w:rPr>
                <w:vertAlign w:val="superscript"/>
              </w:rPr>
              <w:t xml:space="preserve">†</w:t>
            </w:r>
          </w:p>
        </w:tc>
        <w:tc>
          <w:tcPr/>
          <w:p>
            <w:pPr>
              <w:pStyle w:val="TableText"/>
              <w:jc w:val="center"/>
            </w:pPr>
            <w:r>
              <w:t xml:space="preserve">35</w:t>
            </w:r>
          </w:p>
        </w:tc>
        <w:tc>
          <w:tcPr/>
          <w:p>
            <w:pPr>
              <w:pStyle w:val="TableText"/>
              <w:jc w:val="center"/>
            </w:pPr>
            <w:r>
              <w:t xml:space="preserve">19.32</w:t>
            </w:r>
          </w:p>
        </w:tc>
        <w:tc>
          <w:tcPr/>
          <w:p>
            <w:pPr>
              <w:pStyle w:val="TableText"/>
              <w:jc w:val="center"/>
            </w:pPr>
            <w:r>
              <w:t xml:space="preserve">0.9804 ± 0.0051</w:t>
            </w:r>
          </w:p>
        </w:tc>
        <w:tc>
          <w:tcPr/>
          <w:p>
            <w:pPr>
              <w:pStyle w:val="TableText"/>
              <w:jc w:val="center"/>
            </w:pPr>
            <w:r>
              <w:t xml:space="preserve">11.2</w:t>
            </w:r>
          </w:p>
        </w:tc>
        <w:tc>
          <w:tcPr/>
          <w:p>
            <w:pPr>
              <w:pStyle w:val="TableText"/>
              <w:jc w:val="center"/>
            </w:pPr>
            <w:r>
              <w:t xml:space="preserve">1.039</w:t>
            </w:r>
          </w:p>
        </w:tc>
      </w:tr>
      <w:tr>
        <w:tc>
          <w:tcPr/>
          <w:p>
            <w:pPr>
              <w:pStyle w:val="TableText"/>
              <w:jc w:val="center"/>
            </w:pPr>
            <w:r>
              <w:t xml:space="preserve">3</w:t>
            </w:r>
          </w:p>
        </w:tc>
        <w:tc>
          <w:tcPr/>
          <w:p>
            <w:pPr>
              <w:pStyle w:val="TableText"/>
              <w:jc w:val="left"/>
            </w:pPr>
            <w:r>
              <w:t xml:space="preserve">drran1</w:t>
            </w:r>
          </w:p>
        </w:tc>
        <w:tc>
          <w:tcPr/>
          <w:p>
            <w:pPr>
              <w:pStyle w:val="TableText"/>
              <w:jc w:val="center"/>
            </w:pPr>
            <w:r>
              <w:t xml:space="preserve">36</w:t>
            </w:r>
          </w:p>
        </w:tc>
        <w:tc>
          <w:tcPr/>
          <w:p>
            <w:pPr>
              <w:pStyle w:val="TableText"/>
              <w:jc w:val="center"/>
            </w:pPr>
            <w:r>
              <w:t xml:space="preserve">19.31</w:t>
            </w:r>
          </w:p>
        </w:tc>
        <w:tc>
          <w:tcPr/>
          <w:p>
            <w:pPr>
              <w:pStyle w:val="TableText"/>
              <w:jc w:val="center"/>
            </w:pPr>
            <w:r>
              <w:t xml:space="preserve">1.0326 ± 0.0016</w:t>
            </w:r>
          </w:p>
        </w:tc>
        <w:tc>
          <w:tcPr/>
          <w:p>
            <w:pPr>
              <w:pStyle w:val="TableText"/>
              <w:jc w:val="center"/>
            </w:pPr>
            <w:r>
              <w:t xml:space="preserve">18.1</w:t>
            </w:r>
          </w:p>
        </w:tc>
        <w:tc>
          <w:tcPr/>
          <w:p>
            <w:pPr>
              <w:pStyle w:val="TableText"/>
              <w:jc w:val="center"/>
            </w:pPr>
            <w:r>
              <w:t xml:space="preserve">1.051</w:t>
            </w:r>
          </w:p>
        </w:tc>
      </w:tr>
      <w:tr>
        <w:tc>
          <w:tcPr/>
          <w:p>
            <w:pPr>
              <w:pStyle w:val="TableText"/>
              <w:jc w:val="center"/>
            </w:pPr>
            <w:r>
              <w:t xml:space="preserve">3</w:t>
            </w:r>
          </w:p>
        </w:tc>
        <w:tc>
          <w:tcPr/>
          <w:p>
            <w:pPr>
              <w:pStyle w:val="TableText"/>
              <w:jc w:val="left"/>
            </w:pPr>
            <w:r>
              <w:t xml:space="preserve">drran4</w:t>
            </w:r>
          </w:p>
        </w:tc>
        <w:tc>
          <w:tcPr/>
          <w:p>
            <w:pPr>
              <w:pStyle w:val="TableText"/>
              <w:jc w:val="center"/>
            </w:pPr>
            <w:r>
              <w:t xml:space="preserve">29</w:t>
            </w:r>
          </w:p>
        </w:tc>
        <w:tc>
          <w:tcPr/>
          <w:p>
            <w:pPr>
              <w:pStyle w:val="TableText"/>
              <w:jc w:val="center"/>
            </w:pPr>
            <w:r>
              <w:t xml:space="preserve">19.92</w:t>
            </w:r>
          </w:p>
        </w:tc>
        <w:tc>
          <w:tcPr/>
          <w:p>
            <w:pPr>
              <w:pStyle w:val="TableText"/>
              <w:jc w:val="center"/>
            </w:pPr>
            <w:r>
              <w:t xml:space="preserve">1.0344 ± 0.0017</w:t>
            </w:r>
          </w:p>
        </w:tc>
        <w:tc>
          <w:tcPr/>
          <w:p>
            <w:pPr>
              <w:pStyle w:val="TableText"/>
              <w:jc w:val="center"/>
            </w:pPr>
            <w:r>
              <w:t xml:space="preserve">9.1</w:t>
            </w:r>
          </w:p>
        </w:tc>
        <w:tc>
          <w:tcPr/>
          <w:p>
            <w:pPr>
              <w:pStyle w:val="TableText"/>
              <w:jc w:val="center"/>
            </w:pPr>
            <w:r>
              <w:t xml:space="preserve">1.032</w:t>
            </w:r>
          </w:p>
        </w:tc>
      </w:tr>
      <w:tr>
        <w:tc>
          <w:tcPr/>
          <w:p>
            <w:pPr>
              <w:pStyle w:val="TableText"/>
              <w:jc w:val="center"/>
            </w:pPr>
            <w:r>
              <w:t xml:space="preserve">3</w:t>
            </w:r>
          </w:p>
        </w:tc>
        <w:tc>
          <w:tcPr/>
          <w:p>
            <w:pPr>
              <w:pStyle w:val="TableText"/>
              <w:jc w:val="left"/>
            </w:pPr>
            <w:r>
              <w:t xml:space="preserve">drran2</w:t>
            </w:r>
          </w:p>
        </w:tc>
        <w:tc>
          <w:tcPr/>
          <w:p>
            <w:pPr>
              <w:pStyle w:val="TableText"/>
              <w:jc w:val="center"/>
            </w:pPr>
            <w:r>
              <w:t xml:space="preserve">33</w:t>
            </w:r>
          </w:p>
        </w:tc>
        <w:tc>
          <w:tcPr/>
          <w:p>
            <w:pPr>
              <w:pStyle w:val="TableText"/>
              <w:jc w:val="center"/>
            </w:pPr>
            <w:r>
              <w:t xml:space="preserve">19.33</w:t>
            </w:r>
          </w:p>
        </w:tc>
        <w:tc>
          <w:tcPr/>
          <w:p>
            <w:pPr>
              <w:pStyle w:val="TableText"/>
              <w:jc w:val="center"/>
            </w:pPr>
            <w:r>
              <w:t xml:space="preserve">1.0345 ± 0.0006</w:t>
            </w:r>
          </w:p>
        </w:tc>
        <w:tc>
          <w:tcPr/>
          <w:p>
            <w:pPr>
              <w:pStyle w:val="TableText"/>
              <w:jc w:val="center"/>
            </w:pPr>
            <w:r>
              <w:t xml:space="preserve">11.8</w:t>
            </w:r>
          </w:p>
        </w:tc>
        <w:tc>
          <w:tcPr/>
          <w:p>
            <w:pPr>
              <w:pStyle w:val="TableText"/>
              <w:jc w:val="center"/>
            </w:pPr>
            <w:r>
              <w:t xml:space="preserve">1.056</w:t>
            </w:r>
          </w:p>
        </w:tc>
      </w:tr>
      <w:tr>
        <w:tc>
          <w:tcPr/>
          <w:p>
            <w:pPr>
              <w:pStyle w:val="TableText"/>
              <w:jc w:val="center"/>
            </w:pPr>
            <w:r>
              <w:t xml:space="preserve">3</w:t>
            </w:r>
          </w:p>
        </w:tc>
        <w:tc>
          <w:tcPr/>
          <w:p>
            <w:pPr>
              <w:pStyle w:val="TableText"/>
              <w:jc w:val="left"/>
            </w:pPr>
            <w:r>
              <w:t xml:space="preserve">drran5</w:t>
            </w:r>
          </w:p>
        </w:tc>
        <w:tc>
          <w:tcPr/>
          <w:p>
            <w:pPr>
              <w:pStyle w:val="TableText"/>
              <w:jc w:val="center"/>
            </w:pPr>
            <w:r>
              <w:t xml:space="preserve">28</w:t>
            </w:r>
          </w:p>
        </w:tc>
        <w:tc>
          <w:tcPr/>
          <w:p>
            <w:pPr>
              <w:pStyle w:val="TableText"/>
              <w:jc w:val="center"/>
            </w:pPr>
            <w:r>
              <w:t xml:space="preserve">19.88</w:t>
            </w:r>
          </w:p>
        </w:tc>
        <w:tc>
          <w:tcPr/>
          <w:p>
            <w:pPr>
              <w:pStyle w:val="TableText"/>
              <w:jc w:val="center"/>
            </w:pPr>
            <w:r>
              <w:t xml:space="preserve">1.0373 ± 0.0024</w:t>
            </w:r>
          </w:p>
        </w:tc>
        <w:tc>
          <w:tcPr/>
          <w:p>
            <w:pPr>
              <w:pStyle w:val="TableText"/>
              <w:jc w:val="center"/>
            </w:pPr>
            <w:r>
              <w:t xml:space="preserve">5.0</w:t>
            </w:r>
          </w:p>
        </w:tc>
        <w:tc>
          <w:tcPr/>
          <w:p>
            <w:pPr>
              <w:pStyle w:val="TableText"/>
              <w:jc w:val="center"/>
            </w:pPr>
            <w:r>
              <w:t xml:space="preserve">1.059</w:t>
            </w:r>
          </w:p>
        </w:tc>
      </w:tr>
      <w:tr>
        <w:tc>
          <w:tcPr/>
          <w:p>
            <w:pPr>
              <w:pStyle w:val="TableText"/>
              <w:jc w:val="center"/>
            </w:pPr>
            <w:r>
              <w:t xml:space="preserve">3</w:t>
            </w:r>
          </w:p>
        </w:tc>
        <w:tc>
          <w:tcPr/>
          <w:p>
            <w:pPr>
              <w:pStyle w:val="TableText"/>
              <w:jc w:val="left"/>
            </w:pPr>
            <w:r>
              <w:t xml:space="preserve">drran3</w:t>
            </w:r>
          </w:p>
        </w:tc>
        <w:tc>
          <w:tcPr/>
          <w:p>
            <w:pPr>
              <w:pStyle w:val="TableText"/>
              <w:jc w:val="center"/>
            </w:pPr>
            <w:r>
              <w:t xml:space="preserve">31</w:t>
            </w:r>
          </w:p>
        </w:tc>
        <w:tc>
          <w:tcPr/>
          <w:p>
            <w:pPr>
              <w:pStyle w:val="TableText"/>
              <w:jc w:val="center"/>
            </w:pPr>
            <w:r>
              <w:t xml:space="preserve">19.92</w:t>
            </w:r>
          </w:p>
        </w:tc>
        <w:tc>
          <w:tcPr/>
          <w:p>
            <w:pPr>
              <w:pStyle w:val="TableText"/>
              <w:jc w:val="center"/>
            </w:pPr>
            <w:r>
              <w:t xml:space="preserve">1.0389 ± 0.0012</w:t>
            </w:r>
          </w:p>
        </w:tc>
        <w:tc>
          <w:tcPr/>
          <w:p>
            <w:pPr>
              <w:pStyle w:val="TableText"/>
              <w:jc w:val="center"/>
            </w:pPr>
            <w:r>
              <w:t xml:space="preserve">4.2</w:t>
            </w:r>
          </w:p>
        </w:tc>
        <w:tc>
          <w:tcPr/>
          <w:p>
            <w:pPr>
              <w:pStyle w:val="TableText"/>
              <w:jc w:val="center"/>
            </w:pPr>
            <w:r>
              <w:t xml:space="preserve">1.043</w:t>
            </w:r>
          </w:p>
        </w:tc>
      </w:tr>
      <w:tr>
        <w:tc>
          <w:tcPr/>
          <w:p>
            <w:pPr>
              <w:pStyle w:val="TableText"/>
              <w:jc w:val="center"/>
            </w:pPr>
            <w:r>
              <w:t xml:space="preserve">3</w:t>
            </w:r>
          </w:p>
        </w:tc>
        <w:tc>
          <w:tcPr/>
          <w:p>
            <w:pPr>
              <w:pStyle w:val="TableText"/>
              <w:jc w:val="left"/>
            </w:pPr>
            <w:r>
              <w:t xml:space="preserve">drran9</w:t>
            </w:r>
          </w:p>
        </w:tc>
        <w:tc>
          <w:tcPr/>
          <w:p>
            <w:pPr>
              <w:pStyle w:val="TableText"/>
              <w:jc w:val="center"/>
            </w:pPr>
            <w:r>
              <w:t xml:space="preserve">30</w:t>
            </w:r>
          </w:p>
        </w:tc>
        <w:tc>
          <w:tcPr/>
          <w:p>
            <w:pPr>
              <w:pStyle w:val="TableText"/>
              <w:jc w:val="center"/>
            </w:pPr>
            <w:r>
              <w:t xml:space="preserve">19.34</w:t>
            </w:r>
          </w:p>
        </w:tc>
        <w:tc>
          <w:tcPr/>
          <w:p>
            <w:pPr>
              <w:pStyle w:val="TableText"/>
              <w:jc w:val="center"/>
            </w:pPr>
            <w:r>
              <w:t xml:space="preserve">1.0425 ± 0.0009</w:t>
            </w:r>
          </w:p>
        </w:tc>
        <w:tc>
          <w:tcPr/>
          <w:p>
            <w:pPr>
              <w:pStyle w:val="TableText"/>
              <w:jc w:val="center"/>
            </w:pPr>
            <w:r>
              <w:t xml:space="preserve">5.2</w:t>
            </w:r>
          </w:p>
        </w:tc>
        <w:tc>
          <w:tcPr/>
          <w:p>
            <w:pPr>
              <w:pStyle w:val="TableText"/>
              <w:jc w:val="center"/>
            </w:pPr>
            <w:r>
              <w:t xml:space="preserve">1.058</w:t>
            </w:r>
          </w:p>
        </w:tc>
      </w:tr>
      <w:tr>
        <w:tc>
          <w:tcPr/>
          <w:p>
            <w:pPr>
              <w:pStyle w:val="TableText"/>
              <w:jc w:val="center"/>
            </w:pPr>
            <w:r>
              <w:t xml:space="preserve">3</w:t>
            </w:r>
          </w:p>
        </w:tc>
        <w:tc>
          <w:tcPr/>
          <w:p>
            <w:pPr>
              <w:pStyle w:val="TableText"/>
              <w:jc w:val="left"/>
            </w:pPr>
            <w:r>
              <w:t xml:space="preserve">drran6</w:t>
            </w:r>
          </w:p>
        </w:tc>
        <w:tc>
          <w:tcPr/>
          <w:p>
            <w:pPr>
              <w:pStyle w:val="TableText"/>
              <w:jc w:val="center"/>
            </w:pPr>
            <w:r>
              <w:t xml:space="preserve">34</w:t>
            </w:r>
          </w:p>
        </w:tc>
        <w:tc>
          <w:tcPr/>
          <w:p>
            <w:pPr>
              <w:pStyle w:val="TableText"/>
              <w:jc w:val="center"/>
            </w:pPr>
            <w:r>
              <w:t xml:space="preserve">19.24</w:t>
            </w:r>
          </w:p>
        </w:tc>
        <w:tc>
          <w:tcPr/>
          <w:p>
            <w:pPr>
              <w:pStyle w:val="TableText"/>
              <w:jc w:val="center"/>
            </w:pPr>
            <w:r>
              <w:t xml:space="preserve">1.0471 ± 0.0040</w:t>
            </w:r>
          </w:p>
        </w:tc>
        <w:tc>
          <w:tcPr/>
          <w:p>
            <w:pPr>
              <w:pStyle w:val="TableText"/>
              <w:jc w:val="center"/>
            </w:pPr>
            <w:r>
              <w:t xml:space="preserve">4.8</w:t>
            </w:r>
          </w:p>
        </w:tc>
        <w:tc>
          <w:tcPr/>
          <w:p>
            <w:pPr>
              <w:pStyle w:val="TableText"/>
              <w:jc w:val="center"/>
            </w:pPr>
            <w:r>
              <w:t xml:space="preserve">1.065</w:t>
            </w:r>
          </w:p>
        </w:tc>
      </w:tr>
      <w:tr>
        <w:tc>
          <w:tcPr/>
          <w:p>
            <w:pPr>
              <w:pStyle w:val="TableText"/>
              <w:jc w:val="center"/>
            </w:pPr>
            <w:r>
              <w:t xml:space="preserve">3</w:t>
            </w:r>
          </w:p>
        </w:tc>
        <w:tc>
          <w:tcPr/>
          <w:p>
            <w:pPr>
              <w:pStyle w:val="TableText"/>
              <w:jc w:val="left"/>
            </w:pPr>
            <w:r>
              <w:t xml:space="preserve">drran7</w:t>
            </w:r>
          </w:p>
        </w:tc>
        <w:tc>
          <w:tcPr/>
          <w:p>
            <w:pPr>
              <w:pStyle w:val="TableText"/>
              <w:jc w:val="center"/>
            </w:pPr>
            <w:r>
              <w:t xml:space="preserve">32</w:t>
            </w:r>
          </w:p>
        </w:tc>
        <w:tc>
          <w:tcPr/>
          <w:p>
            <w:pPr>
              <w:pStyle w:val="TableText"/>
              <w:jc w:val="center"/>
            </w:pPr>
            <w:r>
              <w:t xml:space="preserve">20.06</w:t>
            </w:r>
          </w:p>
        </w:tc>
        <w:tc>
          <w:tcPr/>
          <w:p>
            <w:pPr>
              <w:pStyle w:val="TableText"/>
              <w:jc w:val="center"/>
            </w:pPr>
            <w:r>
              <w:t xml:space="preserve">1.2513 ± 0.0096</w:t>
            </w:r>
          </w:p>
        </w:tc>
        <w:tc>
          <w:tcPr/>
          <w:p>
            <w:pPr>
              <w:pStyle w:val="TableText"/>
              <w:jc w:val="center"/>
            </w:pPr>
            <w:r>
              <w:t xml:space="preserve">8.2</w:t>
            </w:r>
          </w:p>
        </w:tc>
        <w:tc>
          <w:tcPr/>
          <w:p>
            <w:pPr>
              <w:pStyle w:val="TableText"/>
              <w:jc w:val="center"/>
            </w:pPr>
            <w:r>
              <w:t xml:space="preserve">1.020</w:t>
            </w:r>
          </w:p>
        </w:tc>
      </w:tr>
      <w:tr>
        <w:tc>
          <w:tcPr/>
          <w:p>
            <w:pPr>
              <w:pStyle w:val="TableText"/>
              <w:jc w:val="center"/>
            </w:pPr>
            <w:r>
              <w:t xml:space="preserve">4</w:t>
            </w:r>
          </w:p>
        </w:tc>
        <w:tc>
          <w:tcPr/>
          <w:p>
            <w:pPr>
              <w:pStyle w:val="TableText"/>
              <w:jc w:val="left"/>
            </w:pPr>
            <w:r>
              <w:t xml:space="preserve">corny7</w:t>
            </w:r>
          </w:p>
        </w:tc>
        <w:tc>
          <w:tcPr/>
          <w:p>
            <w:pPr>
              <w:pStyle w:val="TableText"/>
              <w:jc w:val="center"/>
            </w:pPr>
            <w:r>
              <w:t xml:space="preserve">37</w:t>
            </w:r>
          </w:p>
        </w:tc>
        <w:tc>
          <w:tcPr/>
          <w:p>
            <w:pPr>
              <w:pStyle w:val="TableText"/>
              <w:jc w:val="center"/>
            </w:pPr>
            <w:r>
              <w:t xml:space="preserve">19.62</w:t>
            </w:r>
          </w:p>
        </w:tc>
        <w:tc>
          <w:tcPr/>
          <w:p>
            <w:pPr>
              <w:pStyle w:val="TableText"/>
              <w:jc w:val="center"/>
            </w:pPr>
            <w:r>
              <w:t xml:space="preserve">0.8031 ± 0.0025</w:t>
            </w:r>
          </w:p>
        </w:tc>
        <w:tc>
          <w:tcPr/>
          <w:p>
            <w:pPr>
              <w:pStyle w:val="TableText"/>
              <w:jc w:val="center"/>
            </w:pPr>
            <w:r>
              <w:t xml:space="preserve">9.4</w:t>
            </w:r>
          </w:p>
        </w:tc>
        <w:tc>
          <w:tcPr/>
          <w:p>
            <w:pPr>
              <w:pStyle w:val="TableText"/>
              <w:jc w:val="center"/>
            </w:pPr>
            <w:r>
              <w:t xml:space="preserve">0.934</w:t>
            </w:r>
          </w:p>
        </w:tc>
      </w:tr>
      <w:tr>
        <w:tc>
          <w:tcPr/>
          <w:p>
            <w:pPr>
              <w:pStyle w:val="TableText"/>
              <w:jc w:val="center"/>
            </w:pPr>
            <w:r>
              <w:t xml:space="preserve">4</w:t>
            </w:r>
          </w:p>
        </w:tc>
        <w:tc>
          <w:tcPr/>
          <w:p>
            <w:pPr>
              <w:pStyle w:val="TableText"/>
              <w:jc w:val="left"/>
            </w:pPr>
            <w:r>
              <w:t xml:space="preserve">corny9</w:t>
            </w:r>
          </w:p>
        </w:tc>
        <w:tc>
          <w:tcPr/>
          <w:p>
            <w:pPr>
              <w:pStyle w:val="TableText"/>
              <w:jc w:val="center"/>
            </w:pPr>
            <w:r>
              <w:t xml:space="preserve">43</w:t>
            </w:r>
          </w:p>
        </w:tc>
        <w:tc>
          <w:tcPr/>
          <w:p>
            <w:pPr>
              <w:pStyle w:val="TableText"/>
              <w:jc w:val="center"/>
            </w:pPr>
            <w:r>
              <w:t xml:space="preserve">19.46</w:t>
            </w:r>
          </w:p>
        </w:tc>
        <w:tc>
          <w:tcPr/>
          <w:p>
            <w:pPr>
              <w:pStyle w:val="TableText"/>
              <w:jc w:val="center"/>
            </w:pPr>
            <w:r>
              <w:t xml:space="preserve">0.8766 ± 0.0036</w:t>
            </w:r>
          </w:p>
        </w:tc>
        <w:tc>
          <w:tcPr/>
          <w:p>
            <w:pPr>
              <w:pStyle w:val="TableText"/>
              <w:jc w:val="center"/>
            </w:pPr>
            <w:r>
              <w:t xml:space="preserve">18.1</w:t>
            </w:r>
          </w:p>
        </w:tc>
        <w:tc>
          <w:tcPr/>
          <w:p>
            <w:pPr>
              <w:pStyle w:val="TableText"/>
              <w:jc w:val="center"/>
            </w:pPr>
            <w:r>
              <w:t xml:space="preserve">0.942</w:t>
            </w:r>
          </w:p>
        </w:tc>
      </w:tr>
      <w:tr>
        <w:tc>
          <w:tcPr/>
          <w:p>
            <w:pPr>
              <w:pStyle w:val="TableText"/>
              <w:jc w:val="center"/>
            </w:pPr>
            <w:r>
              <w:t xml:space="preserve">4</w:t>
            </w:r>
          </w:p>
        </w:tc>
        <w:tc>
          <w:tcPr/>
          <w:p>
            <w:pPr>
              <w:pStyle w:val="TableText"/>
              <w:jc w:val="left"/>
            </w:pPr>
            <w:r>
              <w:t xml:space="preserve">corny6</w:t>
            </w:r>
            <w:r>
              <w:rPr>
                <w:vertAlign w:val="superscript"/>
              </w:rPr>
              <w:t xml:space="preserve">‡</w:t>
            </w:r>
          </w:p>
        </w:tc>
        <w:tc>
          <w:tcPr/>
          <w:p>
            <w:pPr>
              <w:pStyle w:val="TableText"/>
              <w:jc w:val="center"/>
            </w:pPr>
            <w:r>
              <w:t xml:space="preserve">41</w:t>
            </w:r>
          </w:p>
        </w:tc>
        <w:tc>
          <w:tcPr/>
          <w:p>
            <w:pPr>
              <w:pStyle w:val="TableText"/>
              <w:jc w:val="center"/>
            </w:pPr>
            <w:r>
              <w:t xml:space="preserve">19.45</w:t>
            </w:r>
          </w:p>
        </w:tc>
        <w:tc>
          <w:tcPr/>
          <w:p>
            <w:pPr>
              <w:pStyle w:val="TableText"/>
              <w:jc w:val="center"/>
            </w:pPr>
            <w:r>
              <w:t xml:space="preserve">0.9106 ± 0.0181</w:t>
            </w:r>
          </w:p>
        </w:tc>
        <w:tc>
          <w:tcPr/>
          <w:p>
            <w:pPr>
              <w:pStyle w:val="TableText"/>
              <w:jc w:val="center"/>
            </w:pPr>
            <w:r>
              <w:t xml:space="preserve">5.7</w:t>
            </w:r>
          </w:p>
        </w:tc>
        <w:tc>
          <w:tcPr/>
          <w:p>
            <w:pPr>
              <w:pStyle w:val="TableText"/>
              <w:jc w:val="center"/>
            </w:pPr>
            <w:r>
              <w:t xml:space="preserve">0.943</w:t>
            </w:r>
          </w:p>
        </w:tc>
      </w:tr>
      <w:tr>
        <w:tc>
          <w:tcPr/>
          <w:p>
            <w:pPr>
              <w:pStyle w:val="TableText"/>
              <w:jc w:val="center"/>
            </w:pPr>
            <w:r>
              <w:t xml:space="preserve">4</w:t>
            </w:r>
          </w:p>
        </w:tc>
        <w:tc>
          <w:tcPr/>
          <w:p>
            <w:pPr>
              <w:pStyle w:val="TableText"/>
              <w:jc w:val="left"/>
            </w:pPr>
            <w:r>
              <w:t xml:space="preserve">corny8</w:t>
            </w:r>
          </w:p>
        </w:tc>
        <w:tc>
          <w:tcPr/>
          <w:p>
            <w:pPr>
              <w:pStyle w:val="TableText"/>
              <w:jc w:val="center"/>
            </w:pPr>
            <w:r>
              <w:t xml:space="preserve">39</w:t>
            </w:r>
          </w:p>
        </w:tc>
        <w:tc>
          <w:tcPr/>
          <w:p>
            <w:pPr>
              <w:pStyle w:val="TableText"/>
              <w:jc w:val="center"/>
            </w:pPr>
            <w:r>
              <w:t xml:space="preserve">19.64</w:t>
            </w:r>
          </w:p>
        </w:tc>
        <w:tc>
          <w:tcPr/>
          <w:p>
            <w:pPr>
              <w:pStyle w:val="TableText"/>
              <w:jc w:val="center"/>
            </w:pPr>
            <w:r>
              <w:t xml:space="preserve">0.9535 ± 0.0025</w:t>
            </w:r>
          </w:p>
        </w:tc>
        <w:tc>
          <w:tcPr/>
          <w:p>
            <w:pPr>
              <w:pStyle w:val="TableText"/>
              <w:jc w:val="center"/>
            </w:pPr>
            <w:r>
              <w:t xml:space="preserve">17.5</w:t>
            </w:r>
          </w:p>
        </w:tc>
        <w:tc>
          <w:tcPr/>
          <w:p>
            <w:pPr>
              <w:pStyle w:val="TableText"/>
              <w:jc w:val="center"/>
            </w:pPr>
            <w:r>
              <w:t xml:space="preserve">0.954</w:t>
            </w:r>
          </w:p>
        </w:tc>
      </w:tr>
      <w:tr>
        <w:tc>
          <w:tcPr/>
          <w:p>
            <w:pPr>
              <w:pStyle w:val="TableText"/>
              <w:jc w:val="center"/>
            </w:pPr>
            <w:r>
              <w:t xml:space="preserve">4</w:t>
            </w:r>
          </w:p>
        </w:tc>
        <w:tc>
          <w:tcPr/>
          <w:p>
            <w:pPr>
              <w:pStyle w:val="TableText"/>
              <w:jc w:val="left"/>
            </w:pPr>
            <w:r>
              <w:t xml:space="preserve">corny1</w:t>
            </w:r>
          </w:p>
        </w:tc>
        <w:tc>
          <w:tcPr/>
          <w:p>
            <w:pPr>
              <w:pStyle w:val="TableText"/>
              <w:jc w:val="center"/>
            </w:pPr>
            <w:r>
              <w:t xml:space="preserve">42</w:t>
            </w:r>
          </w:p>
        </w:tc>
        <w:tc>
          <w:tcPr/>
          <w:p>
            <w:pPr>
              <w:pStyle w:val="TableText"/>
              <w:jc w:val="center"/>
            </w:pPr>
            <w:r>
              <w:t xml:space="preserve">20.20</w:t>
            </w:r>
          </w:p>
        </w:tc>
        <w:tc>
          <w:tcPr/>
          <w:p>
            <w:pPr>
              <w:pStyle w:val="TableText"/>
              <w:jc w:val="center"/>
            </w:pPr>
            <w:r>
              <w:t xml:space="preserve">1.0459 ± 0.0029</w:t>
            </w:r>
          </w:p>
        </w:tc>
        <w:tc>
          <w:tcPr/>
          <w:p>
            <w:pPr>
              <w:pStyle w:val="TableText"/>
              <w:jc w:val="center"/>
            </w:pPr>
            <w:r>
              <w:t xml:space="preserve">8.7</w:t>
            </w:r>
          </w:p>
        </w:tc>
        <w:tc>
          <w:tcPr/>
          <w:p>
            <w:pPr>
              <w:pStyle w:val="TableText"/>
              <w:jc w:val="center"/>
            </w:pPr>
            <w:r>
              <w:t xml:space="preserve">1.010</w:t>
            </w:r>
          </w:p>
        </w:tc>
      </w:tr>
      <w:tr>
        <w:tc>
          <w:tcPr/>
          <w:p>
            <w:pPr>
              <w:pStyle w:val="TableText"/>
              <w:jc w:val="center"/>
            </w:pPr>
            <w:r>
              <w:t xml:space="preserve">4</w:t>
            </w:r>
          </w:p>
        </w:tc>
        <w:tc>
          <w:tcPr/>
          <w:p>
            <w:pPr>
              <w:pStyle w:val="TableText"/>
              <w:jc w:val="left"/>
            </w:pPr>
            <w:r>
              <w:t xml:space="preserve">corny4</w:t>
            </w:r>
          </w:p>
        </w:tc>
        <w:tc>
          <w:tcPr/>
          <w:p>
            <w:pPr>
              <w:pStyle w:val="TableText"/>
              <w:jc w:val="center"/>
            </w:pPr>
            <w:r>
              <w:t xml:space="preserve">44</w:t>
            </w:r>
          </w:p>
        </w:tc>
        <w:tc>
          <w:tcPr/>
          <w:p>
            <w:pPr>
              <w:pStyle w:val="TableText"/>
              <w:jc w:val="center"/>
            </w:pPr>
            <w:r>
              <w:t xml:space="preserve">20.56</w:t>
            </w:r>
          </w:p>
        </w:tc>
        <w:tc>
          <w:tcPr/>
          <w:p>
            <w:pPr>
              <w:pStyle w:val="TableText"/>
              <w:jc w:val="center"/>
            </w:pPr>
            <w:r>
              <w:t xml:space="preserve">1.0475 ± 0.0025</w:t>
            </w:r>
          </w:p>
        </w:tc>
        <w:tc>
          <w:tcPr/>
          <w:p>
            <w:pPr>
              <w:pStyle w:val="TableText"/>
              <w:jc w:val="center"/>
            </w:pPr>
            <w:r>
              <w:t xml:space="preserve">4.3</w:t>
            </w:r>
          </w:p>
        </w:tc>
        <w:tc>
          <w:tcPr/>
          <w:p>
            <w:pPr>
              <w:pStyle w:val="TableText"/>
              <w:jc w:val="center"/>
            </w:pPr>
            <w:r>
              <w:t xml:space="preserve">1.013</w:t>
            </w:r>
          </w:p>
        </w:tc>
      </w:tr>
      <w:tr>
        <w:tc>
          <w:tcPr/>
          <w:p>
            <w:pPr>
              <w:pStyle w:val="TableText"/>
              <w:jc w:val="center"/>
            </w:pPr>
            <w:r>
              <w:t xml:space="preserve">4</w:t>
            </w:r>
          </w:p>
        </w:tc>
        <w:tc>
          <w:tcPr/>
          <w:p>
            <w:pPr>
              <w:pStyle w:val="TableText"/>
              <w:jc w:val="left"/>
            </w:pPr>
            <w:r>
              <w:t xml:space="preserve">corny3</w:t>
            </w:r>
          </w:p>
        </w:tc>
        <w:tc>
          <w:tcPr/>
          <w:p>
            <w:pPr>
              <w:pStyle w:val="TableText"/>
              <w:jc w:val="center"/>
            </w:pPr>
            <w:r>
              <w:t xml:space="preserve">45</w:t>
            </w:r>
          </w:p>
        </w:tc>
        <w:tc>
          <w:tcPr/>
          <w:p>
            <w:pPr>
              <w:pStyle w:val="TableText"/>
              <w:jc w:val="center"/>
            </w:pPr>
            <w:r>
              <w:t xml:space="preserve">20.15</w:t>
            </w:r>
          </w:p>
        </w:tc>
        <w:tc>
          <w:tcPr/>
          <w:p>
            <w:pPr>
              <w:pStyle w:val="TableText"/>
              <w:jc w:val="center"/>
            </w:pPr>
            <w:r>
              <w:t xml:space="preserve">1.0705 ± 0.0013</w:t>
            </w:r>
          </w:p>
        </w:tc>
        <w:tc>
          <w:tcPr/>
          <w:p>
            <w:pPr>
              <w:pStyle w:val="TableText"/>
              <w:jc w:val="center"/>
            </w:pPr>
            <w:r>
              <w:t xml:space="preserve">8.8</w:t>
            </w:r>
          </w:p>
        </w:tc>
        <w:tc>
          <w:tcPr/>
          <w:p>
            <w:pPr>
              <w:pStyle w:val="TableText"/>
              <w:jc w:val="center"/>
            </w:pPr>
            <w:r>
              <w:t xml:space="preserve">1.004</w:t>
            </w:r>
          </w:p>
        </w:tc>
      </w:tr>
      <w:tr>
        <w:tc>
          <w:tcPr/>
          <w:p>
            <w:pPr>
              <w:pStyle w:val="TableText"/>
              <w:jc w:val="center"/>
            </w:pPr>
            <w:r>
              <w:t xml:space="preserve">4</w:t>
            </w:r>
          </w:p>
        </w:tc>
        <w:tc>
          <w:tcPr/>
          <w:p>
            <w:pPr>
              <w:pStyle w:val="TableText"/>
              <w:jc w:val="left"/>
            </w:pPr>
            <w:r>
              <w:t xml:space="preserve">corny2</w:t>
            </w:r>
          </w:p>
        </w:tc>
        <w:tc>
          <w:tcPr/>
          <w:p>
            <w:pPr>
              <w:pStyle w:val="TableText"/>
              <w:jc w:val="center"/>
            </w:pPr>
            <w:r>
              <w:t xml:space="preserve">38</w:t>
            </w:r>
          </w:p>
        </w:tc>
        <w:tc>
          <w:tcPr/>
          <w:p>
            <w:pPr>
              <w:pStyle w:val="TableText"/>
              <w:jc w:val="center"/>
            </w:pPr>
            <w:r>
              <w:t xml:space="preserve">20.21</w:t>
            </w:r>
          </w:p>
        </w:tc>
        <w:tc>
          <w:tcPr/>
          <w:p>
            <w:pPr>
              <w:pStyle w:val="TableText"/>
              <w:jc w:val="center"/>
            </w:pPr>
            <w:r>
              <w:t xml:space="preserve">1.0846 ± 0.0030</w:t>
            </w:r>
          </w:p>
        </w:tc>
        <w:tc>
          <w:tcPr/>
          <w:p>
            <w:pPr>
              <w:pStyle w:val="TableText"/>
              <w:jc w:val="center"/>
            </w:pPr>
            <w:r>
              <w:t xml:space="preserve">9.2</w:t>
            </w:r>
          </w:p>
        </w:tc>
        <w:tc>
          <w:tcPr/>
          <w:p>
            <w:pPr>
              <w:pStyle w:val="TableText"/>
              <w:jc w:val="center"/>
            </w:pPr>
            <w:r>
              <w:t xml:space="preserve">1.008</w:t>
            </w:r>
          </w:p>
        </w:tc>
      </w:tr>
      <w:tr>
        <w:tc>
          <w:tcPr/>
          <w:p>
            <w:pPr>
              <w:pStyle w:val="TableText"/>
              <w:jc w:val="center"/>
            </w:pPr>
            <w:r>
              <w:t xml:space="preserve">4</w:t>
            </w:r>
          </w:p>
        </w:tc>
        <w:tc>
          <w:tcPr/>
          <w:p>
            <w:pPr>
              <w:pStyle w:val="TableText"/>
              <w:jc w:val="left"/>
            </w:pPr>
            <w:r>
              <w:t xml:space="preserve">corny5</w:t>
            </w:r>
            <w:r>
              <w:rPr>
                <w:vertAlign w:val="superscript"/>
              </w:rPr>
              <w:t xml:space="preserve">†</w:t>
            </w:r>
          </w:p>
        </w:tc>
        <w:tc>
          <w:tcPr/>
          <w:p>
            <w:pPr>
              <w:pStyle w:val="TableText"/>
              <w:jc w:val="center"/>
            </w:pPr>
            <w:r>
              <w:t xml:space="preserve">40</w:t>
            </w:r>
          </w:p>
        </w:tc>
        <w:tc>
          <w:tcPr/>
          <w:p>
            <w:pPr>
              <w:pStyle w:val="TableText"/>
              <w:jc w:val="center"/>
            </w:pPr>
            <w:r>
              <w:t xml:space="preserve">20.58</w:t>
            </w:r>
          </w:p>
        </w:tc>
        <w:tc>
          <w:tcPr/>
          <w:p>
            <w:pPr>
              <w:pStyle w:val="TableText"/>
              <w:jc w:val="center"/>
            </w:pPr>
            <w:r>
              <w:t xml:space="preserve">1.0876 ± 0.0099</w:t>
            </w:r>
          </w:p>
        </w:tc>
        <w:tc>
          <w:tcPr/>
          <w:p>
            <w:pPr>
              <w:pStyle w:val="TableText"/>
              <w:jc w:val="center"/>
            </w:pPr>
            <w:r>
              <w:t xml:space="preserve">8.5</w:t>
            </w:r>
          </w:p>
        </w:tc>
        <w:tc>
          <w:tcPr/>
          <w:p>
            <w:pPr>
              <w:pStyle w:val="TableText"/>
              <w:jc w:val="center"/>
            </w:pPr>
            <w:r>
              <w:t xml:space="preserve">1.012</w:t>
            </w:r>
          </w:p>
        </w:tc>
      </w:tr>
    </w:tbl>
    <w:bookmarkEnd w:id="53"/>
    <w:p>
      <w:pPr>
        <w:pStyle w:val="CaptionedFigure"/>
      </w:pPr>
      <w:r>
        <w:drawing>
          <wp:inline>
            <wp:extent cx="5310835" cy="3379622"/>
            <wp:effectExtent b="0" l="0" r="0" t="0"/>
            <wp:docPr descr="" title="" id="55" name="Picture"/>
            <a:graphic>
              <a:graphicData uri="http://schemas.openxmlformats.org/drawingml/2006/picture">
                <pic:pic>
                  <pic:nvPicPr>
                    <pic:cNvPr descr="/home/runner/work/tensegrity-optimization/tensegrity-optimization/figures/bo/t3-prism-bo-front-evolution.png" id="56" name="Picture"/>
                    <pic:cNvPicPr>
                      <a:picLocks noChangeArrowheads="1" noChangeAspect="1"/>
                    </pic:cNvPicPr>
                  </pic:nvPicPr>
                  <pic:blipFill>
                    <a:blip r:embed="rId54"/>
                    <a:stretch>
                      <a:fillRect/>
                    </a:stretch>
                  </pic:blipFill>
                  <pic:spPr bwMode="auto">
                    <a:xfrm>
                      <a:off x="0" y="0"/>
                      <a:ext cx="5310835" cy="3379622"/>
                    </a:xfrm>
                    <a:prstGeom prst="rect">
                      <a:avLst/>
                    </a:prstGeom>
                    <a:noFill/>
                    <a:ln w="9525">
                      <a:noFill/>
                      <a:headEnd/>
                      <a:tailEnd/>
                    </a:ln>
                  </pic:spPr>
                </pic:pic>
              </a:graphicData>
            </a:graphic>
          </wp:inline>
        </w:drawing>
      </w:r>
    </w:p>
    <w:p>
      <w:pPr>
        <w:pStyle w:val="ImageCaption"/>
      </w:pPr>
      <w:bookmarkStart w:id="90012" w:name="cap_fig6"/>
      <w:r>
        <w:t xml:space="preserve">Fig. 6 Measured objective space and front evolution across the</w:t>
      </w:r>
      <w:r>
        <w:t xml:space="preserve"> </w:t>
      </w:r>
      <w:r>
        <w:t xml:space="preserve">four batches. The vertical axis is the mass-weighted velocity-loss</w:t>
      </w:r>
      <w:r>
        <w:t xml:space="preserve"> </w:t>
      </w:r>
      <w:r>
        <w:t xml:space="preserve">objective</w:t>
      </w:r>
      <w:r>
        <w:t xml:space="preserve"> </w:t>
      </w:r>
      <w:r>
        <w:rPr>
          <w:i/>
          <w:iCs/>
        </w:rPr>
        <w:t xml:space="preserve">E</w:t>
      </w:r>
      <w:r>
        <w:rPr>
          <w:vertAlign w:val="subscript"/>
        </w:rPr>
        <w:t xml:space="preserve">reb</w:t>
      </w:r>
      <w:r>
        <w:t xml:space="preserve"> = (1 − VLI) </w:t>
      </w:r>
      <w:r>
        <w:rPr>
          <w:i/>
          <w:iCs/>
        </w:rPr>
        <w:t xml:space="preserve">m</w:t>
      </w:r>
      <w:r>
        <w:rPr>
          <w:i/>
          <w:iCs/>
        </w:rPr>
        <w:t xml:space="preserve">g</w:t>
      </w:r>
      <w:r>
        <w:rPr>
          <w:i/>
          <w:iCs/>
        </w:rPr>
        <w:t xml:space="preserve">h</w:t>
      </w:r>
      <w:r>
        <w:t xml:space="preserve"> </w:t>
      </w:r>
      <w:r>
        <w:t xml:space="preserve">of</w:t>
      </w:r>
      <w:r>
        <w:t xml:space="preserve"> </w:t>
      </w:r>
      <w:r>
        <w:t xml:space="preserve">Eq. </w:t>
      </w:r>
      <w:hyperlink w:anchor="lbl_eq_objectives">
        <w:r>
          <w:rPr>
            <w:rStyle w:val="Hyperlink"/>
          </w:rPr>
          <w:t xml:space="preserve">(1)</w:t>
        </w:r>
      </w:hyperlink>
      <w:r>
        <w:t xml:space="preserve">. Gray circles are all measured articles at their</w:t>
      </w:r>
      <w:r>
        <w:t xml:space="preserve"> </w:t>
      </w:r>
      <w:r>
        <w:t xml:space="preserve">stabilized means. The blue lines are the non-dominated fronts</w:t>
      </w:r>
      <w:r>
        <w:t xml:space="preserve"> </w:t>
      </w:r>
      <w:r>
        <w:t xml:space="preserve">after each batch, with the dominated hypervolume at the</w:t>
      </w:r>
      <w:r>
        <w:t xml:space="preserve"> </w:t>
      </w:r>
      <w:r>
        <w:t xml:space="preserve">(1.35, 15 mJ) reference in the legend. Batch 2 grew the</w:t>
      </w:r>
      <w:r>
        <w:t xml:space="preserve"> </w:t>
      </w:r>
      <w:r>
        <w:t xml:space="preserve">front on the velocity-loss axis, batch 3 filled the knee, and batch 4</w:t>
      </w:r>
      <w:r>
        <w:t xml:space="preserve"> </w:t>
      </w:r>
      <w:r>
        <w:t xml:space="preserve">extended it to lower transmissibility. Repeated batch-3 designs are</w:t>
      </w:r>
      <w:r>
        <w:t xml:space="preserve"> </w:t>
      </w:r>
      <w:r>
        <w:t xml:space="preserve">drawn at their first-print values. The design-mean front is</w:t>
      </w:r>
      <w:r>
        <w:t xml:space="preserve"> </w:t>
      </w:r>
      <w:r>
        <w:t xml:space="preserve">given in the text. Lower is better on both axes.</w:t>
      </w:r>
      <w:bookmarkEnd w:id="90012"/>
    </w:p>
    <w:p>
      <w:pPr>
        <w:pStyle w:val="CaptionedFigure"/>
      </w:pPr>
      <w:r>
        <w:drawing>
          <wp:inline>
            <wp:extent cx="5310835" cy="3379622"/>
            <wp:effectExtent b="0" l="0" r="0" t="0"/>
            <wp:docPr descr="" title="" id="58" name="Picture"/>
            <a:graphic>
              <a:graphicData uri="http://schemas.openxmlformats.org/drawingml/2006/picture">
                <pic:pic>
                  <pic:nvPicPr>
                    <pic:cNvPr descr="/home/runner/work/tensegrity-optimization/tensegrity-optimization/figures/bo/t3-prism-bo-round4-predicted-vs-actual.png" id="59" name="Picture"/>
                    <pic:cNvPicPr>
                      <a:picLocks noChangeArrowheads="1" noChangeAspect="1"/>
                    </pic:cNvPicPr>
                  </pic:nvPicPr>
                  <pic:blipFill>
                    <a:blip r:embed="rId57"/>
                    <a:stretch>
                      <a:fillRect/>
                    </a:stretch>
                  </pic:blipFill>
                  <pic:spPr bwMode="auto">
                    <a:xfrm>
                      <a:off x="0" y="0"/>
                      <a:ext cx="5310835" cy="3379622"/>
                    </a:xfrm>
                    <a:prstGeom prst="rect">
                      <a:avLst/>
                    </a:prstGeom>
                    <a:noFill/>
                    <a:ln w="9525">
                      <a:noFill/>
                      <a:headEnd/>
                      <a:tailEnd/>
                    </a:ln>
                  </pic:spPr>
                </pic:pic>
              </a:graphicData>
            </a:graphic>
          </wp:inline>
        </w:drawing>
      </w:r>
    </w:p>
    <w:p>
      <w:pPr>
        <w:pStyle w:val="ImageCaption"/>
      </w:pPr>
      <w:bookmarkStart w:id="90013" w:name="cap_fig7"/>
      <w:r>
        <w:t xml:space="preserve">Fig. 7 Batch-4 predictions against outcomes. Orange diamonds with</w:t>
      </w:r>
      <w:r>
        <w:t xml:space="preserve"> </w:t>
      </w:r>
      <w:r>
        <w:t xml:space="preserve">bars are the archived posterior predictions (mean ± one</w:t>
      </w:r>
      <w:r>
        <w:t xml:space="preserve"> </w:t>
      </w:r>
      <w:r>
        <w:t xml:space="preserve">standard deviation) for trials 37 to 45 at recommendation time.</w:t>
      </w:r>
      <w:r>
        <w:t xml:space="preserve"> </w:t>
      </w:r>
      <w:r>
        <w:t xml:space="preserve">Arrows connect each prediction to its article’s measured value.</w:t>
      </w:r>
      <w:r>
        <w:t xml:space="preserve"> </w:t>
      </w:r>
      <w:r>
        <w:t xml:space="preserve">Black circles are measured values, and all previously measured</w:t>
      </w:r>
      <w:r>
        <w:t xml:space="preserve"> </w:t>
      </w:r>
      <w:r>
        <w:t xml:space="preserve">articles are shown for context. The vertical axis is</w:t>
      </w:r>
      <w:r>
        <w:t xml:space="preserve"> </w:t>
      </w:r>
      <w:r>
        <w:rPr>
          <w:i/>
          <w:iCs/>
        </w:rPr>
        <w:t xml:space="preserve">E</w:t>
      </w:r>
      <w:r>
        <w:rPr>
          <w:vertAlign w:val="subscript"/>
        </w:rPr>
        <w:t xml:space="preserve">reb</w:t>
      </w:r>
      <w:r>
        <w:t xml:space="preserve">, as in</w:t>
      </w:r>
      <w:r>
        <w:t xml:space="preserve"> </w:t>
      </w:r>
      <w:r>
        <w:t xml:space="preserve">Fig. </w:t>
      </w:r>
      <w:hyperlink w:anchor="lbl_fig_front_evolution">
        <w:r>
          <w:rPr>
            <w:rStyle w:val="Hyperlink"/>
          </w:rPr>
          <w:t xml:space="preserve">6</w:t>
        </w:r>
      </w:hyperlink>
      <w:r>
        <w:t xml:space="preserve">. The record attenuator corny7</w:t>
      </w:r>
      <w:r>
        <w:t xml:space="preserve"> </w:t>
      </w:r>
      <w:r>
        <w:t xml:space="preserve">(measured 0.803) is the left-most measured point. Lower is better</w:t>
      </w:r>
      <w:r>
        <w:t xml:space="preserve"> </w:t>
      </w:r>
      <w:r>
        <w:t xml:space="preserve">on both axes.</w:t>
      </w:r>
      <w:bookmarkEnd w:id="90013"/>
    </w:p>
    <w:bookmarkStart w:id="60" w:name="lbl_tab_round3_repeatability"/>
    <w:p>
      <w:pPr>
        <w:pStyle w:val="TableCaption"/>
      </w:pPr>
      <w:bookmarkStart w:id="90014" w:name="cap_tab8"/>
      <w:r>
        <w:t xml:space="preserve">Table 8 Batch-3 repeatability as stabilized</w:t>
      </w:r>
      <w:r>
        <w:t xml:space="preserve"> </w:t>
      </w:r>
      <w:r>
        <w:rPr>
          <w:i/>
          <w:iCs/>
        </w:rPr>
        <w:t xml:space="preserve">t</w:t>
      </w:r>
      <w:r>
        <w:rPr>
          <w:vertAlign w:val="subscript"/>
        </w:rPr>
        <w:t xml:space="preserve">180</w:t>
      </w:r>
      <w:r>
        <w:t xml:space="preserve"> </w:t>
      </w:r>
      <w:r>
        <w:t xml:space="preserve">over three</w:t>
      </w:r>
      <w:r>
        <w:t xml:space="preserve"> </w:t>
      </w:r>
      <w:r>
        <w:t xml:space="preserve">prints of the same nine designs, under the protocol of</w:t>
      </w:r>
      <w:r>
        <w:t xml:space="preserve"> </w:t>
      </w:r>
      <w:r>
        <w:t xml:space="preserve">Table </w:t>
      </w:r>
      <w:hyperlink w:anchor="lbl_tab_seed_results">
        <w:r>
          <w:rPr>
            <w:rStyle w:val="Hyperlink"/>
          </w:rPr>
          <w:t xml:space="preserve">6</w:t>
        </w:r>
      </w:hyperlink>
      <w:r>
        <w:t xml:space="preserve">. Articles drran</w:t>
      </w:r>
      <w:r>
        <w:rPr>
          <w:i/>
          <w:iCs/>
        </w:rPr>
        <w:t xml:space="preserve">N</w:t>
      </w:r>
      <w:r>
        <w:t xml:space="preserve">, 2dran</w:t>
      </w:r>
      <w:r>
        <w:rPr>
          <w:i/>
          <w:iCs/>
        </w:rPr>
        <w:t xml:space="preserve">N</w:t>
      </w:r>
      <w:r>
        <w:t xml:space="preserve">, and</w:t>
      </w:r>
      <w:r>
        <w:t xml:space="preserve"> </w:t>
      </w:r>
      <w:r>
        <w:t xml:space="preserve">dran3</w:t>
      </w:r>
      <w:r>
        <w:rPr>
          <w:i/>
          <w:iCs/>
        </w:rPr>
        <w:t xml:space="preserve">N</w:t>
      </w:r>
      <w:r>
        <w:t xml:space="preserve"> </w:t>
      </w:r>
      <w:r>
        <w:t xml:space="preserve">are prints 1, 2, and 3.</w:t>
      </w:r>
      <w:r>
        <w:t xml:space="preserve"> </w:t>
      </w:r>
      <w:r>
        <w:t xml:space="preserve">“</w:t>
      </w:r>
      <w:r>
        <w:t xml:space="preserve">Pred.</w:t>
      </w:r>
      <w:r>
        <w:t xml:space="preserve">”</w:t>
      </w:r>
      <w:r>
        <w:t xml:space="preserve"> </w:t>
      </w:r>
      <w:r>
        <w:t xml:space="preserve">is the posterior-mean</w:t>
      </w:r>
      <w:r>
        <w:t xml:space="preserve"> </w:t>
      </w:r>
      <w:r>
        <w:rPr>
          <w:i/>
          <w:iCs/>
        </w:rPr>
        <w:t xml:space="preserve">t</w:t>
      </w:r>
      <w:r>
        <w:rPr>
          <w:vertAlign w:val="subscript"/>
        </w:rPr>
        <w:t xml:space="preserve">180</w:t>
      </w:r>
      <w:r>
        <w:t xml:space="preserve"> </w:t>
      </w:r>
      <w:r>
        <w:t xml:space="preserve">archived before any batch-3 article was tested.</w:t>
      </w:r>
      <w:r>
        <w:t xml:space="preserve"> </w:t>
      </w:r>
      <w:r>
        <w:t xml:space="preserve">“</w:t>
      </w:r>
      <w:r>
        <w:t xml:space="preserve">Mean</w:t>
      </w:r>
      <w:r>
        <w:t xml:space="preserve">”</w:t>
      </w:r>
      <w:r>
        <w:t xml:space="preserve"> </w:t>
      </w:r>
      <w:r>
        <w:t xml:space="preserve">averages the prints that pass the health screen, a seat gauge (the</w:t>
      </w:r>
      <w:r>
        <w:t xml:space="preserve"> </w:t>
      </w:r>
      <w:r>
        <w:t xml:space="preserve">ratio of CFC-1000 to CFC-180 transmissibility) below 1.15 and no</w:t>
      </w:r>
      <w:r>
        <w:t xml:space="preserve"> </w:t>
      </w:r>
      <w:r>
        <w:t xml:space="preserve">drift flag. § marks a failed seat gauge and † a</w:t>
      </w:r>
      <w:r>
        <w:t xml:space="preserve"> </w:t>
      </w:r>
      <w:r>
        <w:t xml:space="preserve">transmissibility-drift flag.</w:t>
      </w:r>
      <w:r>
        <w:t xml:space="preserve"> </w:t>
      </w:r>
      <w:r>
        <w:rPr>
          <w:i/>
          <w:iCs/>
        </w:rPr>
        <w:t xml:space="preserve">E</w:t>
      </w:r>
      <w:r>
        <w:rPr>
          <w:vertAlign w:val="subscript"/>
        </w:rPr>
        <w:t xml:space="preserve">reb</w:t>
      </w:r>
      <w:r>
        <w:t xml:space="preserve"> </w:t>
      </w:r>
      <w:r>
        <w:t xml:space="preserve">is listed for</w:t>
      </w:r>
      <w:r>
        <w:t xml:space="preserve"> </w:t>
      </w:r>
      <w:r>
        <w:t xml:space="preserve">prints 1, 2, and 3.</w:t>
      </w:r>
      <w:bookmarkEnd w:id="90014"/>
    </w:p>
    <w:tbl>
      <w:tblPr>
        <w:tblStyle w:val="Table"/>
        <w:tblW w:type="dxa" w:w="6228"/>
        <w:jc w:val="start"/>
        <w:tblLayout w:type="fixed"/>
        <w:tblLook w:firstRow="1" w:lastRow="0" w:firstColumn="0" w:lastColumn="0" w:noHBand="0" w:noVBand="0" w:val="0020"/>
        <w:tblCaption w:val="Table 8 Batch-3 repeatability as stabilized t180 over three prints of the same nine designs, under the protocol of Table 6. Articles drranN, 2dranN, and dran3N are prints 1, 2, and 3. “Pred.” is the posterior-mean t180 archived before any batch-3 article was tested. “Mean” averages the prints that pass the health screen, a seat gauge (the ratio of CFC-1000 to CFC-180 transmissibility) below 1.15 and no drift flag. § marks a failed seat gauge and † a transmissibility-drift flag. Ereb is listed for prints 1, 2, and 3."/>
      </w:tblPr>
      <w:tblGrid>
        <w:gridCol w:w="610"/>
        <w:gridCol w:w="400"/>
        <w:gridCol w:w="610"/>
        <w:gridCol w:w="774"/>
        <w:gridCol w:w="774"/>
        <w:gridCol w:w="774"/>
        <w:gridCol w:w="692"/>
        <w:gridCol w:w="1594"/>
      </w:tblGrid>
      <w:tr>
        <w:trPr>
          <w:tblHeader w:val="true"/>
        </w:trPr>
        <w:tc>
          <w:tcPr/>
          <w:p>
            <w:pPr>
              <w:pStyle w:val="TableText"/>
              <w:jc w:val="center"/>
            </w:pPr>
            <w:r>
              <w:t xml:space="preserve">Trial</w:t>
            </w:r>
          </w:p>
        </w:tc>
        <w:tc>
          <w:tcPr/>
          <w:p>
            <w:pPr>
              <w:pStyle w:val="TableText"/>
              <w:jc w:val="center"/>
            </w:pPr>
            <w:r>
              <w:rPr>
                <w:i/>
                <w:iCs/>
              </w:rPr>
              <w:t xml:space="preserve">N</w:t>
            </w:r>
          </w:p>
        </w:tc>
        <w:tc>
          <w:tcPr/>
          <w:p>
            <w:pPr>
              <w:pStyle w:val="TableText"/>
              <w:jc w:val="center"/>
            </w:pPr>
            <w:r>
              <w:t xml:space="preserve">Pred.</w:t>
            </w:r>
          </w:p>
        </w:tc>
        <w:tc>
          <w:tcPr/>
          <w:p>
            <w:pPr>
              <w:pStyle w:val="TableText"/>
              <w:jc w:val="center"/>
            </w:pPr>
            <w:r>
              <w:t xml:space="preserve">Print 1</w:t>
            </w:r>
          </w:p>
        </w:tc>
        <w:tc>
          <w:tcPr/>
          <w:p>
            <w:pPr>
              <w:pStyle w:val="TableText"/>
              <w:jc w:val="center"/>
            </w:pPr>
            <w:r>
              <w:t xml:space="preserve">Print 2</w:t>
            </w:r>
          </w:p>
        </w:tc>
        <w:tc>
          <w:tcPr/>
          <w:p>
            <w:pPr>
              <w:pStyle w:val="TableText"/>
              <w:jc w:val="center"/>
            </w:pPr>
            <w:r>
              <w:t xml:space="preserve">Print 3</w:t>
            </w:r>
          </w:p>
        </w:tc>
        <w:tc>
          <w:tcPr/>
          <w:p>
            <w:pPr>
              <w:pStyle w:val="TableText"/>
              <w:jc w:val="center"/>
            </w:pPr>
            <w:r>
              <w:t xml:space="preserve">Mean</w:t>
            </w:r>
          </w:p>
        </w:tc>
        <w:tc>
          <w:tcPr/>
          <w:p>
            <w:pPr>
              <w:pStyle w:val="TableText"/>
              <w:jc w:val="center"/>
            </w:pPr>
            <w:r>
              <w:rPr>
                <w:i/>
                <w:iCs/>
              </w:rPr>
              <w:t xml:space="preserve">E</w:t>
            </w:r>
            <w:r>
              <w:rPr>
                <w:vertAlign w:val="subscript"/>
              </w:rPr>
              <w:t xml:space="preserve">reb</w:t>
            </w:r>
            <w:r>
              <w:t xml:space="preserve"> </w:t>
            </w:r>
            <w:r>
              <w:t xml:space="preserve">(mJ)</w:t>
            </w:r>
          </w:p>
        </w:tc>
      </w:tr>
      <w:tr>
        <w:tc>
          <w:tcPr/>
          <w:p>
            <w:pPr>
              <w:pStyle w:val="TableText"/>
              <w:jc w:val="center"/>
            </w:pPr>
            <w:r>
              <w:t xml:space="preserve">28</w:t>
            </w:r>
          </w:p>
        </w:tc>
        <w:tc>
          <w:tcPr/>
          <w:p>
            <w:pPr>
              <w:pStyle w:val="TableText"/>
              <w:jc w:val="center"/>
            </w:pPr>
            <w:r>
              <w:t xml:space="preserve">5</w:t>
            </w:r>
          </w:p>
        </w:tc>
        <w:tc>
          <w:tcPr/>
          <w:p>
            <w:pPr>
              <w:pStyle w:val="TableText"/>
              <w:jc w:val="center"/>
            </w:pPr>
            <w:r>
              <w:t xml:space="preserve">1.059</w:t>
            </w:r>
          </w:p>
        </w:tc>
        <w:tc>
          <w:tcPr/>
          <w:p>
            <w:pPr>
              <w:pStyle w:val="TableText"/>
              <w:jc w:val="center"/>
            </w:pPr>
            <w:r>
              <w:t xml:space="preserve">1.0373</w:t>
            </w:r>
          </w:p>
        </w:tc>
        <w:tc>
          <w:tcPr/>
          <w:p>
            <w:pPr>
              <w:pStyle w:val="TableText"/>
              <w:jc w:val="center"/>
            </w:pPr>
            <w:r>
              <w:t xml:space="preserve">1.0604</w:t>
            </w:r>
          </w:p>
        </w:tc>
        <w:tc>
          <w:tcPr/>
          <w:p>
            <w:pPr>
              <w:pStyle w:val="TableText"/>
              <w:jc w:val="center"/>
            </w:pPr>
            <w:r>
              <w:t xml:space="preserve">1.1679</w:t>
            </w:r>
            <w:r>
              <w:rPr>
                <w:vertAlign w:val="superscript"/>
              </w:rPr>
              <w:t xml:space="preserve">§</w:t>
            </w:r>
          </w:p>
        </w:tc>
        <w:tc>
          <w:tcPr/>
          <w:p>
            <w:pPr>
              <w:pStyle w:val="TableText"/>
              <w:jc w:val="center"/>
            </w:pPr>
            <w:r>
              <w:t xml:space="preserve">1.0489</w:t>
            </w:r>
          </w:p>
        </w:tc>
        <w:tc>
          <w:tcPr/>
          <w:p>
            <w:pPr>
              <w:pStyle w:val="TableText"/>
              <w:jc w:val="center"/>
            </w:pPr>
            <w:r>
              <w:t xml:space="preserve">5.0 / 5.0 / 7.2</w:t>
            </w:r>
          </w:p>
        </w:tc>
      </w:tr>
      <w:tr>
        <w:tc>
          <w:tcPr/>
          <w:p>
            <w:pPr>
              <w:pStyle w:val="TableText"/>
              <w:jc w:val="center"/>
            </w:pPr>
            <w:r>
              <w:t xml:space="preserve">29</w:t>
            </w:r>
          </w:p>
        </w:tc>
        <w:tc>
          <w:tcPr/>
          <w:p>
            <w:pPr>
              <w:pStyle w:val="TableText"/>
              <w:jc w:val="center"/>
            </w:pPr>
            <w:r>
              <w:t xml:space="preserve">4</w:t>
            </w:r>
          </w:p>
        </w:tc>
        <w:tc>
          <w:tcPr/>
          <w:p>
            <w:pPr>
              <w:pStyle w:val="TableText"/>
              <w:jc w:val="center"/>
            </w:pPr>
            <w:r>
              <w:t xml:space="preserve">1.032</w:t>
            </w:r>
          </w:p>
        </w:tc>
        <w:tc>
          <w:tcPr/>
          <w:p>
            <w:pPr>
              <w:pStyle w:val="TableText"/>
              <w:jc w:val="center"/>
            </w:pPr>
            <w:r>
              <w:t xml:space="preserve">1.0344</w:t>
            </w:r>
          </w:p>
        </w:tc>
        <w:tc>
          <w:tcPr/>
          <w:p>
            <w:pPr>
              <w:pStyle w:val="TableText"/>
              <w:jc w:val="center"/>
            </w:pPr>
            <w:r>
              <w:t xml:space="preserve">1.0433</w:t>
            </w:r>
          </w:p>
        </w:tc>
        <w:tc>
          <w:tcPr/>
          <w:p>
            <w:pPr>
              <w:pStyle w:val="TableText"/>
              <w:jc w:val="center"/>
            </w:pPr>
            <w:r>
              <w:t xml:space="preserve">1.0201</w:t>
            </w:r>
          </w:p>
        </w:tc>
        <w:tc>
          <w:tcPr/>
          <w:p>
            <w:pPr>
              <w:pStyle w:val="TableText"/>
              <w:jc w:val="center"/>
            </w:pPr>
            <w:r>
              <w:t xml:space="preserve">1.0326</w:t>
            </w:r>
          </w:p>
        </w:tc>
        <w:tc>
          <w:tcPr/>
          <w:p>
            <w:pPr>
              <w:pStyle w:val="TableText"/>
              <w:jc w:val="center"/>
            </w:pPr>
            <w:r>
              <w:t xml:space="preserve">9.1 / 11.2 / 15.5</w:t>
            </w:r>
          </w:p>
        </w:tc>
      </w:tr>
      <w:tr>
        <w:tc>
          <w:tcPr/>
          <w:p>
            <w:pPr>
              <w:pStyle w:val="TableText"/>
              <w:jc w:val="center"/>
            </w:pPr>
            <w:r>
              <w:t xml:space="preserve">30</w:t>
            </w:r>
          </w:p>
        </w:tc>
        <w:tc>
          <w:tcPr/>
          <w:p>
            <w:pPr>
              <w:pStyle w:val="TableText"/>
              <w:jc w:val="center"/>
            </w:pPr>
            <w:r>
              <w:t xml:space="preserve">9</w:t>
            </w:r>
          </w:p>
        </w:tc>
        <w:tc>
          <w:tcPr/>
          <w:p>
            <w:pPr>
              <w:pStyle w:val="TableText"/>
              <w:jc w:val="center"/>
            </w:pPr>
            <w:r>
              <w:t xml:space="preserve">1.058</w:t>
            </w:r>
          </w:p>
        </w:tc>
        <w:tc>
          <w:tcPr/>
          <w:p>
            <w:pPr>
              <w:pStyle w:val="TableText"/>
              <w:jc w:val="center"/>
            </w:pPr>
            <w:r>
              <w:t xml:space="preserve">1.0425</w:t>
            </w:r>
          </w:p>
        </w:tc>
        <w:tc>
          <w:tcPr/>
          <w:p>
            <w:pPr>
              <w:pStyle w:val="TableText"/>
              <w:jc w:val="center"/>
            </w:pPr>
            <w:r>
              <w:t xml:space="preserve">1.0451</w:t>
            </w:r>
          </w:p>
        </w:tc>
        <w:tc>
          <w:tcPr/>
          <w:p>
            <w:pPr>
              <w:pStyle w:val="TableText"/>
              <w:jc w:val="center"/>
            </w:pPr>
            <w:r>
              <w:t xml:space="preserve">1.0438</w:t>
            </w:r>
          </w:p>
        </w:tc>
        <w:tc>
          <w:tcPr/>
          <w:p>
            <w:pPr>
              <w:pStyle w:val="TableText"/>
              <w:jc w:val="center"/>
            </w:pPr>
            <w:r>
              <w:t xml:space="preserve">1.0438</w:t>
            </w:r>
          </w:p>
        </w:tc>
        <w:tc>
          <w:tcPr/>
          <w:p>
            <w:pPr>
              <w:pStyle w:val="TableText"/>
              <w:jc w:val="center"/>
            </w:pPr>
            <w:r>
              <w:t xml:space="preserve">5.2 / 15.1 / 6.7</w:t>
            </w:r>
          </w:p>
        </w:tc>
      </w:tr>
      <w:tr>
        <w:tc>
          <w:tcPr/>
          <w:p>
            <w:pPr>
              <w:pStyle w:val="TableText"/>
              <w:jc w:val="center"/>
            </w:pPr>
            <w:r>
              <w:t xml:space="preserve">31</w:t>
            </w:r>
          </w:p>
        </w:tc>
        <w:tc>
          <w:tcPr/>
          <w:p>
            <w:pPr>
              <w:pStyle w:val="TableText"/>
              <w:jc w:val="center"/>
            </w:pPr>
            <w:r>
              <w:t xml:space="preserve">3</w:t>
            </w:r>
          </w:p>
        </w:tc>
        <w:tc>
          <w:tcPr/>
          <w:p>
            <w:pPr>
              <w:pStyle w:val="TableText"/>
              <w:jc w:val="center"/>
            </w:pPr>
            <w:r>
              <w:t xml:space="preserve">1.043</w:t>
            </w:r>
          </w:p>
        </w:tc>
        <w:tc>
          <w:tcPr/>
          <w:p>
            <w:pPr>
              <w:pStyle w:val="TableText"/>
              <w:jc w:val="center"/>
            </w:pPr>
            <w:r>
              <w:t xml:space="preserve">1.0389</w:t>
            </w:r>
          </w:p>
        </w:tc>
        <w:tc>
          <w:tcPr/>
          <w:p>
            <w:pPr>
              <w:pStyle w:val="TableText"/>
              <w:jc w:val="center"/>
            </w:pPr>
            <w:r>
              <w:t xml:space="preserve">1.0533</w:t>
            </w:r>
          </w:p>
        </w:tc>
        <w:tc>
          <w:tcPr/>
          <w:p>
            <w:pPr>
              <w:pStyle w:val="TableText"/>
              <w:jc w:val="center"/>
            </w:pPr>
            <w:r>
              <w:t xml:space="preserve">1.0366</w:t>
            </w:r>
          </w:p>
        </w:tc>
        <w:tc>
          <w:tcPr/>
          <w:p>
            <w:pPr>
              <w:pStyle w:val="TableText"/>
              <w:jc w:val="center"/>
            </w:pPr>
            <w:r>
              <w:t xml:space="preserve">1.0429</w:t>
            </w:r>
          </w:p>
        </w:tc>
        <w:tc>
          <w:tcPr/>
          <w:p>
            <w:pPr>
              <w:pStyle w:val="TableText"/>
              <w:jc w:val="center"/>
            </w:pPr>
            <w:r>
              <w:t xml:space="preserve">4.2 / 9.4 / 7.0</w:t>
            </w:r>
          </w:p>
        </w:tc>
      </w:tr>
      <w:tr>
        <w:tc>
          <w:tcPr/>
          <w:p>
            <w:pPr>
              <w:pStyle w:val="TableText"/>
              <w:jc w:val="center"/>
            </w:pPr>
            <w:r>
              <w:t xml:space="preserve">32</w:t>
            </w:r>
          </w:p>
        </w:tc>
        <w:tc>
          <w:tcPr/>
          <w:p>
            <w:pPr>
              <w:pStyle w:val="TableText"/>
              <w:jc w:val="center"/>
            </w:pPr>
            <w:r>
              <w:t xml:space="preserve">7</w:t>
            </w:r>
          </w:p>
        </w:tc>
        <w:tc>
          <w:tcPr/>
          <w:p>
            <w:pPr>
              <w:pStyle w:val="TableText"/>
              <w:jc w:val="center"/>
            </w:pPr>
            <w:r>
              <w:t xml:space="preserve">1.020</w:t>
            </w:r>
          </w:p>
        </w:tc>
        <w:tc>
          <w:tcPr/>
          <w:p>
            <w:pPr>
              <w:pStyle w:val="TableText"/>
              <w:jc w:val="center"/>
            </w:pPr>
            <w:r>
              <w:t xml:space="preserve">1.2513</w:t>
            </w:r>
            <w:r>
              <w:rPr>
                <w:vertAlign w:val="superscript"/>
              </w:rPr>
              <w:t xml:space="preserve">§</w:t>
            </w:r>
          </w:p>
        </w:tc>
        <w:tc>
          <w:tcPr/>
          <w:p>
            <w:pPr>
              <w:pStyle w:val="TableText"/>
              <w:jc w:val="center"/>
            </w:pPr>
            <w:r>
              <w:t xml:space="preserve">1.0286</w:t>
            </w:r>
          </w:p>
        </w:tc>
        <w:tc>
          <w:tcPr/>
          <w:p>
            <w:pPr>
              <w:pStyle w:val="TableText"/>
              <w:jc w:val="center"/>
            </w:pPr>
            <w:r>
              <w:t xml:space="preserve">1.0448</w:t>
            </w:r>
          </w:p>
        </w:tc>
        <w:tc>
          <w:tcPr/>
          <w:p>
            <w:pPr>
              <w:pStyle w:val="TableText"/>
              <w:jc w:val="center"/>
            </w:pPr>
            <w:r>
              <w:t xml:space="preserve">1.0367</w:t>
            </w:r>
          </w:p>
        </w:tc>
        <w:tc>
          <w:tcPr/>
          <w:p>
            <w:pPr>
              <w:pStyle w:val="TableText"/>
              <w:jc w:val="center"/>
            </w:pPr>
            <w:r>
              <w:t xml:space="preserve">8.2 / 11.6 / 10.8</w:t>
            </w:r>
          </w:p>
        </w:tc>
      </w:tr>
      <w:tr>
        <w:tc>
          <w:tcPr/>
          <w:p>
            <w:pPr>
              <w:pStyle w:val="TableText"/>
              <w:jc w:val="center"/>
            </w:pPr>
            <w:r>
              <w:t xml:space="preserve">33</w:t>
            </w:r>
          </w:p>
        </w:tc>
        <w:tc>
          <w:tcPr/>
          <w:p>
            <w:pPr>
              <w:pStyle w:val="TableText"/>
              <w:jc w:val="center"/>
            </w:pPr>
            <w:r>
              <w:t xml:space="preserve">2</w:t>
            </w:r>
          </w:p>
        </w:tc>
        <w:tc>
          <w:tcPr/>
          <w:p>
            <w:pPr>
              <w:pStyle w:val="TableText"/>
              <w:jc w:val="center"/>
            </w:pPr>
            <w:r>
              <w:t xml:space="preserve">1.056</w:t>
            </w:r>
          </w:p>
        </w:tc>
        <w:tc>
          <w:tcPr/>
          <w:p>
            <w:pPr>
              <w:pStyle w:val="TableText"/>
              <w:jc w:val="center"/>
            </w:pPr>
            <w:r>
              <w:t xml:space="preserve">1.0345</w:t>
            </w:r>
          </w:p>
        </w:tc>
        <w:tc>
          <w:tcPr/>
          <w:p>
            <w:pPr>
              <w:pStyle w:val="TableText"/>
              <w:jc w:val="center"/>
            </w:pPr>
            <w:r>
              <w:t xml:space="preserve">1.0900</w:t>
            </w:r>
            <w:r>
              <w:rPr>
                <w:vertAlign w:val="superscript"/>
              </w:rPr>
              <w:t xml:space="preserve">§</w:t>
            </w:r>
          </w:p>
        </w:tc>
        <w:tc>
          <w:tcPr/>
          <w:p>
            <w:pPr>
              <w:pStyle w:val="TableText"/>
              <w:jc w:val="center"/>
            </w:pPr>
            <w:r>
              <w:t xml:space="preserve">1.0386</w:t>
            </w:r>
          </w:p>
        </w:tc>
        <w:tc>
          <w:tcPr/>
          <w:p>
            <w:pPr>
              <w:pStyle w:val="TableText"/>
              <w:jc w:val="center"/>
            </w:pPr>
            <w:r>
              <w:t xml:space="preserve">1.0366</w:t>
            </w:r>
          </w:p>
        </w:tc>
        <w:tc>
          <w:tcPr/>
          <w:p>
            <w:pPr>
              <w:pStyle w:val="TableText"/>
              <w:jc w:val="center"/>
            </w:pPr>
            <w:r>
              <w:t xml:space="preserve">11.8 / 4.5 / 4.5</w:t>
            </w:r>
          </w:p>
        </w:tc>
      </w:tr>
      <w:tr>
        <w:tc>
          <w:tcPr/>
          <w:p>
            <w:pPr>
              <w:pStyle w:val="TableText"/>
              <w:jc w:val="center"/>
            </w:pPr>
            <w:r>
              <w:t xml:space="preserve">34</w:t>
            </w:r>
          </w:p>
        </w:tc>
        <w:tc>
          <w:tcPr/>
          <w:p>
            <w:pPr>
              <w:pStyle w:val="TableText"/>
              <w:jc w:val="center"/>
            </w:pPr>
            <w:r>
              <w:t xml:space="preserve">6</w:t>
            </w:r>
          </w:p>
        </w:tc>
        <w:tc>
          <w:tcPr/>
          <w:p>
            <w:pPr>
              <w:pStyle w:val="TableText"/>
              <w:jc w:val="center"/>
            </w:pPr>
            <w:r>
              <w:t xml:space="preserve">1.065</w:t>
            </w:r>
          </w:p>
        </w:tc>
        <w:tc>
          <w:tcPr/>
          <w:p>
            <w:pPr>
              <w:pStyle w:val="TableText"/>
              <w:jc w:val="center"/>
            </w:pPr>
            <w:r>
              <w:t xml:space="preserve">1.0471</w:t>
            </w:r>
          </w:p>
        </w:tc>
        <w:tc>
          <w:tcPr/>
          <w:p>
            <w:pPr>
              <w:pStyle w:val="TableText"/>
              <w:jc w:val="center"/>
            </w:pPr>
            <w:r>
              <w:t xml:space="preserve">1.0859</w:t>
            </w:r>
            <w:r>
              <w:rPr>
                <w:vertAlign w:val="superscript"/>
              </w:rPr>
              <w:t xml:space="preserve">†</w:t>
            </w:r>
          </w:p>
        </w:tc>
        <w:tc>
          <w:tcPr/>
          <w:p>
            <w:pPr>
              <w:pStyle w:val="TableText"/>
              <w:jc w:val="center"/>
            </w:pPr>
            <w:r>
              <w:t xml:space="preserve">1.0353</w:t>
            </w:r>
          </w:p>
        </w:tc>
        <w:tc>
          <w:tcPr/>
          <w:p>
            <w:pPr>
              <w:pStyle w:val="TableText"/>
              <w:jc w:val="center"/>
            </w:pPr>
            <w:r>
              <w:t xml:space="preserve">1.0412</w:t>
            </w:r>
          </w:p>
        </w:tc>
        <w:tc>
          <w:tcPr/>
          <w:p>
            <w:pPr>
              <w:pStyle w:val="TableText"/>
              <w:jc w:val="center"/>
            </w:pPr>
            <w:r>
              <w:t xml:space="preserve">4.8 / 7.7 / 6.8</w:t>
            </w:r>
          </w:p>
        </w:tc>
      </w:tr>
      <w:tr>
        <w:tc>
          <w:tcPr/>
          <w:p>
            <w:pPr>
              <w:pStyle w:val="TableText"/>
              <w:jc w:val="center"/>
            </w:pPr>
            <w:r>
              <w:t xml:space="preserve">35</w:t>
            </w:r>
          </w:p>
        </w:tc>
        <w:tc>
          <w:tcPr/>
          <w:p>
            <w:pPr>
              <w:pStyle w:val="TableText"/>
              <w:jc w:val="center"/>
            </w:pPr>
            <w:r>
              <w:t xml:space="preserve">8</w:t>
            </w:r>
          </w:p>
        </w:tc>
        <w:tc>
          <w:tcPr/>
          <w:p>
            <w:pPr>
              <w:pStyle w:val="TableText"/>
              <w:jc w:val="center"/>
            </w:pPr>
            <w:r>
              <w:t xml:space="preserve">1.039</w:t>
            </w:r>
          </w:p>
        </w:tc>
        <w:tc>
          <w:tcPr/>
          <w:p>
            <w:pPr>
              <w:pStyle w:val="TableText"/>
              <w:jc w:val="center"/>
            </w:pPr>
            <w:r>
              <w:t xml:space="preserve">0.9804</w:t>
            </w:r>
            <w:r>
              <w:rPr>
                <w:vertAlign w:val="superscript"/>
              </w:rPr>
              <w:t xml:space="preserve">†</w:t>
            </w:r>
          </w:p>
        </w:tc>
        <w:tc>
          <w:tcPr/>
          <w:p>
            <w:pPr>
              <w:pStyle w:val="TableText"/>
              <w:jc w:val="center"/>
            </w:pPr>
            <w:r>
              <w:t xml:space="preserve">1.0109</w:t>
            </w:r>
          </w:p>
        </w:tc>
        <w:tc>
          <w:tcPr/>
          <w:p>
            <w:pPr>
              <w:pStyle w:val="TableText"/>
              <w:jc w:val="center"/>
            </w:pPr>
            <w:r>
              <w:t xml:space="preserve">0.9958</w:t>
            </w:r>
          </w:p>
        </w:tc>
        <w:tc>
          <w:tcPr/>
          <w:p>
            <w:pPr>
              <w:pStyle w:val="TableText"/>
              <w:jc w:val="center"/>
            </w:pPr>
            <w:r>
              <w:t xml:space="preserve">1.0033</w:t>
            </w:r>
          </w:p>
        </w:tc>
        <w:tc>
          <w:tcPr/>
          <w:p>
            <w:pPr>
              <w:pStyle w:val="TableText"/>
              <w:jc w:val="center"/>
            </w:pPr>
            <w:r>
              <w:t xml:space="preserve">11.2 / 9.9 / 8.3</w:t>
            </w:r>
          </w:p>
        </w:tc>
      </w:tr>
      <w:tr>
        <w:tc>
          <w:tcPr/>
          <w:p>
            <w:pPr>
              <w:pStyle w:val="TableText"/>
              <w:jc w:val="center"/>
            </w:pPr>
            <w:r>
              <w:t xml:space="preserve">36</w:t>
            </w:r>
          </w:p>
        </w:tc>
        <w:tc>
          <w:tcPr/>
          <w:p>
            <w:pPr>
              <w:pStyle w:val="TableText"/>
              <w:jc w:val="center"/>
            </w:pPr>
            <w:r>
              <w:t xml:space="preserve">1</w:t>
            </w:r>
          </w:p>
        </w:tc>
        <w:tc>
          <w:tcPr/>
          <w:p>
            <w:pPr>
              <w:pStyle w:val="TableText"/>
              <w:jc w:val="center"/>
            </w:pPr>
            <w:r>
              <w:t xml:space="preserve">1.051</w:t>
            </w:r>
          </w:p>
        </w:tc>
        <w:tc>
          <w:tcPr/>
          <w:p>
            <w:pPr>
              <w:pStyle w:val="TableText"/>
              <w:jc w:val="center"/>
            </w:pPr>
            <w:r>
              <w:t xml:space="preserve">1.0326</w:t>
            </w:r>
          </w:p>
        </w:tc>
        <w:tc>
          <w:tcPr/>
          <w:p>
            <w:pPr>
              <w:pStyle w:val="TableText"/>
              <w:jc w:val="center"/>
            </w:pPr>
            <w:r>
              <w:t xml:space="preserve">1.0791</w:t>
            </w:r>
            <w:r>
              <w:rPr>
                <w:vertAlign w:val="superscript"/>
              </w:rPr>
              <w:t xml:space="preserve">§</w:t>
            </w:r>
          </w:p>
        </w:tc>
        <w:tc>
          <w:tcPr/>
          <w:p>
            <w:pPr>
              <w:pStyle w:val="TableText"/>
              <w:jc w:val="center"/>
            </w:pPr>
            <w:r>
              <w:t xml:space="preserve">1.0209</w:t>
            </w:r>
          </w:p>
        </w:tc>
        <w:tc>
          <w:tcPr/>
          <w:p>
            <w:pPr>
              <w:pStyle w:val="TableText"/>
              <w:jc w:val="center"/>
            </w:pPr>
            <w:r>
              <w:t xml:space="preserve">1.0267</w:t>
            </w:r>
          </w:p>
        </w:tc>
        <w:tc>
          <w:tcPr/>
          <w:p>
            <w:pPr>
              <w:pStyle w:val="TableText"/>
              <w:jc w:val="center"/>
            </w:pPr>
            <w:r>
              <w:t xml:space="preserve">18.1 / 7.3 / 9.6</w:t>
            </w:r>
          </w:p>
        </w:tc>
      </w:tr>
    </w:tbl>
    <w:bookmarkEnd w:id="60"/>
    <w:p>
      <w:pPr>
        <w:pStyle w:val="CaptionedFigure"/>
      </w:pPr>
      <w:r>
        <w:drawing>
          <wp:inline>
            <wp:extent cx="5310835" cy="2012527"/>
            <wp:effectExtent b="0" l="0" r="0" t="0"/>
            <wp:docPr descr="" title="" id="62" name="Picture"/>
            <a:graphic>
              <a:graphicData uri="http://schemas.openxmlformats.org/drawingml/2006/picture">
                <pic:pic>
                  <pic:nvPicPr>
                    <pic:cNvPr descr="/home/runner/work/tensegrity-optimization/tensegrity-optimization/figures/analysis/round3-three-print.png" id="63" name="Picture"/>
                    <pic:cNvPicPr>
                      <a:picLocks noChangeArrowheads="1" noChangeAspect="1"/>
                    </pic:cNvPicPr>
                  </pic:nvPicPr>
                  <pic:blipFill>
                    <a:blip r:embed="rId61"/>
                    <a:stretch>
                      <a:fillRect/>
                    </a:stretch>
                  </pic:blipFill>
                  <pic:spPr bwMode="auto">
                    <a:xfrm>
                      <a:off x="0" y="0"/>
                      <a:ext cx="5310835" cy="2012527"/>
                    </a:xfrm>
                    <a:prstGeom prst="rect">
                      <a:avLst/>
                    </a:prstGeom>
                    <a:noFill/>
                    <a:ln w="9525">
                      <a:noFill/>
                      <a:headEnd/>
                      <a:tailEnd/>
                    </a:ln>
                  </pic:spPr>
                </pic:pic>
              </a:graphicData>
            </a:graphic>
          </wp:inline>
        </w:drawing>
      </w:r>
    </w:p>
    <w:p>
      <w:pPr>
        <w:pStyle w:val="ImageCaption"/>
      </w:pPr>
      <w:bookmarkStart w:id="90015" w:name="cap_fig8"/>
      <w:r>
        <w:t xml:space="preserve">Fig. 8 Three prints of each batch-3 design.</w:t>
      </w:r>
      <w:r>
        <w:t xml:space="preserve"> </w:t>
      </w:r>
      <w:r>
        <w:rPr>
          <w:i/>
          <w:iCs/>
        </w:rPr>
        <w:t xml:space="preserve">(a)</w:t>
      </w:r>
      <w:r>
        <w:t xml:space="preserve"> </w:t>
      </w:r>
      <w:r>
        <w:t xml:space="preserve">Transmissibility</w:t>
      </w:r>
      <w:r>
        <w:t xml:space="preserve"> </w:t>
      </w:r>
      <w:r>
        <w:t xml:space="preserve">and</w:t>
      </w:r>
      <w:r>
        <w:t xml:space="preserve"> </w:t>
      </w:r>
      <w:r>
        <w:rPr>
          <w:i/>
          <w:iCs/>
        </w:rPr>
        <w:t xml:space="preserve">(b)</w:t>
      </w:r>
      <w:r>
        <w:t xml:space="preserve"> </w:t>
      </w:r>
      <w:r>
        <w:rPr>
          <w:i/>
          <w:iCs/>
        </w:rPr>
        <w:t xml:space="preserve">E</w:t>
      </w:r>
      <w:r>
        <w:rPr>
          <w:vertAlign w:val="subscript"/>
        </w:rPr>
        <w:t xml:space="preserve">reb</w:t>
      </w:r>
      <w:r>
        <w:t xml:space="preserve"> </w:t>
      </w:r>
      <w:r>
        <w:t xml:space="preserve">for print 1 (circles), print 2</w:t>
      </w:r>
      <w:r>
        <w:t xml:space="preserve"> </w:t>
      </w:r>
      <w:r>
        <w:t xml:space="preserve">(squares), and print 3 (triangles), with the designs ordered by their</w:t>
      </w:r>
      <w:r>
        <w:t xml:space="preserve"> </w:t>
      </w:r>
      <w:r>
        <w:t xml:space="preserve">screened mean transmissibility. Open red markers are sessions with a</w:t>
      </w:r>
      <w:r>
        <w:t xml:space="preserve"> </w:t>
      </w:r>
      <w:r>
        <w:t xml:space="preserve">failed seat gauge or a drift flag, which the screened means leave out.</w:t>
      </w:r>
      <w:r>
        <w:t xml:space="preserve"> </w:t>
      </w:r>
      <w:r>
        <w:t xml:space="preserve">The dashed line marks</w:t>
      </w:r>
      <w:r>
        <w:t xml:space="preserve"> </w:t>
      </w:r>
      <w:r>
        <w:rPr>
          <w:i/>
          <w:iCs/>
        </w:rPr>
        <w:t xml:space="preserve">t</w:t>
      </w:r>
      <w:r>
        <w:rPr>
          <w:vertAlign w:val="subscript"/>
        </w:rPr>
        <w:t xml:space="preserve">180</w:t>
      </w:r>
      <w:r>
        <w:t xml:space="preserve"> = 1.</w:t>
      </w:r>
      <w:bookmarkEnd w:id="90015"/>
    </w:p>
    <w:p>
      <w:pPr>
        <w:pStyle w:val="SectionBreak"/>
        <w:sectPr>
          <w:type w:val="continuous"/>
          <w:pgSz w:w="12240" w:h="16197"/>
          <w:pgMar w:left="1200" w:right="1200" w:top="920" w:bottom="1320" w:header="500" w:footer="820"/>
          <w:cols w:space="480"/>
        </w:sectPr>
      </w:pPr>
    </w:p>
    <w:bookmarkStart w:id="64" w:name="lbl_sec_results_audits"/>
    <w:p>
      <w:pPr>
        <w:pStyle w:val="RuninHeading2"/>
      </w:pPr>
      <w:r>
        <w:rPr>
          <w:b/>
          <w:bCs/>
        </w:rPr>
        <w:t xml:space="preserve">4.3 Surrogate Audits Across the Campaign.</w:t>
      </w:r>
      <w:r>
        <w:t xml:space="preserve"> </w:t>
      </w:r>
      <w:r>
        <w:t xml:space="preserve">We audit each refit with leave-one-out cross-validation (LOOCV),</w:t>
      </w:r>
      <w:r>
        <w:t xml:space="preserve"> </w:t>
      </w:r>
      <w:r>
        <w:t xml:space="preserve">using one full NUTS refit per held-out article, and with length-scale</w:t>
      </w:r>
      <w:r>
        <w:t xml:space="preserve"> </w:t>
      </w:r>
      <w:r>
        <w:t xml:space="preserve">diagnostics. Figure </w:t>
      </w:r>
      <w:hyperlink w:anchor="lbl_fig_sensitivity">
        <w:r>
          <w:rPr>
            <w:rStyle w:val="Hyperlink"/>
          </w:rPr>
          <w:t xml:space="preserve">9</w:t>
        </w:r>
      </w:hyperlink>
      <w:r>
        <w:t xml:space="preserve"> </w:t>
      </w:r>
      <w:r>
        <w:t xml:space="preserve">reports the seed-state</w:t>
      </w:r>
      <w:r>
        <w:t xml:space="preserve"> </w:t>
      </w:r>
      <w:r>
        <w:t xml:space="preserve">SAASBO length-scale diagnostics. At seven observations for six</w:t>
      </w:r>
      <w:r>
        <w:t xml:space="preserve"> </w:t>
      </w:r>
      <w:r>
        <w:t xml:space="preserve">correlated inputs, these are prior-sensitive model diagnostics only,</w:t>
      </w:r>
      <w:r>
        <w:t xml:space="preserve"> </w:t>
      </w:r>
      <w:r>
        <w:t xml:space="preserve">and they support no claim of variable relevance or ranking.</w:t>
      </w:r>
    </w:p>
    <w:bookmarkEnd w:id="64"/>
    <w:p>
      <w:pPr>
        <w:pStyle w:val="BodyText"/>
      </w:pPr>
      <w:r>
        <w:t xml:space="preserve">Held-out point accuracy</w:t>
      </w:r>
      <w:r>
        <w:t xml:space="preserve"> </w:t>
      </w:r>
      <w:r>
        <w:rPr>
          <w:i/>
          <w:iCs/>
        </w:rPr>
        <w:t xml:space="preserve">declined</w:t>
      </w:r>
      <w:r>
        <w:t xml:space="preserve"> </w:t>
      </w:r>
      <w:r>
        <w:t xml:space="preserve">as the campaign grew. The</w:t>
      </w:r>
      <w:r>
        <w:t xml:space="preserve"> </w:t>
      </w:r>
      <w:r>
        <w:rPr>
          <w:i/>
          <w:iCs/>
        </w:rPr>
        <w:t xml:space="preserve">t</w:t>
      </w:r>
      <w:r>
        <w:rPr>
          <w:vertAlign w:val="subscript"/>
        </w:rPr>
        <w:t xml:space="preserve">180</w:t>
      </w:r>
      <w:r>
        <w:t xml:space="preserve"> </w:t>
      </w:r>
      <w:r>
        <w:t xml:space="preserve">LOOCV MAPE was 2.9% with rank correlation +0.76 on the</w:t>
      </w:r>
      <w:r>
        <w:t xml:space="preserve"> </w:t>
      </w:r>
      <w:r>
        <w:t xml:space="preserve">seed state (8 articles, 6 model inputs), 5.4% and +0.60 after</w:t>
      </w:r>
      <w:r>
        <w:t xml:space="preserve"> </w:t>
      </w:r>
      <w:r>
        <w:t xml:space="preserve">batch 2 (17 articles), and 6.2% and +0.19 after batch 3 (26</w:t>
      </w:r>
      <w:r>
        <w:t xml:space="preserve"> </w:t>
      </w:r>
      <w:r>
        <w:t xml:space="preserve">articles, 12 inputs). The</w:t>
      </w:r>
      <w:r>
        <w:t xml:space="preserve"> </w:t>
      </w:r>
      <w:r>
        <w:rPr>
          <w:i/>
          <w:iCs/>
        </w:rPr>
        <w:t xml:space="preserve">E</w:t>
      </w:r>
      <w:r>
        <w:rPr>
          <w:vertAlign w:val="subscript"/>
        </w:rPr>
        <w:t xml:space="preserve">reb</w:t>
      </w:r>
      <w:r>
        <w:t xml:space="preserve"> </w:t>
      </w:r>
      <w:r>
        <w:t xml:space="preserve">MAPE was 29.3%, 23.6%, and</w:t>
      </w:r>
      <w:r>
        <w:t xml:space="preserve"> </w:t>
      </w:r>
      <w:r>
        <w:t xml:space="preserve">32.2% at the same states. The fold-level records are archived</w:t>
      </w:r>
      <w:r>
        <w:t xml:space="preserve"> </w:t>
      </w:r>
      <w:r>
        <w:t xml:space="preserve">with the campaign data. Three changes coincided and are confounded:</w:t>
      </w:r>
      <w:r>
        <w:t xml:space="preserve"> </w:t>
      </w:r>
      <w:r>
        <w:t xml:space="preserve">the input space doubled from 6 to 12 while the data grew only from</w:t>
      </w:r>
      <w:r>
        <w:t xml:space="preserve"> </w:t>
      </w:r>
      <w:r>
        <w:t xml:space="preserve">17 to 26, four of the six added axes carry a single value per batch</w:t>
      </w:r>
      <w:r>
        <w:t xml:space="preserve"> </w:t>
      </w:r>
      <w:r>
        <w:t xml:space="preserve">and are therefore perfectly confounded with batch, and batch 3</w:t>
      </w:r>
      <w:r>
        <w:t xml:space="preserve"> </w:t>
      </w:r>
      <w:r>
        <w:t xml:space="preserve">itself added the campaign’s largest outliers. The held-out posterior</w:t>
      </w:r>
      <w:r>
        <w:t xml:space="preserve"> </w:t>
      </w:r>
      <w:r>
        <w:t xml:space="preserve">shrinks predictions toward the pooled mean, so it misses the</w:t>
      </w:r>
      <w:r>
        <w:t xml:space="preserve"> </w:t>
      </w:r>
      <w:r>
        <w:t xml:space="preserve">campaign’s extremes. We therefore read the predicted columns as a</w:t>
      </w:r>
      <w:r>
        <w:t xml:space="preserve"> </w:t>
      </w:r>
      <w:r>
        <w:t xml:space="preserve">record of what the model expected when it chose each design, rather</w:t>
      </w:r>
      <w:r>
        <w:t xml:space="preserve"> </w:t>
      </w:r>
      <w:r>
        <w:t xml:space="preserve">than as forecasts.</w:t>
      </w:r>
      <w:r>
        <w:t xml:space="preserve"> </w:t>
      </w:r>
      <w:r>
        <w:t xml:space="preserve">Batch 4’s value was the design family it selected and the record it</w:t>
      </w:r>
      <w:r>
        <w:t xml:space="preserve"> </w:t>
      </w:r>
      <w:r>
        <w:t xml:space="preserve">found, not its point accuracy, and its best-predicted article was</w:t>
      </w:r>
      <w:r>
        <w:t xml:space="preserve"> </w:t>
      </w:r>
      <w:r>
        <w:t xml:space="preserve">the record.</w:t>
      </w:r>
    </w:p>
    <w:p>
      <w:pPr>
        <w:pStyle w:val="BodyText"/>
      </w:pPr>
      <w:r>
        <w:t xml:space="preserve">Plain LOOCV also leaks once replicates exist. When one print of a</w:t>
      </w:r>
      <w:r>
        <w:t xml:space="preserve"> </w:t>
      </w:r>
      <w:r>
        <w:t xml:space="preserve">repeated design is held out, its twin remains in training at nearly</w:t>
      </w:r>
      <w:r>
        <w:t xml:space="preserve"> </w:t>
      </w:r>
      <w:r>
        <w:t xml:space="preserve">identical coordinates, so the fold tests interpolation rather than</w:t>
      </w:r>
      <w:r>
        <w:t xml:space="preserve"> </w:t>
      </w:r>
      <w:r>
        <w:t xml:space="preserve">prediction. We re-audited the full record with leave-one-design-out</w:t>
      </w:r>
      <w:r>
        <w:t xml:space="preserve"> </w:t>
      </w:r>
      <w:r>
        <w:t xml:space="preserve">folds (35 folds over 44 articles, each drran/2dran pair held out</w:t>
      </w:r>
      <w:r>
        <w:t xml:space="preserve"> </w:t>
      </w:r>
      <w:r>
        <w:t xml:space="preserve">together, one full NUTS refit per fold). The</w:t>
      </w:r>
      <w:r>
        <w:t xml:space="preserve"> </w:t>
      </w:r>
      <w:r>
        <w:rPr>
          <w:i/>
          <w:iCs/>
        </w:rPr>
        <w:t xml:space="preserve">t</w:t>
      </w:r>
      <w:r>
        <w:rPr>
          <w:vertAlign w:val="subscript"/>
        </w:rPr>
        <w:t xml:space="preserve">180</w:t>
      </w:r>
      <w:r>
        <w:t xml:space="preserve"> </w:t>
      </w:r>
      <w:r>
        <w:t xml:space="preserve">MAPE is</w:t>
      </w:r>
      <w:r>
        <w:t xml:space="preserve"> </w:t>
      </w:r>
      <w:r>
        <w:t xml:space="preserve">5.0% with rank correlation +0.08. While the measurements span</w:t>
      </w:r>
      <w:r>
        <w:t xml:space="preserve"> </w:t>
      </w:r>
      <w:r>
        <w:t xml:space="preserve">0.80 to 1.33, the held-out posterior stays near the pooled mean</w:t>
      </w:r>
      <w:r>
        <w:t xml:space="preserve"> </w:t>
      </w:r>
      <w:r>
        <w:t xml:space="preserve">(Fig. </w:t>
      </w:r>
      <w:hyperlink w:anchor="lbl_fig_logocv">
        <w:r>
          <w:rPr>
            <w:rStyle w:val="Hyperlink"/>
          </w:rPr>
          <w:t xml:space="preserve">10</w:t>
        </w:r>
      </w:hyperlink>
      <w:r>
        <w:t xml:space="preserve">). The</w:t>
      </w:r>
      <w:r>
        <w:t xml:space="preserve"> </w:t>
      </w:r>
      <w:r>
        <w:rPr>
          <w:i/>
          <w:iCs/>
        </w:rPr>
        <w:t xml:space="preserve">E</w:t>
      </w:r>
      <w:r>
        <w:rPr>
          <w:vertAlign w:val="subscript"/>
        </w:rPr>
        <w:t xml:space="preserve">reb</w:t>
      </w:r>
      <w:r>
        <w:t xml:space="preserve"> </w:t>
      </w:r>
      <w:r>
        <w:t xml:space="preserve">MAPE is 39.4% with rank correlation −0.38. Held-out</w:t>
      </w:r>
      <w:r>
        <w:t xml:space="preserve"> </w:t>
      </w:r>
      <w:r>
        <w:t xml:space="preserve">design-level</w:t>
      </w:r>
      <w:r>
        <w:t xml:space="preserve"> </w:t>
      </w:r>
      <w:r>
        <w:rPr>
          <w:i/>
          <w:iCs/>
        </w:rPr>
        <w:t xml:space="preserve">t</w:t>
      </w:r>
      <w:r>
        <w:rPr>
          <w:vertAlign w:val="subscript"/>
        </w:rPr>
        <w:t xml:space="preserve">180</w:t>
      </w:r>
      <w:r>
        <w:t xml:space="preserve"> </w:t>
      </w:r>
      <w:r>
        <w:t xml:space="preserve">skill is therefore near zero. Part of the</w:t>
      </w:r>
      <w:r>
        <w:t xml:space="preserve"> </w:t>
      </w:r>
      <w:r>
        <w:t xml:space="preserve">apparent</w:t>
      </w:r>
      <w:r>
        <w:t xml:space="preserve"> </w:t>
      </w:r>
      <w:r>
        <w:rPr>
          <w:i/>
          <w:iCs/>
        </w:rPr>
        <w:t xml:space="preserve">E</w:t>
      </w:r>
      <w:r>
        <w:rPr>
          <w:vertAlign w:val="subscript"/>
        </w:rPr>
        <w:t xml:space="preserve">reb</w:t>
      </w:r>
      <w:r>
        <w:t xml:space="preserve"> </w:t>
      </w:r>
      <w:r>
        <w:t xml:space="preserve">skill of the earlier states came from the</w:t>
      </w:r>
      <w:r>
        <w:t xml:space="preserve"> </w:t>
      </w:r>
      <w:r>
        <w:t xml:space="preserve">model fitting chance differences between prints, which matches the</w:t>
      </w:r>
      <w:r>
        <w:t xml:space="preserve"> </w:t>
      </w:r>
      <w:r>
        <w:t xml:space="preserve">poor print-to-print repeatability of</w:t>
      </w:r>
      <w:r>
        <w:t xml:space="preserve"> </w:t>
      </w:r>
      <w:r>
        <w:rPr>
          <w:i/>
          <w:iCs/>
        </w:rPr>
        <w:t xml:space="preserve">E</w:t>
      </w:r>
      <w:r>
        <w:rPr>
          <w:vertAlign w:val="subscript"/>
        </w:rPr>
        <w:t xml:space="preserve">reb</w:t>
      </w:r>
      <w:r>
        <w:t xml:space="preserve"> </w:t>
      </w:r>
      <w:r>
        <w:t xml:space="preserve">in</w:t>
      </w:r>
      <w:r>
        <w:t xml:space="preserve"> </w:t>
      </w:r>
      <w:r>
        <w:t xml:space="preserve">Table </w:t>
      </w:r>
      <w:hyperlink w:anchor="lbl_tab_round3_repeatability">
        <w:r>
          <w:rPr>
            <w:rStyle w:val="Hyperlink"/>
          </w:rPr>
          <w:t xml:space="preserve">8</w:t>
        </w:r>
      </w:hyperlink>
      <w:r>
        <w:t xml:space="preserve">. The</w:t>
      </w:r>
      <w:r>
        <w:t xml:space="preserve"> </w:t>
      </w:r>
      <w:r>
        <w:t xml:space="preserve">comparison to the LOOCV trajectory is descriptive rather than a</w:t>
      </w:r>
      <w:r>
        <w:t xml:space="preserve"> </w:t>
      </w:r>
      <w:r>
        <w:t xml:space="preserve">controlled ablation. The states differ in article count, fold</w:t>
      </w:r>
      <w:r>
        <w:t xml:space="preserve"> </w:t>
      </w:r>
      <w:r>
        <w:t xml:space="preserve">structure, and the presence of the repeat data itself.</w:t>
      </w:r>
    </w:p>
    <w:p>
      <w:pPr>
        <w:pStyle w:val="BodyText"/>
      </w:pPr>
      <w:r>
        <w:t xml:space="preserve">The correlation between printed mass and transmissibility fell from</w:t>
      </w:r>
      <w:r>
        <w:t xml:space="preserve"> </w:t>
      </w:r>
      <w:r>
        <w:rPr>
          <w:i/>
          <w:iCs/>
        </w:rPr>
        <w:t xml:space="preserve">r</w:t>
      </w:r>
      <w:r>
        <w:t xml:space="preserve"> = 0.82 over the eight seed articles to 0.12 over all 53 tested</w:t>
      </w:r>
      <w:r>
        <w:t xml:space="preserve"> </w:t>
      </w:r>
      <w:r>
        <w:t xml:space="preserve">articles (</w:t>
      </w:r>
      <w:r>
        <w:rPr>
          <w:i/>
          <w:iCs/>
        </w:rPr>
        <w:t xml:space="preserve">r</w:t>
      </w:r>
      <w:r>
        <w:rPr>
          <w:vertAlign w:val="superscript"/>
        </w:rPr>
        <w:t xml:space="preserve">2</w:t>
      </w:r>
      <w:r>
        <w:t xml:space="preserve"> = 0.01), which suggests that the</w:t>
      </w:r>
      <w:r>
        <w:t xml:space="preserve"> </w:t>
      </w:r>
      <w:r>
        <w:t xml:space="preserve">constant-printed-mass projection removed the seed batch’s main</w:t>
      </w:r>
      <w:r>
        <w:t xml:space="preserve"> </w:t>
      </w:r>
      <w:r>
        <w:t xml:space="preserve">confound. Within batch 4 alone the two</w:t>
      </w:r>
      <w:r>
        <w:t xml:space="preserve"> </w:t>
      </w:r>
      <w:r>
        <w:t xml:space="preserve">correlate strongly (</w:t>
      </w:r>
      <w:r>
        <w:rPr>
          <w:i/>
          <w:iCs/>
        </w:rPr>
        <w:t xml:space="preserve">r</w:t>
      </w:r>
      <w:r>
        <w:t xml:space="preserve"> = 0.85). There, however, the wide, high-twist family</w:t>
      </w:r>
      <w:r>
        <w:t xml:space="preserve"> </w:t>
      </w:r>
      <w:r>
        <w:t xml:space="preserve">printed at 19.45 to 19.64 g and the tall, low-twist family at</w:t>
      </w:r>
      <w:r>
        <w:t xml:space="preserve"> </w:t>
      </w:r>
      <w:r>
        <w:t xml:space="preserve">20.15 to 20.58 g, so printed mass follows the design family. The</w:t>
      </w:r>
      <w:r>
        <w:t xml:space="preserve"> </w:t>
      </w:r>
      <w:r>
        <w:t xml:space="preserve">correlation within the batch therefore cannot be read as a mass</w:t>
      </w:r>
      <w:r>
        <w:t xml:space="preserve"> </w:t>
      </w:r>
      <w:r>
        <w:t xml:space="preserve">effect. We have not yet run the planned head-to-head calibration</w:t>
      </w:r>
      <w:r>
        <w:t xml:space="preserve"> </w:t>
      </w:r>
      <w:r>
        <w:t xml:space="preserve">comparison against a point-estimated single-task GP with the same</w:t>
      </w:r>
      <w:r>
        <w:t xml:space="preserve"> </w:t>
      </w:r>
      <w:r>
        <w:t xml:space="preserve">kernel, so we make no claim that SAASBO outperforms it here.</w:t>
      </w:r>
    </w:p>
    <w:p>
      <w:pPr>
        <w:pStyle w:val="CaptionedFigure"/>
      </w:pPr>
      <w:r>
        <w:drawing>
          <wp:inline>
            <wp:extent cx="2971800" cy="1569826"/>
            <wp:effectExtent b="0" l="0" r="0" t="0"/>
            <wp:docPr descr="" title="" id="66" name="Picture"/>
            <a:graphic>
              <a:graphicData uri="http://schemas.openxmlformats.org/drawingml/2006/picture">
                <pic:pic>
                  <pic:nvPicPr>
                    <pic:cNvPr descr="/home/runner/work/tensegrity-optimization/tensegrity-optimization/figures/bo/t3-prism-bo-round1-feature-importance.png" id="67" name="Picture"/>
                    <pic:cNvPicPr>
                      <a:picLocks noChangeArrowheads="1" noChangeAspect="1"/>
                    </pic:cNvPicPr>
                  </pic:nvPicPr>
                  <pic:blipFill>
                    <a:blip r:embed="rId65"/>
                    <a:stretch>
                      <a:fillRect/>
                    </a:stretch>
                  </pic:blipFill>
                  <pic:spPr bwMode="auto">
                    <a:xfrm>
                      <a:off x="0" y="0"/>
                      <a:ext cx="2971800" cy="1569826"/>
                    </a:xfrm>
                    <a:prstGeom prst="rect">
                      <a:avLst/>
                    </a:prstGeom>
                    <a:noFill/>
                    <a:ln w="9525">
                      <a:noFill/>
                      <a:headEnd/>
                      <a:tailEnd/>
                    </a:ln>
                  </pic:spPr>
                </pic:pic>
              </a:graphicData>
            </a:graphic>
          </wp:inline>
        </w:drawing>
      </w:r>
    </w:p>
    <w:p>
      <w:pPr>
        <w:pStyle w:val="ImageCaption"/>
      </w:pPr>
      <w:bookmarkStart w:id="90016" w:name="cap_fig9"/>
      <w:r>
        <w:t xml:space="preserve">Fig. 9 Seed-state SAASBO length-scale diagnostics per objective</w:t>
      </w:r>
      <w:r>
        <w:t xml:space="preserve"> </w:t>
      </w:r>
      <w:r>
        <w:t xml:space="preserve">for the five design variables plus printed mass. Bars are median</w:t>
      </w:r>
      <w:r>
        <w:t xml:space="preserve"> </w:t>
      </w:r>
      <w:r>
        <w:t xml:space="preserve">normalized inverse length scales over MCMC draws, and whiskers</w:t>
      </w:r>
      <w:r>
        <w:t xml:space="preserve"> </w:t>
      </w:r>
      <w:r>
        <w:t xml:space="preserve">are interquartile ranges. The horizontal axis, labeled</w:t>
      </w:r>
      <w:r>
        <w:t xml:space="preserve"> </w:t>
      </w:r>
      <w:r>
        <w:t xml:space="preserve">“</w:t>
      </w:r>
      <w:r>
        <w:t xml:space="preserve">share of model</w:t>
      </w:r>
      <w:r>
        <w:t xml:space="preserve"> </w:t>
      </w:r>
      <w:r>
        <w:t xml:space="preserve">sensitivity</w:t>
      </w:r>
      <w:r>
        <w:t xml:space="preserve">”</w:t>
      </w:r>
      <w:r>
        <w:t xml:space="preserve"> </w:t>
      </w:r>
      <w:r>
        <w:t xml:space="preserve">in the plot, is this normalized inverse-length-scale</w:t>
      </w:r>
      <w:r>
        <w:t xml:space="preserve"> </w:t>
      </w:r>
      <w:r>
        <w:t xml:space="preserve">diagnostic. No input separates decisively from the equal-share</w:t>
      </w:r>
      <w:r>
        <w:t xml:space="preserve"> </w:t>
      </w:r>
      <w:r>
        <w:t xml:space="preserve">line (dashed) at seven mapped articles, and these prior-sensitive</w:t>
      </w:r>
      <w:r>
        <w:t xml:space="preserve"> </w:t>
      </w:r>
      <w:r>
        <w:t xml:space="preserve">model diagnostics are not evidence of variable relevance.</w:t>
      </w:r>
      <w:bookmarkEnd w:id="90016"/>
    </w:p>
    <w:p>
      <w:pPr>
        <w:pStyle w:val="CaptionedFigure"/>
      </w:pPr>
      <w:r>
        <w:drawing>
          <wp:inline>
            <wp:extent cx="2971800" cy="1868559"/>
            <wp:effectExtent b="0" l="0" r="0" t="0"/>
            <wp:docPr descr="" title="" id="69" name="Picture"/>
            <a:graphic>
              <a:graphicData uri="http://schemas.openxmlformats.org/drawingml/2006/picture">
                <pic:pic>
                  <pic:nvPicPr>
                    <pic:cNvPr descr="/home/runner/work/tensegrity-optimization/tensegrity-optimization/figures/bo/t3-prism-bo-round5-logocv.png" id="70" name="Picture"/>
                    <pic:cNvPicPr>
                      <a:picLocks noChangeArrowheads="1" noChangeAspect="1"/>
                    </pic:cNvPicPr>
                  </pic:nvPicPr>
                  <pic:blipFill>
                    <a:blip r:embed="rId68"/>
                    <a:stretch>
                      <a:fillRect/>
                    </a:stretch>
                  </pic:blipFill>
                  <pic:spPr bwMode="auto">
                    <a:xfrm>
                      <a:off x="0" y="0"/>
                      <a:ext cx="2971800" cy="1868559"/>
                    </a:xfrm>
                    <a:prstGeom prst="rect">
                      <a:avLst/>
                    </a:prstGeom>
                    <a:noFill/>
                    <a:ln w="9525">
                      <a:noFill/>
                      <a:headEnd/>
                      <a:tailEnd/>
                    </a:ln>
                  </pic:spPr>
                </pic:pic>
              </a:graphicData>
            </a:graphic>
          </wp:inline>
        </w:drawing>
      </w:r>
    </w:p>
    <w:p>
      <w:pPr>
        <w:pStyle w:val="ImageCaption"/>
      </w:pPr>
      <w:bookmarkStart w:id="90017" w:name="cap_fig10"/>
      <w:r>
        <w:t xml:space="preserve">Fig. 10 Leave-one-design-out cross-validation of the SAASBO</w:t>
      </w:r>
      <w:r>
        <w:t xml:space="preserve"> </w:t>
      </w:r>
      <w:r>
        <w:t xml:space="preserve">surrogate over the full 44-article record (35 design folds, one</w:t>
      </w:r>
      <w:r>
        <w:t xml:space="preserve"> </w:t>
      </w:r>
      <w:r>
        <w:t xml:space="preserve">full NUTS refit per fold). Each batch-3 reprint pair is held out</w:t>
      </w:r>
      <w:r>
        <w:t xml:space="preserve"> </w:t>
      </w:r>
      <w:r>
        <w:t xml:space="preserve">together so neither print leaks into the other’s prediction.</w:t>
      </w:r>
      <w:r>
        <w:t xml:space="preserve"> </w:t>
      </w:r>
      <w:r>
        <w:t xml:space="preserve">Vertical bars are one posterior standard deviation of</w:t>
      </w:r>
      <w:r>
        <w:t xml:space="preserve"> </w:t>
      </w:r>
      <w:r>
        <w:t xml:space="preserve">the held-out prediction, horizontal bars are the ingested</w:t>
      </w:r>
      <w:r>
        <w:t xml:space="preserve"> </w:t>
      </w:r>
      <w:r>
        <w:t xml:space="preserve">standard error, and the dashed line is parity. Held-out</w:t>
      </w:r>
      <w:r>
        <w:t xml:space="preserve"> </w:t>
      </w:r>
      <w:r>
        <w:rPr>
          <w:i/>
          <w:iCs/>
        </w:rPr>
        <w:t xml:space="preserve">t</w:t>
      </w:r>
      <w:r>
        <w:rPr>
          <w:vertAlign w:val="subscript"/>
        </w:rPr>
        <w:t xml:space="preserve">180</w:t>
      </w:r>
      <w:r>
        <w:t xml:space="preserve"> </w:t>
      </w:r>
      <w:r>
        <w:t xml:space="preserve">predictions stay close to the pooled mean (MAPE 5.0%, rank</w:t>
      </w:r>
      <w:r>
        <w:t xml:space="preserve"> </w:t>
      </w:r>
      <w:r>
        <w:t xml:space="preserve">correlation +0.08), and the</w:t>
      </w:r>
      <w:r>
        <w:t xml:space="preserve"> </w:t>
      </w:r>
      <w:r>
        <w:rPr>
          <w:i/>
          <w:iCs/>
        </w:rPr>
        <w:t xml:space="preserve">E</w:t>
      </w:r>
      <w:r>
        <w:rPr>
          <w:vertAlign w:val="subscript"/>
        </w:rPr>
        <w:t xml:space="preserve">reb</w:t>
      </w:r>
      <w:r>
        <w:t xml:space="preserve"> </w:t>
      </w:r>
      <w:r>
        <w:t xml:space="preserve">ordering is anti-correlated</w:t>
      </w:r>
      <w:r>
        <w:t xml:space="preserve"> </w:t>
      </w:r>
      <w:r>
        <w:t xml:space="preserve">(−0.38). Design-level held-out skill is near zero on</w:t>
      </w:r>
      <w:r>
        <w:t xml:space="preserve"> </w:t>
      </w:r>
      <w:r>
        <w:t xml:space="preserve">transmissibility and absent on the mass-weighted velocity-loss</w:t>
      </w:r>
      <w:r>
        <w:t xml:space="preserve"> </w:t>
      </w:r>
      <w:r>
        <w:t xml:space="preserve">objective.</w:t>
      </w:r>
      <w:bookmarkEnd w:id="90017"/>
    </w:p>
    <w:p>
      <w:pPr>
        <w:pStyle w:val="RuninHeading4"/>
      </w:pPr>
      <w:r>
        <w:rPr>
          <w:i/>
          <w:iCs/>
        </w:rPr>
        <w:t xml:space="preserve">Studies pending.</w:t>
      </w:r>
      <w:r>
        <w:t xml:space="preserve"> </w:t>
      </w:r>
      <w:r>
        <w:t xml:space="preserve">The following remain future work, and</w:t>
      </w:r>
      <w:r>
        <w:t xml:space="preserve"> </w:t>
      </w:r>
      <w:r>
        <w:t xml:space="preserve">none of their values appear in this section. The batch-4 attenuators</w:t>
      </w:r>
      <w:r>
        <w:t xml:space="preserve"> </w:t>
      </w:r>
      <w:r>
        <w:t xml:space="preserve">(the record article first) and the third-print outlier dran35 await</w:t>
      </w:r>
      <w:r>
        <w:t xml:space="preserve"> </w:t>
      </w:r>
      <w:r>
        <w:t xml:space="preserve">re-seats. The third print of the batch-3 designs has not yet entered</w:t>
      </w:r>
      <w:r>
        <w:t xml:space="preserve"> </w:t>
      </w:r>
      <w:r>
        <w:t xml:space="preserve">the surrogate fit or its cross-validation. A fifth batch has been</w:t>
      </w:r>
      <w:r>
        <w:t xml:space="preserve"> </w:t>
      </w:r>
      <w:r>
        <w:t xml:space="preserve">generated, regenerated once the second print entered the fit, and</w:t>
      </w:r>
      <w:r>
        <w:t xml:space="preserve"> </w:t>
      </w:r>
      <w:r>
        <w:t xml:space="preserve">staged for printing, but nothing from it appears here. The replicate</w:t>
      </w:r>
      <w:r>
        <w:t xml:space="preserve"> </w:t>
      </w:r>
      <w:r>
        <w:t xml:space="preserve">rank-stability study of Section </w:t>
      </w:r>
      <w:hyperlink w:anchor="lbl_sec_methods_rankstability">
        <w:r>
          <w:rPr>
            <w:rStyle w:val="Hyperlink"/>
          </w:rPr>
          <w:t xml:space="preserve">3.5</w:t>
        </w:r>
      </w:hyperlink>
      <w:r>
        <w:t xml:space="preserve"> </w:t>
      </w:r>
      <w:r>
        <w:t xml:space="preserve">(best-, mid-, and worst-predicted in-sample designs re-printed in</w:t>
      </w:r>
      <w:r>
        <w:t xml:space="preserve"> </w:t>
      </w:r>
      <w:r>
        <w:t xml:space="preserve">nominal triplicate), the quasi-static crush campaign, and the</w:t>
      </w:r>
      <w:r>
        <w:t xml:space="preserve"> </w:t>
      </w:r>
      <w:r>
        <w:t xml:space="preserve">metal-analog comparison (Table </w:t>
      </w:r>
      <w:hyperlink w:anchor="lbl_tab_metal_validation">
        <w:r>
          <w:rPr>
            <w:rStyle w:val="Hyperlink"/>
          </w:rPr>
          <w:t xml:space="preserve">5</w:t>
        </w:r>
      </w:hyperlink>
      <w:r>
        <w:t xml:space="preserve">) have not</w:t>
      </w:r>
      <w:r>
        <w:t xml:space="preserve"> </w:t>
      </w:r>
      <w:r>
        <w:t xml:space="preserve">yet run.</w:t>
      </w:r>
    </w:p>
    <w:bookmarkEnd w:id="71"/>
    <w:bookmarkStart w:id="72" w:name="lbl_sec_discussion"/>
    <w:p>
      <w:pPr>
        <w:pStyle w:val="Heading1"/>
      </w:pPr>
      <w:r>
        <w:t xml:space="preserve">5 Discussion</w:t>
      </w:r>
    </w:p>
    <w:p>
      <w:pPr>
        <w:pStyle w:val="RuninHeading4"/>
      </w:pPr>
      <w:r>
        <w:rPr>
          <w:i/>
          <w:iCs/>
        </w:rPr>
        <w:t xml:space="preserve">What the campaign establishes.</w:t>
      </w:r>
      <w:r>
        <w:t xml:space="preserve"> </w:t>
      </w:r>
      <w:r>
        <w:t xml:space="preserve">Across the four measured</w:t>
      </w:r>
      <w:r>
        <w:t xml:space="preserve"> </w:t>
      </w:r>
      <w:r>
        <w:t xml:space="preserve">batches, the end-to-end loop closed repeatedly: printed articles,</w:t>
      </w:r>
      <w:r>
        <w:t xml:space="preserve"> </w:t>
      </w:r>
      <w:r>
        <w:t xml:space="preserve">instrumented characterizations, a fitted fully Bayesian surrogate,</w:t>
      </w:r>
      <w:r>
        <w:t xml:space="preserve"> </w:t>
      </w:r>
      <w:r>
        <w:t xml:space="preserve">and three successive model-recommended batches whose own</w:t>
      </w:r>
      <w:r>
        <w:t xml:space="preserve"> </w:t>
      </w:r>
      <w:r>
        <w:t xml:space="preserve">measurements fed the next refit. The measurement distinguishes the</w:t>
      </w:r>
      <w:r>
        <w:t xml:space="preserve"> </w:t>
      </w:r>
      <w:r>
        <w:t xml:space="preserve">tested articles. The campaign</w:t>
      </w:r>
      <w:r>
        <w:t xml:space="preserve"> </w:t>
      </w:r>
      <w:r>
        <w:rPr>
          <w:i/>
          <w:iCs/>
        </w:rPr>
        <w:t xml:space="preserve">t</w:t>
      </w:r>
      <w:r>
        <w:rPr>
          <w:vertAlign w:val="subscript"/>
        </w:rPr>
        <w:t xml:space="preserve">180</w:t>
      </w:r>
      <w:r>
        <w:t xml:space="preserve"> </w:t>
      </w:r>
      <w:r>
        <w:t xml:space="preserve">means span 0.803 to 1.334,</w:t>
      </w:r>
      <w:r>
        <w:t xml:space="preserve"> </w:t>
      </w:r>
      <w:r>
        <w:t xml:space="preserve">far beyond within-session drop scatter. The three prints of batch 3</w:t>
      </w:r>
      <w:r>
        <w:t xml:space="preserve"> </w:t>
      </w:r>
      <w:r>
        <w:t xml:space="preserve">locate the resolution floor for a single article. Clean seatings of</w:t>
      </w:r>
      <w:r>
        <w:t xml:space="preserve"> </w:t>
      </w:r>
      <w:r>
        <w:t xml:space="preserve">different prints differ by a standard deviation of about 0.009, and a</w:t>
      </w:r>
      <w:r>
        <w:t xml:space="preserve"> </w:t>
      </w:r>
      <w:r>
        <w:t xml:space="preserve">broadband gauge flags occasional seating failures of 10 to 20%. The</w:t>
      </w:r>
      <w:r>
        <w:t xml:space="preserve"> </w:t>
      </w:r>
      <w:r>
        <w:t xml:space="preserve">physics is less favorable than the cushioning intuition suggests.</w:t>
      </w:r>
      <w:r>
        <w:t xml:space="preserve"> </w:t>
      </w:r>
      <w:r>
        <w:t xml:space="preserve">At this scale and rate, most printed prisms</w:t>
      </w:r>
      <w:r>
        <w:t xml:space="preserve"> </w:t>
      </w:r>
      <w:r>
        <w:rPr>
          <w:i/>
          <w:iCs/>
        </w:rPr>
        <w:t xml:space="preserve">amplify</w:t>
      </w:r>
      <w:r>
        <w:t xml:space="preserve"> </w:t>
      </w:r>
      <w:r>
        <w:t xml:space="preserve">the peak</w:t>
      </w:r>
      <w:r>
        <w:t xml:space="preserve"> </w:t>
      </w:r>
      <w:r>
        <w:t xml:space="preserve">shock reaching their top vertex (26 of 35 articles measured above</w:t>
      </w:r>
      <w:r>
        <w:t xml:space="preserve"> </w:t>
      </w:r>
      <w:r>
        <w:t xml:space="preserve">unity). We therefore sharpened the campaign question from</w:t>
      </w:r>
      <w:r>
        <w:t xml:space="preserve"> </w:t>
      </w:r>
      <w:r>
        <w:t xml:space="preserve">“</w:t>
      </w:r>
      <w:r>
        <w:t xml:space="preserve">how much does</w:t>
      </w:r>
      <w:r>
        <w:t xml:space="preserve"> </w:t>
      </w:r>
      <w:r>
        <w:t xml:space="preserve">the architecture cushion</w:t>
      </w:r>
      <w:r>
        <w:t xml:space="preserve">”</w:t>
      </w:r>
      <w:r>
        <w:t xml:space="preserve"> </w:t>
      </w:r>
      <w:r>
        <w:t xml:space="preserve">to</w:t>
      </w:r>
      <w:r>
        <w:t xml:space="preserve"> </w:t>
      </w:r>
      <w:r>
        <w:t xml:space="preserve">“</w:t>
      </w:r>
      <w:r>
        <w:t xml:space="preserve">which corner of the design space</w:t>
      </w:r>
      <w:r>
        <w:t xml:space="preserve"> </w:t>
      </w:r>
      <w:r>
        <w:t xml:space="preserve">crosses into attenuation, and at what cost to the velocity loss</w:t>
      </w:r>
      <w:r>
        <w:t xml:space="preserve"> </w:t>
      </w:r>
      <w:r>
        <w:t xml:space="preserve">index.</w:t>
      </w:r>
      <w:r>
        <w:t xml:space="preserve">”</w:t>
      </w:r>
      <w:r>
        <w:t xml:space="preserve"> </w:t>
      </w:r>
      <w:r>
        <w:t xml:space="preserve">The</w:t>
      </w:r>
      <w:r>
        <w:t xml:space="preserve"> </w:t>
      </w:r>
      <w:r>
        <w:t xml:space="preserve">batches answered that question, though not on the first</w:t>
      </w:r>
      <w:r>
        <w:t xml:space="preserve"> </w:t>
      </w:r>
      <w:r>
        <w:t xml:space="preserve">try. Batch 2’s forecasts were optimistic on nine of nine articles,</w:t>
      </w:r>
      <w:r>
        <w:t xml:space="preserve"> </w:t>
      </w:r>
      <w:r>
        <w:t xml:space="preserve">and batch 3’s best-predicted design measured as its worst amplifier</w:t>
      </w:r>
      <w:r>
        <w:t xml:space="preserve"> </w:t>
      </w:r>
      <w:r>
        <w:t xml:space="preserve">on its first print, a seating artifact that its two later prints did</w:t>
      </w:r>
      <w:r>
        <w:t xml:space="preserve"> </w:t>
      </w:r>
      <w:r>
        <w:t xml:space="preserve">not repeat. Batch 4</w:t>
      </w:r>
      <w:r>
        <w:t xml:space="preserve"> </w:t>
      </w:r>
      <w:r>
        <w:t xml:space="preserve">then delivered four attenuators from the wide, high-twist,</w:t>
      </w:r>
      <w:r>
        <w:t xml:space="preserve"> </w:t>
      </w:r>
      <w:r>
        <w:t xml:space="preserve">thin-cable family, led by its best-predicted design at</w:t>
      </w:r>
      <w:r>
        <w:t xml:space="preserve"> </w:t>
      </w:r>
      <w:r>
        <w:rPr>
          <w:i/>
          <w:iCs/>
        </w:rPr>
        <w:t xml:space="preserve">t</w:t>
      </w:r>
      <w:r>
        <w:rPr>
          <w:vertAlign w:val="subscript"/>
        </w:rPr>
        <w:t xml:space="preserve">180</w:t>
      </w:r>
      <w:r>
        <w:t xml:space="preserve"> = 0.803. The strongest attenuators still tend to have</w:t>
      </w:r>
      <w:r>
        <w:t xml:space="preserve"> </w:t>
      </w:r>
      <w:r>
        <w:t xml:space="preserve">low velocity loss indices (0.938 and 0.940 for corny9 and corny8), and</w:t>
      </w:r>
      <w:r>
        <w:t xml:space="preserve"> </w:t>
      </w:r>
      <w:r>
        <w:t xml:space="preserve">the record article is mid-pack at 0.968. The tall batch-4 family</w:t>
      </w:r>
      <w:r>
        <w:t xml:space="preserve"> </w:t>
      </w:r>
      <w:r>
        <w:t xml:space="preserve">reaches an index as high as 0.986 at a transmissibility near unity,</w:t>
      </w:r>
      <w:r>
        <w:t xml:space="preserve"> </w:t>
      </w:r>
      <w:r>
        <w:t xml:space="preserve">so the front remains two-dimensional.</w:t>
      </w:r>
    </w:p>
    <w:p>
      <w:pPr>
        <w:pStyle w:val="RuninHeading4"/>
      </w:pPr>
      <w:r>
        <w:rPr>
          <w:i/>
          <w:iCs/>
        </w:rPr>
        <w:t xml:space="preserve">Review of the objective stack.</w:t>
      </w:r>
      <w:r>
        <w:t xml:space="preserve"> </w:t>
      </w:r>
      <w:r>
        <w:t xml:space="preserve">We</w:t>
      </w:r>
      <w:r>
        <w:t xml:space="preserve"> </w:t>
      </w:r>
      <w:r>
        <w:t xml:space="preserve">pre-registered an adversarial, data-first review of the objective</w:t>
      </w:r>
      <w:r>
        <w:t xml:space="preserve"> </w:t>
      </w:r>
      <w:r>
        <w:t xml:space="preserve">choices with an external AI referee that was required to commit to</w:t>
      </w:r>
      <w:r>
        <w:t xml:space="preserve"> </w:t>
      </w:r>
      <w:r>
        <w:t xml:space="preserve">its own objective set from the raw campaign files before reading</w:t>
      </w:r>
      <w:r>
        <w:t xml:space="preserve"> </w:t>
      </w:r>
      <w:r>
        <w:t xml:space="preserve">ours. Its findings temper the round-1 formulation and set the round-3</w:t>
      </w:r>
      <w:r>
        <w:t xml:space="preserve"> </w:t>
      </w:r>
      <w:r>
        <w:t xml:space="preserve">revision. First, the rebound fraction</w:t>
      </w:r>
      <w:r>
        <w:t xml:space="preserve"> </w:t>
      </w:r>
      <w:r>
        <w:rPr>
          <w:i/>
          <w:iCs/>
        </w:rPr>
        <w:t xml:space="preserve">e</w:t>
      </w:r>
      <w:r>
        <w:rPr>
          <w:vertAlign w:val="subscript"/>
        </w:rPr>
        <w:t xml:space="preserve">reb</w:t>
      </w:r>
      <w:r>
        <w:t xml:space="preserve"> </w:t>
      </w:r>
      <w:r>
        <w:t xml:space="preserve">rests on a ballistic</w:t>
      </w:r>
      <w:r>
        <w:t xml:space="preserve"> </w:t>
      </w:r>
      <w:r>
        <w:t xml:space="preserve">interpretation of the second contact event that has not yet been</w:t>
      </w:r>
      <w:r>
        <w:t xml:space="preserve"> </w:t>
      </w:r>
      <w:r>
        <w:t xml:space="preserve">validated against synchronized video (a restrained-versus-unrestrained</w:t>
      </w:r>
      <w:r>
        <w:t xml:space="preserve"> </w:t>
      </w:r>
      <w:r>
        <w:t xml:space="preserve">check is scheduled). Second, the apparent</w:t>
      </w:r>
      <w:r>
        <w:t xml:space="preserve"> </w:t>
      </w:r>
      <w:r>
        <w:rPr>
          <w:i/>
          <w:iCs/>
        </w:rPr>
        <w:t xml:space="preserve">t</w:t>
      </w:r>
      <w:r>
        <w:rPr>
          <w:vertAlign w:val="subscript"/>
        </w:rPr>
        <w:t xml:space="preserve">180</w:t>
      </w:r>
      <w:r>
        <w:t xml:space="preserve">-versus-</w:t>
      </w:r>
      <w:r>
        <w:rPr>
          <w:i/>
          <w:iCs/>
        </w:rPr>
        <w:t xml:space="preserve">E</w:t>
      </w:r>
      <w:r>
        <w:rPr>
          <w:vertAlign w:val="subscript"/>
        </w:rPr>
        <w:t xml:space="preserve">reb</w:t>
      </w:r>
      <w:r>
        <w:t xml:space="preserve"> </w:t>
      </w:r>
      <w:r>
        <w:t xml:space="preserve">trade-off</w:t>
      </w:r>
      <w:r>
        <w:t xml:space="preserve"> </w:t>
      </w:r>
      <w:r>
        <w:t xml:space="preserve">is driven substantially by the single strongest attenuator (Spearman</w:t>
      </w:r>
      <w:r>
        <w:t xml:space="preserve"> </w:t>
      </w:r>
      <w:r>
        <w:rPr>
          <w:i/>
          <w:iCs/>
        </w:rPr>
        <w:t xml:space="preserve">ρ</w:t>
      </w:r>
      <w:r>
        <w:t xml:space="preserve"> = −0.39,</w:t>
      </w:r>
      <w:r>
        <w:t xml:space="preserve"> </w:t>
      </w:r>
      <w:r>
        <w:rPr>
          <w:i/>
          <w:iCs/>
        </w:rPr>
        <w:t xml:space="preserve">p</w:t>
      </w:r>
      <w:r>
        <w:t xml:space="preserve"> = 0.38 across the reliable articles). Third,</w:t>
      </w:r>
      <w:r>
        <w:t xml:space="preserve"> </w:t>
      </w:r>
      <w:r>
        <w:t xml:space="preserve">per-drop standard errors are much smaller than the</w:t>
      </w:r>
      <w:r>
        <w:t xml:space="preserve"> </w:t>
      </w:r>
      <w:r>
        <w:t xml:space="preserve">between-article variation, and therefore understate design-level</w:t>
      </w:r>
      <w:r>
        <w:t xml:space="preserve"> </w:t>
      </w:r>
      <w:r>
        <w:t xml:space="preserve">uncertainty. In response, we printed and tested the batch-3 plate three times,</w:t>
      </w:r>
      <w:r>
        <w:t xml:space="preserve"> </w:t>
      </w:r>
      <w:r>
        <w:t xml:space="preserve">which measured the print-to-print scatter directly</w:t>
      </w:r>
      <w:r>
        <w:t xml:space="preserve"> </w:t>
      </w:r>
      <w:r>
        <w:t xml:space="preserve">(Section </w:t>
      </w:r>
      <w:hyperlink w:anchor="lbl_sec_results_batches">
        <w:r>
          <w:rPr>
            <w:rStyle w:val="Hyperlink"/>
          </w:rPr>
          <w:t xml:space="preserve">4.2</w:t>
        </w:r>
      </w:hyperlink>
      <w:r>
        <w:t xml:space="preserve">) and confirmed the understatement</w:t>
      </w:r>
      <w:r>
        <w:t xml:space="preserve"> </w:t>
      </w:r>
      <w:r>
        <w:t xml:space="preserve">at an order of magnitude in</w:t>
      </w:r>
      <w:r>
        <w:t xml:space="preserve"> </w:t>
      </w:r>
      <w:r>
        <w:rPr>
          <w:i/>
          <w:iCs/>
        </w:rPr>
        <w:t xml:space="preserve">t</w:t>
      </w:r>
      <w:r>
        <w:rPr>
          <w:vertAlign w:val="subscript"/>
        </w:rPr>
        <w:t xml:space="preserve">180</w:t>
      </w:r>
      <w:r>
        <w:t xml:space="preserve">. The</w:t>
      </w:r>
      <w:r>
        <w:t xml:space="preserve"> </w:t>
      </w:r>
      <w:r>
        <w:t xml:space="preserve">between-seat replication rule now gates every extreme, the velocity</w:t>
      </w:r>
      <w:r>
        <w:t xml:space="preserve"> </w:t>
      </w:r>
      <w:r>
        <w:t xml:space="preserve">loss index stays a candidate constraint pending its ballistic validation, and the</w:t>
      </w:r>
      <w:r>
        <w:t xml:space="preserve"> </w:t>
      </w:r>
      <w:r>
        <w:t xml:space="preserve">constant-printed-mass projection removed the mass channel the review</w:t>
      </w:r>
      <w:r>
        <w:t xml:space="preserve"> </w:t>
      </w:r>
      <w:r>
        <w:t xml:space="preserve">flagged. We report this trajectory because the loop is</w:t>
      </w:r>
      <w:r>
        <w:t xml:space="preserve"> </w:t>
      </w:r>
      <w:r>
        <w:t xml:space="preserve">the contribution, and revising objectives mid-campaign, with the</w:t>
      </w:r>
      <w:r>
        <w:t xml:space="preserve"> </w:t>
      </w:r>
      <w:r>
        <w:t xml:space="preserve">revision criteria stated in advance, is probably how such loops behave in</w:t>
      </w:r>
      <w:r>
        <w:t xml:space="preserve"> </w:t>
      </w:r>
      <w:r>
        <w:t xml:space="preserve">practice.</w:t>
      </w:r>
    </w:p>
    <w:p>
      <w:pPr>
        <w:pStyle w:val="RuninHeading4"/>
      </w:pPr>
      <w:r>
        <w:rPr>
          <w:i/>
          <w:iCs/>
        </w:rPr>
        <w:t xml:space="preserve">Mass as a confound and as a design variable.</w:t>
      </w:r>
      <w:r>
        <w:t xml:space="preserve"> </w:t>
      </w:r>
      <w:r>
        <w:t xml:space="preserve">Holding</w:t>
      </w:r>
      <w:r>
        <w:t xml:space="preserve"> </w:t>
      </w:r>
      <w:r>
        <w:t xml:space="preserve">solid CAD mass constant did not hold printed grams constant. PLA</w:t>
      </w:r>
      <w:r>
        <w:t xml:space="preserve"> </w:t>
      </w:r>
      <w:r>
        <w:t xml:space="preserve">prints at partial infill while thin TPU cables print near solid, so</w:t>
      </w:r>
      <w:r>
        <w:t xml:space="preserve"> </w:t>
      </w:r>
      <w:r>
        <w:t xml:space="preserve">the seed articles span 18.50 to 22.29 g, and among the</w:t>
      </w:r>
      <w:r>
        <w:t xml:space="preserve"> </w:t>
      </w:r>
      <w:r>
        <w:t xml:space="preserve">mapped seed articles mass and</w:t>
      </w:r>
      <w:r>
        <w:t xml:space="preserve"> </w:t>
      </w:r>
      <w:r>
        <w:rPr>
          <w:i/>
          <w:iCs/>
        </w:rPr>
        <w:t xml:space="preserve">t</w:t>
      </w:r>
      <w:r>
        <w:rPr>
          <w:vertAlign w:val="subscript"/>
        </w:rPr>
        <w:t xml:space="preserve">180</w:t>
      </w:r>
      <w:r>
        <w:t xml:space="preserve"> </w:t>
      </w:r>
      <w:r>
        <w:t xml:space="preserve">are correlated</w:t>
      </w:r>
      <w:r>
        <w:t xml:space="preserve"> </w:t>
      </w:r>
      <w:r>
        <w:t xml:space="preserve">(</w:t>
      </w:r>
      <w:r>
        <w:rPr>
          <w:i/>
          <w:iCs/>
        </w:rPr>
        <w:t xml:space="preserve">r</w:t>
      </w:r>
      <w:r>
        <w:t xml:space="preserve"> = 0.82). Printed mass is itself induced by the geometry and is</w:t>
      </w:r>
      <w:r>
        <w:t xml:space="preserve"> </w:t>
      </w:r>
      <w:r>
        <w:t xml:space="preserve">strongly collinear with member dimensions (light articles</w:t>
      </w:r>
      <w:r>
        <w:t xml:space="preserve"> </w:t>
      </w:r>
      <w:r>
        <w:rPr>
          <w:i/>
          <w:iCs/>
        </w:rPr>
        <w:t xml:space="preserve">are</w:t>
      </w:r>
      <w:r>
        <w:t xml:space="preserve"> </w:t>
      </w:r>
      <w:r>
        <w:t xml:space="preserve">the thick-strut, thin-cable corner by construction), so the seed</w:t>
      </w:r>
      <w:r>
        <w:t xml:space="preserve"> </w:t>
      </w:r>
      <w:r>
        <w:t xml:space="preserve">observations cannot identify separate geometry and mass effects. A</w:t>
      </w:r>
      <w:r>
        <w:t xml:space="preserve"> </w:t>
      </w:r>
      <w:r>
        <w:t xml:space="preserve">post hoc mass-adjusted regression would be unstable and would</w:t>
      </w:r>
      <w:r>
        <w:t xml:space="preserve"> </w:t>
      </w:r>
      <w:r>
        <w:t xml:space="preserve">estimate a different, direct-effect quantity. We addressed the</w:t>
      </w:r>
      <w:r>
        <w:t xml:space="preserve"> </w:t>
      </w:r>
      <w:r>
        <w:t xml:space="preserve">confound by experimental design rather than adjustment. We used the</w:t>
      </w:r>
      <w:r>
        <w:t xml:space="preserve"> </w:t>
      </w:r>
      <w:r>
        <w:t xml:space="preserve">calibrated printed-mass model (Supplementary Information) to compare</w:t>
      </w:r>
      <w:r>
        <w:t xml:space="preserve"> </w:t>
      </w:r>
      <w:r>
        <w:t xml:space="preserve">geometries at fixed printed grams in batches 3 and 4, where the batch</w:t>
      </w:r>
      <w:r>
        <w:t xml:space="preserve"> </w:t>
      </w:r>
      <w:r>
        <w:t xml:space="preserve">mass CVs were 1.7 and 2.3%. Over all 53 tested articles, mass and transmissibility are</w:t>
      </w:r>
      <w:r>
        <w:t xml:space="preserve"> </w:t>
      </w:r>
      <w:r>
        <w:t xml:space="preserve">nearly uncorrelated (</w:t>
      </w:r>
      <w:r>
        <w:rPr>
          <w:i/>
          <w:iCs/>
        </w:rPr>
        <w:t xml:space="preserve">r</w:t>
      </w:r>
      <w:r>
        <w:t xml:space="preserve"> = 0.12). The confound was broken by</w:t>
      </w:r>
      <w:r>
        <w:t xml:space="preserve"> </w:t>
      </w:r>
      <w:r>
        <w:t xml:space="preserve">construction, and</w:t>
      </w:r>
      <w:r>
        <w:t xml:space="preserve"> </w:t>
      </w:r>
      <w:r>
        <w:rPr>
          <w:i/>
          <w:iCs/>
        </w:rPr>
        <w:t xml:space="preserve">E</w:t>
      </w:r>
      <w:r>
        <w:rPr>
          <w:vertAlign w:val="subscript"/>
        </w:rPr>
        <w:t xml:space="preserve">reb</w:t>
      </w:r>
      <w:r>
        <w:t xml:space="preserve"> </w:t>
      </w:r>
      <w:r>
        <w:t xml:space="preserve">keeps grams penalized where they</w:t>
      </w:r>
      <w:r>
        <w:t xml:space="preserve"> </w:t>
      </w:r>
      <w:r>
        <w:t xml:space="preserve">matter physically, in the motion returned to the payload.</w:t>
      </w:r>
    </w:p>
    <w:p>
      <w:pPr>
        <w:pStyle w:val="RuninHeading4"/>
      </w:pPr>
      <w:r>
        <w:rPr>
          <w:i/>
          <w:iCs/>
        </w:rPr>
        <w:t xml:space="preserve">Relation to prior art, and why simulation sits outside</w:t>
      </w:r>
      <w:r>
        <w:rPr>
          <w:i/>
          <w:iCs/>
        </w:rPr>
        <w:t xml:space="preserve"> </w:t>
      </w:r>
      <w:r>
        <w:rPr>
          <w:i/>
          <w:iCs/>
        </w:rPr>
        <w:t xml:space="preserve">the loop.</w:t>
      </w:r>
      <w:r>
        <w:t xml:space="preserve"> </w:t>
      </w:r>
      <w:r>
        <w:t xml:space="preserve">Relative to Pajunen</w:t>
      </w:r>
      <w:r>
        <w:t xml:space="preserve"> </w:t>
      </w:r>
      <w:r>
        <w:t xml:space="preserve">et al. [</w:t>
      </w:r>
      <w:hyperlink w:anchor="bib11">
        <w:r>
          <w:rPr>
            <w:rStyle w:val="Hyperlink"/>
          </w:rPr>
          <w:t xml:space="preserve">11</w:t>
        </w:r>
      </w:hyperlink>
      <w:r>
        <w:t xml:space="preserve">], we vary the geometry</w:t>
      </w:r>
      <w:r>
        <w:t xml:space="preserve"> </w:t>
      </w:r>
      <w:r>
        <w:t xml:space="preserve">under an optimization loop rather than characterizing a single</w:t>
      </w:r>
      <w:r>
        <w:t xml:space="preserve"> </w:t>
      </w:r>
      <w:r>
        <w:t xml:space="preserve">fabrication condition. Relative to Mo</w:t>
      </w:r>
      <w:r>
        <w:t xml:space="preserve"> </w:t>
      </w:r>
      <w:r>
        <w:t xml:space="preserve">et al. [</w:t>
      </w:r>
      <w:hyperlink w:anchor="bib17">
        <w:r>
          <w:rPr>
            <w:rStyle w:val="Hyperlink"/>
          </w:rPr>
          <w:t xml:space="preserve">17</w:t>
        </w:r>
      </w:hyperlink>
      <w:r>
        <w:t xml:space="preserve">], the loop’s ground truth is physical</w:t>
      </w:r>
      <w:r>
        <w:t xml:space="preserve"> </w:t>
      </w:r>
      <w:r>
        <w:t xml:space="preserve">measurement, and no simulated number enters the objectives, the</w:t>
      </w:r>
      <w:r>
        <w:t xml:space="preserve"> </w:t>
      </w:r>
      <w:r>
        <w:t xml:space="preserve">acquisition, or candidate priority. We based that exclusion on an</w:t>
      </w:r>
      <w:r>
        <w:t xml:space="preserve"> </w:t>
      </w:r>
      <w:r>
        <w:t xml:space="preserve">exploratory multi-engine simulation</w:t>
      </w:r>
      <w:r>
        <w:t xml:space="preserve"> </w:t>
      </w:r>
      <w:r>
        <w:t xml:space="preserve">study conducted alongside the campaign (rigid-body through</w:t>
      </w:r>
      <w:r>
        <w:t xml:space="preserve"> </w:t>
      </w:r>
      <w:r>
        <w:t xml:space="preserve">finite-element fidelities, archived in the project repository). The</w:t>
      </w:r>
      <w:r>
        <w:t xml:space="preserve"> </w:t>
      </w:r>
      <w:r>
        <w:t xml:space="preserve">study could not reproduce the amplification that dominates the measured record,</w:t>
      </w:r>
      <w:r>
        <w:t xml:space="preserve"> </w:t>
      </w:r>
      <w:r>
        <w:t xml:space="preserve">predicted design-invariant rebound</w:t>
      </w:r>
      <w:r>
        <w:t xml:space="preserve"> </w:t>
      </w:r>
      <w:r>
        <w:t xml:space="preserve">where the measurement discriminates strongly, and correlated only</w:t>
      </w:r>
      <w:r>
        <w:t xml:space="preserve"> </w:t>
      </w:r>
      <w:r>
        <w:t xml:space="preserve">weakly with the measured transmissibility. Its rigid-strut models cap</w:t>
      </w:r>
      <w:r>
        <w:t xml:space="preserve"> </w:t>
      </w:r>
      <w:r>
        <w:t xml:space="preserve">the transmissibility near unity, while most printed articles exceed it.</w:t>
      </w:r>
      <w:r>
        <w:t xml:space="preserve"> </w:t>
      </w:r>
      <w:r>
        <w:t xml:space="preserve">Its constant-mass</w:t>
      </w:r>
      <w:r>
        <w:t xml:space="preserve"> </w:t>
      </w:r>
      <w:r>
        <w:t xml:space="preserve">fairness constraints and its diagnosis of the seed batch’s</w:t>
      </w:r>
      <w:r>
        <w:t xml:space="preserve"> </w:t>
      </w:r>
      <w:r>
        <w:t xml:space="preserve">mass confound did shape the campaign design, which is the</w:t>
      </w:r>
      <w:r>
        <w:t xml:space="preserve"> </w:t>
      </w:r>
      <w:r>
        <w:t xml:space="preserve">screening role we consider simulation to have earned here. Before</w:t>
      </w:r>
      <w:r>
        <w:t xml:space="preserve"> </w:t>
      </w:r>
      <w:r>
        <w:t xml:space="preserve">simulation takes on a larger role, it must demonstrate prospective</w:t>
      </w:r>
      <w:r>
        <w:t xml:space="preserve"> </w:t>
      </w:r>
      <w:r>
        <w:t xml:space="preserve">predictive skill on articles it has not seen. The measured near-unity</w:t>
      </w:r>
      <w:r>
        <w:t xml:space="preserve"> </w:t>
      </w:r>
      <w:r>
        <w:t xml:space="preserve">transmission of most seed articles also cautions against reading the</w:t>
      </w:r>
      <w:r>
        <w:t xml:space="preserve"> </w:t>
      </w:r>
      <w:r>
        <w:t xml:space="preserve">printed-tensegrity literature’s attenuation results as generic. The</w:t>
      </w:r>
      <w:r>
        <w:t xml:space="preserve"> </w:t>
      </w:r>
      <w:r>
        <w:t xml:space="preserve">as-printed cells here are not pretensioned, and activating genuine</w:t>
      </w:r>
      <w:r>
        <w:t xml:space="preserve"> </w:t>
      </w:r>
      <w:r>
        <w:t xml:space="preserve">pretension in additively manufactured tensegrity (for example through</w:t>
      </w:r>
      <w:r>
        <w:t xml:space="preserve"> </w:t>
      </w:r>
      <w:r>
        <w:t xml:space="preserve">shrink-on-treatment routes) is an open direction we deliberately</w:t>
      </w:r>
      <w:r>
        <w:t xml:space="preserve"> </w:t>
      </w:r>
      <w:r>
        <w:t xml:space="preserve">scope out of the present campaign.</w:t>
      </w:r>
    </w:p>
    <w:p>
      <w:pPr>
        <w:pStyle w:val="RuninHeading4"/>
      </w:pPr>
      <w:r>
        <w:rPr>
          <w:i/>
          <w:iCs/>
        </w:rPr>
        <w:t xml:space="preserve">Practical considerations and path forward.</w:t>
      </w:r>
      <w:r>
        <w:t xml:space="preserve"> </w:t>
      </w:r>
      <w:r>
        <w:t xml:space="preserve">PLA/TPU</w:t>
      </w:r>
      <w:r>
        <w:t xml:space="preserve"> </w:t>
      </w:r>
      <w:r>
        <w:t xml:space="preserve">interface durability under repeated impact remains open. No joint</w:t>
      </w:r>
      <w:r>
        <w:t xml:space="preserve"> </w:t>
      </w:r>
      <w:r>
        <w:t xml:space="preserve">failed during the repeated-drop measurement sessions, which covered more than</w:t>
      </w:r>
      <w:r>
        <w:t xml:space="preserve"> </w:t>
      </w:r>
      <w:r>
        <w:t xml:space="preserve">1,400 stabilized captures across 35 articles, plus the second and</w:t>
      </w:r>
      <w:r>
        <w:t xml:space="preserve"> </w:t>
      </w:r>
      <w:r>
        <w:t xml:space="preserve">third prints of batch 3. Because</w:t>
      </w:r>
      <w:r>
        <w:t xml:space="preserve"> </w:t>
      </w:r>
      <w:r>
        <w:t xml:space="preserve">those sessions were not designed as controlled fatigue tests, the</w:t>
      </w:r>
      <w:r>
        <w:t xml:space="preserve"> </w:t>
      </w:r>
      <w:r>
        <w:t xml:space="preserve">observation does not establish interface durability. Pull-out</w:t>
      </w:r>
      <w:r>
        <w:t xml:space="preserve"> </w:t>
      </w:r>
      <w:r>
        <w:t xml:space="preserve">and fatigue characterization of the internal-anchor joint is</w:t>
      </w:r>
      <w:r>
        <w:t xml:space="preserve"> </w:t>
      </w:r>
      <w:r>
        <w:t xml:space="preserve">planned follow-on work. Sensitivity to</w:t>
      </w:r>
      <w:r>
        <w:t xml:space="preserve"> </w:t>
      </w:r>
      <w:r>
        <w:t xml:space="preserve">print-process covariates (the print key logs defects, humidity, and</w:t>
      </w:r>
      <w:r>
        <w:t xml:space="preserve"> </w:t>
      </w:r>
      <w:r>
        <w:t xml:space="preserve">the mid-batch nozzle change for this purpose) and transfer to</w:t>
      </w:r>
      <w:r>
        <w:t xml:space="preserve"> </w:t>
      </w:r>
      <w:r>
        <w:t xml:space="preserve">other material pairs likewise remain open. In the future we plan</w:t>
      </w:r>
      <w:r>
        <w:t xml:space="preserve"> </w:t>
      </w:r>
      <w:r>
        <w:t xml:space="preserve">the re-seat confirmations of the batch-4 attenuators, the replicate</w:t>
      </w:r>
      <w:r>
        <w:t xml:space="preserve"> </w:t>
      </w:r>
      <w:r>
        <w:t xml:space="preserve">rank-stability study of Section </w:t>
      </w:r>
      <w:hyperlink w:anchor="lbl_sec_methods_rankstability">
        <w:r>
          <w:rPr>
            <w:rStyle w:val="Hyperlink"/>
          </w:rPr>
          <w:t xml:space="preserve">3.5</w:t>
        </w:r>
      </w:hyperlink>
      <w:r>
        <w:t xml:space="preserve">, the</w:t>
      </w:r>
      <w:r>
        <w:t xml:space="preserve"> </w:t>
      </w:r>
      <w:r>
        <w:t xml:space="preserve">metal-analog rank-transfer comparison of</w:t>
      </w:r>
      <w:r>
        <w:t xml:space="preserve"> </w:t>
      </w:r>
      <w:r>
        <w:t xml:space="preserve">Section </w:t>
      </w:r>
      <w:hyperlink w:anchor="lbl_sec_methods_validation">
        <w:r>
          <w:rPr>
            <w:rStyle w:val="Hyperlink"/>
          </w:rPr>
          <w:t xml:space="preserve">3.6</w:t>
        </w:r>
      </w:hyperlink>
      <w:r>
        <w:t xml:space="preserve">, quasi-static testing as an</w:t>
      </w:r>
      <w:r>
        <w:t xml:space="preserve"> </w:t>
      </w:r>
      <w:r>
        <w:t xml:space="preserve">extension of the characterization</w:t>
      </w:r>
      <w:r>
        <w:t xml:space="preserve"> </w:t>
      </w:r>
      <w:r>
        <w:t xml:space="preserve">(Section </w:t>
      </w:r>
      <w:hyperlink w:anchor="lbl_sec_methods_testing">
        <w:r>
          <w:rPr>
            <w:rStyle w:val="Hyperlink"/>
          </w:rPr>
          <w:t xml:space="preserve">3.3</w:t>
        </w:r>
      </w:hyperlink>
      <w:r>
        <w:t xml:space="preserve">), pretension activation, tiled</w:t>
      </w:r>
      <w:r>
        <w:t xml:space="preserve"> </w:t>
      </w:r>
      <w:r>
        <w:t xml:space="preserve">multi-cell absorbers and lattices [</w:t>
      </w:r>
      <w:hyperlink w:anchor="bib34">
        <w:r>
          <w:rPr>
            <w:rStyle w:val="Hyperlink"/>
          </w:rPr>
          <w:t xml:space="preserve">34</w:t>
        </w:r>
      </w:hyperlink>
      <w:r>
        <w:t xml:space="preserve">],</w:t>
      </w:r>
      <w:r>
        <w:t xml:space="preserve"> </w:t>
      </w:r>
      <w:r>
        <w:t xml:space="preserve">and miniaturization to crutch-tip envelopes. Long-term crutch use is</w:t>
      </w:r>
      <w:r>
        <w:t xml:space="preserve"> </w:t>
      </w:r>
      <w:r>
        <w:t xml:space="preserve">associated with substantial upper-extremity overuse injury and</w:t>
      </w:r>
      <w:r>
        <w:t xml:space="preserve"> </w:t>
      </w:r>
      <w:r>
        <w:t xml:space="preserve">ground-reaction-force impulses [</w:t>
      </w:r>
      <w:hyperlink w:anchor="bib60">
        <w:r>
          <w:rPr>
            <w:rStyle w:val="Hyperlink"/>
          </w:rPr>
          <w:t xml:space="preserve">60</w:t>
        </w:r>
      </w:hyperlink>
      <w:r>
        <w:t xml:space="preserve">–</w:t>
      </w:r>
      <w:hyperlink w:anchor="bib64">
        <w:r>
          <w:rPr>
            <w:rStyle w:val="Hyperlink"/>
          </w:rPr>
          <w:t xml:space="preserve">64</w:t>
        </w:r>
      </w:hyperlink>
      <w:r>
        <w:t xml:space="preserve">]. Existing</w:t>
      </w:r>
      <w:r>
        <w:t xml:space="preserve"> </w:t>
      </w:r>
      <w:r>
        <w:t xml:space="preserve">spring-loaded [</w:t>
      </w:r>
      <w:hyperlink w:anchor="bib65">
        <w:r>
          <w:rPr>
            <w:rStyle w:val="Hyperlink"/>
          </w:rPr>
          <w:t xml:space="preserve">65</w:t>
        </w:r>
      </w:hyperlink>
      <w:r>
        <w:t xml:space="preserve">,</w:t>
      </w:r>
      <w:r>
        <w:t xml:space="preserve"> </w:t>
      </w:r>
      <w:hyperlink w:anchor="bib66">
        <w:r>
          <w:rPr>
            <w:rStyle w:val="Hyperlink"/>
          </w:rPr>
          <w:t xml:space="preserve">66</w:t>
        </w:r>
      </w:hyperlink>
      <w:r>
        <w:t xml:space="preserve">] and</w:t>
      </w:r>
      <w:r>
        <w:t xml:space="preserve"> </w:t>
      </w:r>
      <w:r>
        <w:t xml:space="preserve">polymer-damped [</w:t>
      </w:r>
      <w:hyperlink w:anchor="bib67">
        <w:r>
          <w:rPr>
            <w:rStyle w:val="Hyperlink"/>
          </w:rPr>
          <w:t xml:space="preserve">67</w:t>
        </w:r>
      </w:hyperlink>
      <w:r>
        <w:t xml:space="preserve">] tip designs</w:t>
      </w:r>
      <w:r>
        <w:t xml:space="preserve"> </w:t>
      </w:r>
      <w:r>
        <w:t xml:space="preserve">reduce loading rate but not peak transmitted force. Recent</w:t>
      </w:r>
      <w:r>
        <w:t xml:space="preserve"> </w:t>
      </w:r>
      <w:r>
        <w:t xml:space="preserve">tensegrity crutch concepts [</w:t>
      </w:r>
      <w:hyperlink w:anchor="bib68">
        <w:r>
          <w:rPr>
            <w:rStyle w:val="Hyperlink"/>
          </w:rPr>
          <w:t xml:space="preserve">68</w:t>
        </w:r>
      </w:hyperlink>
      <w:r>
        <w:t xml:space="preserve">] and</w:t>
      </w:r>
      <w:r>
        <w:t xml:space="preserve"> </w:t>
      </w:r>
      <w:r>
        <w:t xml:space="preserve">open-source 3D-printed crutch</w:t>
      </w:r>
      <w:r>
        <w:t xml:space="preserve"> </w:t>
      </w:r>
      <w:r>
        <w:t xml:space="preserve">work [</w:t>
      </w:r>
      <w:hyperlink w:anchor="bib69">
        <w:r>
          <w:rPr>
            <w:rStyle w:val="Hyperlink"/>
          </w:rPr>
          <w:t xml:space="preserve">69</w:t>
        </w:r>
      </w:hyperlink>
      <w:r>
        <w:t xml:space="preserve">] suggest a plausible</w:t>
      </w:r>
      <w:r>
        <w:t xml:space="preserve"> </w:t>
      </w:r>
      <w:r>
        <w:t xml:space="preserve">translation path, with adjacent footwear and orthotic lattice</w:t>
      </w:r>
      <w:r>
        <w:t xml:space="preserve"> </w:t>
      </w:r>
      <w:r>
        <w:t xml:space="preserve">studies [</w:t>
      </w:r>
      <w:hyperlink w:anchor="bib70">
        <w:r>
          <w:rPr>
            <w:rStyle w:val="Hyperlink"/>
          </w:rPr>
          <w:t xml:space="preserve">70</w:t>
        </w:r>
      </w:hyperlink>
      <w:r>
        <w:t xml:space="preserve">–</w:t>
      </w:r>
      <w:hyperlink w:anchor="bib72">
        <w:r>
          <w:rPr>
            <w:rStyle w:val="Hyperlink"/>
          </w:rPr>
          <w:t xml:space="preserve">72</w:t>
        </w:r>
      </w:hyperlink>
      <w:r>
        <w:t xml:space="preserve">] providing transferable design</w:t>
      </w:r>
      <w:r>
        <w:t xml:space="preserve"> </w:t>
      </w:r>
      <w:r>
        <w:t xml:space="preserve">heuristics.</w:t>
      </w:r>
    </w:p>
    <w:p>
      <w:pPr>
        <w:pStyle w:val="RuninHeading4"/>
      </w:pPr>
      <w:r>
        <w:rPr>
          <w:i/>
          <w:iCs/>
        </w:rPr>
        <w:t xml:space="preserve">Limitations.</w:t>
      </w:r>
      <w:r>
        <w:t xml:space="preserve"> </w:t>
      </w:r>
      <w:r>
        <w:t xml:space="preserve">The measured evidence base is 53 articles: 35</w:t>
      </w:r>
      <w:r>
        <w:t xml:space="preserve"> </w:t>
      </w:r>
      <w:r>
        <w:t xml:space="preserve">across the four batches and 18 re-prints of the nine batch-3 designs,</w:t>
      </w:r>
      <w:r>
        <w:t xml:space="preserve"> </w:t>
      </w:r>
      <w:r>
        <w:t xml:space="preserve">which are the only designs tested more than once. The surrogate fit</w:t>
      </w:r>
      <w:r>
        <w:t xml:space="preserve"> </w:t>
      </w:r>
      <w:r>
        <w:t xml:space="preserve">includes the nine second prints but not yet the nine third prints.</w:t>
      </w:r>
      <w:r>
        <w:t xml:space="preserve"> </w:t>
      </w:r>
      <w:r>
        <w:t xml:space="preserve">That replication exposed the sensitivity to seating and printing, so</w:t>
      </w:r>
      <w:r>
        <w:t xml:space="preserve"> </w:t>
      </w:r>
      <w:r>
        <w:t xml:space="preserve">every single-article extreme, including the batch-4 record, is</w:t>
      </w:r>
      <w:r>
        <w:t xml:space="preserve"> </w:t>
      </w:r>
      <w:r>
        <w:t xml:space="preserve">provisional until its re-seat. The drop protocol probes one height,</w:t>
      </w:r>
      <w:r>
        <w:t xml:space="preserve"> </w:t>
      </w:r>
      <w:r>
        <w:t xml:space="preserve">one impact surface, and axial loading only. The specimens never leave</w:t>
      </w:r>
      <w:r>
        <w:t xml:space="preserve"> </w:t>
      </w:r>
      <w:r>
        <w:t xml:space="preserve">the elastic regime, so crush-energy metrics await the quasi-static</w:t>
      </w:r>
      <w:r>
        <w:t xml:space="preserve"> </w:t>
      </w:r>
      <w:r>
        <w:t xml:space="preserve">campaign. Per-specimen energy absorption in joules is also not</w:t>
      </w:r>
      <w:r>
        <w:t xml:space="preserve"> </w:t>
      </w:r>
      <w:r>
        <w:t xml:space="preserve">recoverable from the current rig, because the falling-mass and displacement</w:t>
      </w:r>
      <w:r>
        <w:t xml:space="preserve"> </w:t>
      </w:r>
      <w:r>
        <w:t xml:space="preserve">channels required for a force integral are not instrumented. The four</w:t>
      </w:r>
      <w:r>
        <w:t xml:space="preserve"> </w:t>
      </w:r>
      <w:r>
        <w:t xml:space="preserve">filament axes carry one value per batch, so their effects are not</w:t>
      </w:r>
      <w:r>
        <w:t xml:space="preserve"> </w:t>
      </w:r>
      <w:r>
        <w:t xml:space="preserve">identifiable. The</w:t>
      </w:r>
      <w:r>
        <w:t xml:space="preserve"> </w:t>
      </w:r>
      <w:r>
        <w:t xml:space="preserve">held-out prediction skill of the surrogate declined as the input space</w:t>
      </w:r>
      <w:r>
        <w:t xml:space="preserve"> </w:t>
      </w:r>
      <w:r>
        <w:t xml:space="preserve">grew (Section </w:t>
      </w:r>
      <w:hyperlink w:anchor="lbl_sec_results_audits">
        <w:r>
          <w:rPr>
            <w:rStyle w:val="Hyperlink"/>
          </w:rPr>
          <w:t xml:space="preserve">4.3</w:t>
        </w:r>
      </w:hyperlink>
      <w:r>
        <w:t xml:space="preserve">). One tested seed article lacks</w:t>
      </w:r>
      <w:r>
        <w:t xml:space="preserve"> </w:t>
      </w:r>
      <w:r>
        <w:t xml:space="preserve">a design mapping, one seed design’s official article assignment</w:t>
      </w:r>
      <w:r>
        <w:t xml:space="preserve"> </w:t>
      </w:r>
      <w:r>
        <w:t xml:space="preserve">carries a recorded discrepancy, and two seed designs have no session</w:t>
      </w:r>
      <w:r>
        <w:t xml:space="preserve"> </w:t>
      </w:r>
      <w:r>
        <w:t xml:space="preserve">record. All results come from a single printer, material pair, and</w:t>
      </w:r>
      <w:r>
        <w:t xml:space="preserve"> </w:t>
      </w:r>
      <w:r>
        <w:t xml:space="preserve">cell topology. We plan to address these limits with the replication</w:t>
      </w:r>
      <w:r>
        <w:t xml:space="preserve"> </w:t>
      </w:r>
      <w:r>
        <w:t xml:space="preserve">rule, the re-seat confirmations, the replicate rank-stability study</w:t>
      </w:r>
      <w:r>
        <w:t xml:space="preserve"> </w:t>
      </w:r>
      <w:r>
        <w:t xml:space="preserve">(Section </w:t>
      </w:r>
      <w:hyperlink w:anchor="lbl_sec_methods_rankstability">
        <w:r>
          <w:rPr>
            <w:rStyle w:val="Hyperlink"/>
          </w:rPr>
          <w:t xml:space="preserve">3.5</w:t>
        </w:r>
      </w:hyperlink>
      <w:r>
        <w:t xml:space="preserve">), and the metal-analog</w:t>
      </w:r>
      <w:r>
        <w:t xml:space="preserve"> </w:t>
      </w:r>
      <w:r>
        <w:t xml:space="preserve">protocol (Section </w:t>
      </w:r>
      <w:hyperlink w:anchor="lbl_sec_methods_validation">
        <w:r>
          <w:rPr>
            <w:rStyle w:val="Hyperlink"/>
          </w:rPr>
          <w:t xml:space="preserve">3.6</w:t>
        </w:r>
      </w:hyperlink>
      <w:r>
        <w:t xml:space="preserve">).</w:t>
      </w:r>
    </w:p>
    <w:bookmarkEnd w:id="72"/>
    <w:bookmarkStart w:id="73" w:name="lbl_sec_conclusions"/>
    <w:p>
      <w:pPr>
        <w:pStyle w:val="Heading1"/>
      </w:pPr>
      <w:r>
        <w:t xml:space="preserve">6 Conclusions</w:t>
      </w:r>
    </w:p>
    <w:p>
      <w:pPr>
        <w:pStyle w:val="FirstParagraph"/>
      </w:pPr>
      <w:r>
        <w:t xml:space="preserve">We have presented an experiment-driven Bayesian-optimization</w:t>
      </w:r>
      <w:r>
        <w:t xml:space="preserve"> </w:t>
      </w:r>
      <w:r>
        <w:t xml:space="preserve">framework for designing multi-material 3D-printed tensegrity-inspired</w:t>
      </w:r>
      <w:r>
        <w:t xml:space="preserve"> </w:t>
      </w:r>
      <w:r>
        <w:t xml:space="preserve">energy absorbers, with TPU used in place of the traditional tension</w:t>
      </w:r>
      <w:r>
        <w:t xml:space="preserve"> </w:t>
      </w:r>
      <w:r>
        <w:t xml:space="preserve">elements and PLA members carrying compression most of the time. We</w:t>
      </w:r>
      <w:r>
        <w:t xml:space="preserve"> </w:t>
      </w:r>
      <w:r>
        <w:t xml:space="preserve">have run it through the recommend, fabricate, measure, and update</w:t>
      </w:r>
      <w:r>
        <w:t xml:space="preserve"> </w:t>
      </w:r>
      <w:r>
        <w:t xml:space="preserve">cycle three times on physical hardware. The framework parameterizes a</w:t>
      </w:r>
      <w:r>
        <w:t xml:space="preserve"> </w:t>
      </w:r>
      <w:r>
        <w:rPr>
          <w:i/>
          <w:iCs/>
        </w:rPr>
        <w:t xml:space="preserve">T</w:t>
      </w:r>
      <w:r>
        <w:rPr>
          <w:vertAlign w:val="subscript"/>
        </w:rPr>
        <w:t xml:space="preserve">3</w:t>
      </w:r>
      <w:r>
        <w:t xml:space="preserve">-prism family (five geometry variables, joined in batch 3 by</w:t>
      </w:r>
      <w:r>
        <w:t xml:space="preserve"> </w:t>
      </w:r>
      <w:r>
        <w:t xml:space="preserve">infill and filament process variables) under a constant-mass fairness</w:t>
      </w:r>
      <w:r>
        <w:t xml:space="preserve"> </w:t>
      </w:r>
      <w:r>
        <w:t xml:space="preserve">projection. It fabricates each candidate in a single multi-material</w:t>
      </w:r>
      <w:r>
        <w:t xml:space="preserve"> </w:t>
      </w:r>
      <w:r>
        <w:t xml:space="preserve">FDM build with TPU tendons anchored inside the PLA strut ends and</w:t>
      </w:r>
      <w:r>
        <w:t xml:space="preserve"> </w:t>
      </w:r>
      <w:r>
        <w:t xml:space="preserve">characterizes every article with repeated instrumented drops (101</w:t>
      </w:r>
      <w:r>
        <w:t xml:space="preserve"> </w:t>
      </w:r>
      <w:r>
        <w:t xml:space="preserve">stabilized captures in the seed batch, about twenty thereafter). A</w:t>
      </w:r>
      <w:r>
        <w:t xml:space="preserve"> </w:t>
      </w:r>
      <w:r>
        <w:t xml:space="preserve">fully Bayesian Gaussian-process</w:t>
      </w:r>
      <w:r>
        <w:t xml:space="preserve"> </w:t>
      </w:r>
      <w:r>
        <w:t xml:space="preserve">surrogate [</w:t>
      </w:r>
      <w:hyperlink w:anchor="bib20">
        <w:r>
          <w:rPr>
            <w:rStyle w:val="Hyperlink"/>
          </w:rPr>
          <w:t xml:space="preserve">20</w:t>
        </w:r>
      </w:hyperlink>
      <w:r>
        <w:t xml:space="preserve">,</w:t>
      </w:r>
      <w:r>
        <w:t xml:space="preserve"> </w:t>
      </w:r>
      <w:hyperlink w:anchor="bib22">
        <w:r>
          <w:rPr>
            <w:rStyle w:val="Hyperlink"/>
          </w:rPr>
          <w:t xml:space="preserve">22</w:t>
        </w:r>
      </w:hyperlink>
      <w:r>
        <w:t xml:space="preserve">] fitted to</w:t>
      </w:r>
      <w:r>
        <w:t xml:space="preserve"> </w:t>
      </w:r>
      <w:r>
        <w:t xml:space="preserve">those measurements recommends the next batch. Across the four measured batches (35</w:t>
      </w:r>
      <w:r>
        <w:t xml:space="preserve"> </w:t>
      </w:r>
      <w:r>
        <w:t xml:space="preserve">articles), the transmissibility spanned 0.803 to 1.334, and most</w:t>
      </w:r>
      <w:r>
        <w:t xml:space="preserve"> </w:t>
      </w:r>
      <w:r>
        <w:t xml:space="preserve">articles amplified the peak shock. The model-recommended batches grew</w:t>
      </w:r>
      <w:r>
        <w:t xml:space="preserve"> </w:t>
      </w:r>
      <w:r>
        <w:t xml:space="preserve">the dominated hypervolume 65% over the Sobol seed front, ending with</w:t>
      </w:r>
      <w:r>
        <w:t xml:space="preserve"> </w:t>
      </w:r>
      <w:r>
        <w:t xml:space="preserve">a front whose five members are all model-chosen. The batch-4</w:t>
      </w:r>
      <w:r>
        <w:t xml:space="preserve"> </w:t>
      </w:r>
      <w:r>
        <w:t xml:space="preserve">best-predicted design set the program record at</w:t>
      </w:r>
      <w:r>
        <w:t xml:space="preserve"> </w:t>
      </w:r>
      <w:r>
        <w:rPr>
          <w:i/>
          <w:iCs/>
        </w:rPr>
        <w:t xml:space="preserve">t</w:t>
      </w:r>
      <w:r>
        <w:rPr>
          <w:vertAlign w:val="subscript"/>
        </w:rPr>
        <w:t xml:space="preserve">180</w:t>
      </w:r>
      <w:r>
        <w:t xml:space="preserve"> = 0.803,</w:t>
      </w:r>
      <w:r>
        <w:t xml:space="preserve"> </w:t>
      </w:r>
      <w:r>
        <w:t xml:space="preserve">ten percent below the best seed article, and awaits its re-seat</w:t>
      </w:r>
      <w:r>
        <w:t xml:space="preserve"> </w:t>
      </w:r>
      <w:r>
        <w:t xml:space="preserve">confirmation under the campaign’s replication rule. Printing one</w:t>
      </w:r>
      <w:r>
        <w:t xml:space="preserve"> </w:t>
      </w:r>
      <w:r>
        <w:t xml:space="preserve">batch’s nine designs three times put the print-to-print standard</w:t>
      </w:r>
      <w:r>
        <w:t xml:space="preserve"> </w:t>
      </w:r>
      <w:r>
        <w:t xml:space="preserve">deviation of the transmissibility at 0.009, an order of magnitude</w:t>
      </w:r>
      <w:r>
        <w:t xml:space="preserve"> </w:t>
      </w:r>
      <w:r>
        <w:t xml:space="preserve">above the standard error of a session mean. A broadband seat gauge</w:t>
      </w:r>
      <w:r>
        <w:t xml:space="preserve"> </w:t>
      </w:r>
      <w:r>
        <w:t xml:space="preserve">flagged both of the largest single-print errors, so a single-print</w:t>
      </w:r>
      <w:r>
        <w:t xml:space="preserve"> </w:t>
      </w:r>
      <w:r>
        <w:t xml:space="preserve">extreme needs a replicate, or at least a clean re-seat, before it</w:t>
      </w:r>
      <w:r>
        <w:t xml:space="preserve"> </w:t>
      </w:r>
      <w:r>
        <w:t xml:space="preserve">counts.</w:t>
      </w:r>
      <w:r>
        <w:t xml:space="preserve"> </w:t>
      </w:r>
      <w:r>
        <w:rPr>
          <w:rStyle w:val="PlaceholderText"/>
        </w:rPr>
        <w:t xml:space="preserve">[Placeholder: what the replicate study shows about rank</w:t>
      </w:r>
      <w:r>
        <w:rPr>
          <w:rStyle w:val="PlaceholderText"/>
        </w:rPr>
        <w:t xml:space="preserve"> </w:t>
      </w:r>
      <w:r>
        <w:rPr>
          <w:rStyle w:val="PlaceholderText"/>
        </w:rPr>
        <w:t xml:space="preserve">stability.]</w:t>
      </w:r>
      <w:r>
        <w:t xml:space="preserve"> </w:t>
      </w:r>
      <w:r>
        <w:t xml:space="preserve">The workflow is a candidate for other experimentally evaluated</w:t>
      </w:r>
      <w:r>
        <w:t xml:space="preserve"> </w:t>
      </w:r>
      <w:r>
        <w:t xml:space="preserve">architected structures whose constitutive response is difficult to</w:t>
      </w:r>
      <w:r>
        <w:t xml:space="preserve"> </w:t>
      </w:r>
      <w:r>
        <w:t xml:space="preserve">calibrate from first principles, but transfer beyond this printer,</w:t>
      </w:r>
      <w:r>
        <w:t xml:space="preserve"> </w:t>
      </w:r>
      <w:r>
        <w:t xml:space="preserve">material pair, topology, and axial impact condition remains untested.</w:t>
      </w:r>
    </w:p>
    <w:bookmarkEnd w:id="73"/>
    <w:p>
      <w:pPr>
        <w:pStyle w:val="Heading1"/>
      </w:pPr>
      <w:r>
        <w:t xml:space="preserve">Acknowledgment</w:t>
      </w:r>
    </w:p>
    <w:p>
      <w:pPr>
        <w:pStyle w:val="FirstParagraph"/>
      </w:pPr>
      <w:r>
        <w:t xml:space="preserve">This work was supported by the Brigham Young University Mentored</w:t>
      </w:r>
      <w:r>
        <w:t xml:space="preserve"> </w:t>
      </w:r>
      <w:r>
        <w:t xml:space="preserve">Research Grant program. The authors thank the undergraduate researchers</w:t>
      </w:r>
      <w:r>
        <w:t xml:space="preserve"> </w:t>
      </w:r>
      <w:r>
        <w:t xml:space="preserve">who carried out the multi-material printing and impact testing, and the</w:t>
      </w:r>
      <w:r>
        <w:t xml:space="preserve"> </w:t>
      </w:r>
      <w:r>
        <w:t xml:space="preserve">graduate co-mentor who supported day-to-day operations.</w:t>
      </w:r>
    </w:p>
    <w:p>
      <w:pPr>
        <w:pStyle w:val="Heading1"/>
      </w:pPr>
      <w:r>
        <w:t xml:space="preserve">Funding Data</w:t>
      </w:r>
    </w:p>
    <w:p>
      <w:pPr>
        <w:pStyle w:val="Compact"/>
        <w:numPr>
          <w:ilvl w:val="0"/>
          <w:numId w:val="1003"/>
        </w:numPr>
      </w:pPr>
      <w:r>
        <w:t xml:space="preserve">Brigham Young University Mentored Research Grant.</w:t>
      </w:r>
    </w:p>
    <w:p>
      <w:pPr>
        <w:pStyle w:val="Heading1"/>
      </w:pPr>
      <w:r>
        <w:t xml:space="preserve">Conflict of Interest</w:t>
      </w:r>
    </w:p>
    <w:p>
      <w:pPr>
        <w:pStyle w:val="FirstParagraph"/>
      </w:pPr>
      <w:r>
        <w:t xml:space="preserve">The authors declare no conflict of interest.</w:t>
      </w:r>
    </w:p>
    <w:p>
      <w:pPr>
        <w:pStyle w:val="Heading1"/>
      </w:pPr>
      <w:r>
        <w:t xml:space="preserve">References</w:t>
      </w:r>
    </w:p>
    <w:bookmarkStart w:id="75" w:name="bib1"/>
    <w:p>
      <w:pPr>
        <w:pStyle w:val="Bibliography"/>
      </w:pPr>
      <w:r>
        <w:t xml:space="preserve">[1]</w:t>
      </w:r>
      <w:r>
        <w:tab/>
      </w:r>
      <w:r>
        <w:t xml:space="preserve">Skelton, R. E. and de Oliveira, M. C., 2009,</w:t>
      </w:r>
      <w:r>
        <w:t xml:space="preserve"> </w:t>
      </w:r>
      <w:hyperlink r:id="rId74">
        <w:r>
          <w:rPr>
            <w:rStyle w:val="Hyperlink"/>
            <w:i/>
            <w:iCs/>
          </w:rPr>
          <w:t xml:space="preserve">Tensegrity</w:t>
        </w:r>
        <w:r>
          <w:rPr>
            <w:rStyle w:val="Hyperlink"/>
            <w:i/>
            <w:iCs/>
          </w:rPr>
          <w:t xml:space="preserve"> </w:t>
        </w:r>
        <w:r>
          <w:rPr>
            <w:rStyle w:val="Hyperlink"/>
            <w:i/>
            <w:iCs/>
          </w:rPr>
          <w:t xml:space="preserve">Systems</w:t>
        </w:r>
      </w:hyperlink>
      <w:r>
        <w:t xml:space="preserve">, Springer, New York.</w:t>
      </w:r>
    </w:p>
    <w:bookmarkEnd w:id="75"/>
    <w:bookmarkStart w:id="77" w:name="bib2"/>
    <w:p>
      <w:pPr>
        <w:pStyle w:val="Bibliography"/>
      </w:pPr>
      <w:r>
        <w:t xml:space="preserve">[2]</w:t>
      </w:r>
      <w:r>
        <w:tab/>
      </w:r>
      <w:r>
        <w:t xml:space="preserve">Sultan, C., 2009,</w:t>
      </w:r>
      <w:r>
        <w:t xml:space="preserve"> </w:t>
      </w:r>
      <w:r>
        <w:t xml:space="preserve">“</w:t>
      </w:r>
      <w:r>
        <w:t xml:space="preserve">Tensegrity: 60 Years of Art, Science, and</w:t>
      </w:r>
      <w:r>
        <w:t xml:space="preserve"> </w:t>
      </w:r>
      <w:r>
        <w:t xml:space="preserve">Engineering,</w:t>
      </w:r>
      <w:r>
        <w:t xml:space="preserve">”</w:t>
      </w:r>
      <w:r>
        <w:t xml:space="preserve"> </w:t>
      </w:r>
      <w:hyperlink r:id="rId76">
        <w:r>
          <w:rPr>
            <w:rStyle w:val="Hyperlink"/>
          </w:rPr>
          <w:t xml:space="preserve">Advances in Applied</w:t>
        </w:r>
        <w:r>
          <w:rPr>
            <w:rStyle w:val="Hyperlink"/>
          </w:rPr>
          <w:t xml:space="preserve"> </w:t>
        </w:r>
        <w:r>
          <w:rPr>
            <w:rStyle w:val="Hyperlink"/>
          </w:rPr>
          <w:t xml:space="preserve">Mechanics</w:t>
        </w:r>
      </w:hyperlink>
      <w:r>
        <w:t xml:space="preserve">,</w:t>
      </w:r>
      <w:r>
        <w:t xml:space="preserve"> </w:t>
      </w:r>
      <w:r>
        <w:rPr>
          <w:b/>
          <w:bCs/>
        </w:rPr>
        <w:t xml:space="preserve">43</w:t>
      </w:r>
      <w:r>
        <w:t xml:space="preserve">, pp. 69–145.</w:t>
      </w:r>
    </w:p>
    <w:bookmarkEnd w:id="77"/>
    <w:bookmarkStart w:id="79" w:name="bib3"/>
    <w:p>
      <w:pPr>
        <w:pStyle w:val="Bibliography"/>
      </w:pPr>
      <w:r>
        <w:t xml:space="preserve">[3]</w:t>
      </w:r>
      <w:r>
        <w:tab/>
      </w:r>
      <w:r>
        <w:t xml:space="preserve">Amendola, A., Carpentieri, G., de Oliveira, M. C., Skelton, R. E., and</w:t>
      </w:r>
      <w:r>
        <w:t xml:space="preserve"> </w:t>
      </w:r>
      <w:r>
        <w:t xml:space="preserve">Fraternali, F., 2014,</w:t>
      </w:r>
      <w:r>
        <w:t xml:space="preserve"> </w:t>
      </w:r>
      <w:r>
        <w:t xml:space="preserve">“</w:t>
      </w:r>
      <w:r>
        <w:t xml:space="preserve">Experimental Investigation of the</w:t>
      </w:r>
      <w:r>
        <w:t xml:space="preserve"> </w:t>
      </w:r>
      <w:r>
        <w:t xml:space="preserve">Softening–Stiffening Response of Tensegrity Prisms under Compressive</w:t>
      </w:r>
      <w:r>
        <w:t xml:space="preserve"> </w:t>
      </w:r>
      <w:r>
        <w:t xml:space="preserve">Loading,</w:t>
      </w:r>
      <w:r>
        <w:t xml:space="preserve">”</w:t>
      </w:r>
      <w:r>
        <w:t xml:space="preserve"> </w:t>
      </w:r>
      <w:hyperlink r:id="rId78">
        <w:r>
          <w:rPr>
            <w:rStyle w:val="Hyperlink"/>
          </w:rPr>
          <w:t xml:space="preserve">Composite</w:t>
        </w:r>
        <w:r>
          <w:rPr>
            <w:rStyle w:val="Hyperlink"/>
          </w:rPr>
          <w:t xml:space="preserve"> </w:t>
        </w:r>
        <w:r>
          <w:rPr>
            <w:rStyle w:val="Hyperlink"/>
          </w:rPr>
          <w:t xml:space="preserve">Structures</w:t>
        </w:r>
      </w:hyperlink>
      <w:r>
        <w:t xml:space="preserve">,</w:t>
      </w:r>
      <w:r>
        <w:t xml:space="preserve"> </w:t>
      </w:r>
      <w:r>
        <w:rPr>
          <w:b/>
          <w:bCs/>
        </w:rPr>
        <w:t xml:space="preserve">117</w:t>
      </w:r>
      <w:r>
        <w:t xml:space="preserve">, pp. 234–243.</w:t>
      </w:r>
    </w:p>
    <w:bookmarkEnd w:id="79"/>
    <w:bookmarkStart w:id="81" w:name="bib4"/>
    <w:p>
      <w:pPr>
        <w:pStyle w:val="Bibliography"/>
      </w:pPr>
      <w:r>
        <w:t xml:space="preserve">[4]</w:t>
      </w:r>
      <w:r>
        <w:tab/>
      </w:r>
      <w:r>
        <w:t xml:space="preserve">Zhang, Q., Zhang, D., Dobah, Y., Scarpa, F., Fraternali, F., and Skelton,</w:t>
      </w:r>
      <w:r>
        <w:t xml:space="preserve"> </w:t>
      </w:r>
      <w:r>
        <w:t xml:space="preserve">R. E., 2018,</w:t>
      </w:r>
      <w:r>
        <w:t xml:space="preserve"> </w:t>
      </w:r>
      <w:r>
        <w:t xml:space="preserve">“</w:t>
      </w:r>
      <w:r>
        <w:t xml:space="preserve">Tensegrity Cell Mechanical Metamaterial with Metal</w:t>
      </w:r>
      <w:r>
        <w:t xml:space="preserve"> </w:t>
      </w:r>
      <w:r>
        <w:t xml:space="preserve">Rubber,</w:t>
      </w:r>
      <w:r>
        <w:t xml:space="preserve">”</w:t>
      </w:r>
      <w:r>
        <w:t xml:space="preserve"> </w:t>
      </w:r>
      <w:hyperlink r:id="rId80">
        <w:r>
          <w:rPr>
            <w:rStyle w:val="Hyperlink"/>
          </w:rPr>
          <w:t xml:space="preserve">Applied Physics</w:t>
        </w:r>
        <w:r>
          <w:rPr>
            <w:rStyle w:val="Hyperlink"/>
          </w:rPr>
          <w:t xml:space="preserve"> </w:t>
        </w:r>
        <w:r>
          <w:rPr>
            <w:rStyle w:val="Hyperlink"/>
          </w:rPr>
          <w:t xml:space="preserve">Letters</w:t>
        </w:r>
      </w:hyperlink>
      <w:r>
        <w:t xml:space="preserve">,</w:t>
      </w:r>
      <w:r>
        <w:t xml:space="preserve"> </w:t>
      </w:r>
      <w:r>
        <w:rPr>
          <w:b/>
          <w:bCs/>
        </w:rPr>
        <w:t xml:space="preserve">113</w:t>
      </w:r>
      <w:r>
        <w:t xml:space="preserve">(3), p. 031906.</w:t>
      </w:r>
    </w:p>
    <w:bookmarkEnd w:id="81"/>
    <w:bookmarkStart w:id="83" w:name="bib5"/>
    <w:p>
      <w:pPr>
        <w:pStyle w:val="Bibliography"/>
      </w:pPr>
      <w:r>
        <w:t xml:space="preserve">[5]</w:t>
      </w:r>
      <w:r>
        <w:tab/>
      </w:r>
      <w:r>
        <w:t xml:space="preserve">Fraternali, F., Carpentieri, G., and Amendola, A., 2015,</w:t>
      </w:r>
      <w:r>
        <w:t xml:space="preserve"> </w:t>
      </w:r>
      <w:r>
        <w:t xml:space="preserve">“</w:t>
      </w:r>
      <w:r>
        <w:t xml:space="preserve">Tensegrity</w:t>
      </w:r>
      <w:r>
        <w:t xml:space="preserve"> </w:t>
      </w:r>
      <w:r>
        <w:t xml:space="preserve">Ring Structures for Impact Protection,</w:t>
      </w:r>
      <w:r>
        <w:t xml:space="preserve">”</w:t>
      </w:r>
      <w:r>
        <w:t xml:space="preserve"> </w:t>
      </w:r>
      <w:hyperlink r:id="rId82">
        <w:r>
          <w:rPr>
            <w:rStyle w:val="Hyperlink"/>
          </w:rPr>
          <w:t xml:space="preserve">International</w:t>
        </w:r>
        <w:r>
          <w:rPr>
            <w:rStyle w:val="Hyperlink"/>
          </w:rPr>
          <w:t xml:space="preserve"> </w:t>
        </w:r>
        <w:r>
          <w:rPr>
            <w:rStyle w:val="Hyperlink"/>
          </w:rPr>
          <w:t xml:space="preserve">Journal of Solids and Structures</w:t>
        </w:r>
      </w:hyperlink>
      <w:r>
        <w:t xml:space="preserve">,</w:t>
      </w:r>
      <w:r>
        <w:t xml:space="preserve"> </w:t>
      </w:r>
      <w:r>
        <w:rPr>
          <w:b/>
          <w:bCs/>
        </w:rPr>
        <w:t xml:space="preserve">65–66</w:t>
      </w:r>
      <w:r>
        <w:t xml:space="preserve">, pp. 232–243.</w:t>
      </w:r>
    </w:p>
    <w:bookmarkEnd w:id="83"/>
    <w:bookmarkStart w:id="85" w:name="bib6"/>
    <w:p>
      <w:pPr>
        <w:pStyle w:val="Bibliography"/>
      </w:pPr>
      <w:r>
        <w:t xml:space="preserve">[6]</w:t>
      </w:r>
      <w:r>
        <w:tab/>
      </w:r>
      <w:r>
        <w:t xml:space="preserve">Agogino, A. K., SunSpiral, V., and Atkinson, D., 2018,</w:t>
      </w:r>
      <w:r>
        <w:t xml:space="preserve"> </w:t>
      </w:r>
      <w:r>
        <w:t xml:space="preserve">“</w:t>
      </w:r>
      <w:r>
        <w:t xml:space="preserve">Super</w:t>
      </w:r>
      <w:r>
        <w:t xml:space="preserve"> </w:t>
      </w:r>
      <w:r>
        <w:t xml:space="preserve">B</w:t>
      </w:r>
      <w:r>
        <w:t xml:space="preserve">all</w:t>
      </w:r>
      <w:r>
        <w:t xml:space="preserve"> </w:t>
      </w:r>
      <w:r>
        <w:t xml:space="preserve">B</w:t>
      </w:r>
      <w:r>
        <w:t xml:space="preserve">ot — Structures for Planetary Landing and Exploration,</w:t>
      </w:r>
      <w:r>
        <w:t xml:space="preserve">”</w:t>
      </w:r>
      <w:r>
        <w:t xml:space="preserve"> </w:t>
      </w:r>
      <w:r>
        <w:t xml:space="preserve">NASA Ames</w:t>
      </w:r>
      <w:r>
        <w:t xml:space="preserve"> </w:t>
      </w:r>
      <w:r>
        <w:t xml:space="preserve">Research Center,</w:t>
      </w:r>
      <w:r>
        <w:t xml:space="preserve"> </w:t>
      </w:r>
      <w:hyperlink r:id="rId84">
        <w:r>
          <w:rPr>
            <w:rStyle w:val="Hyperlink"/>
          </w:rPr>
          <w:t xml:space="preserve">https://www.nasa.gov/general/super-ball-bot/</w:t>
        </w:r>
      </w:hyperlink>
    </w:p>
    <w:bookmarkEnd w:id="85"/>
    <w:bookmarkStart w:id="86" w:name="bib7"/>
    <w:p>
      <w:pPr>
        <w:pStyle w:val="Bibliography"/>
      </w:pPr>
      <w:r>
        <w:t xml:space="preserve">[7]</w:t>
      </w:r>
      <w:r>
        <w:tab/>
      </w:r>
      <w:r>
        <w:t xml:space="preserve">Caluwaerts, K., Agogino, A. M., and SunSpiral, V., 2014,</w:t>
      </w:r>
      <w:r>
        <w:t xml:space="preserve"> </w:t>
      </w:r>
      <w:r>
        <w:t xml:space="preserve">“</w:t>
      </w:r>
      <w:r>
        <w:t xml:space="preserve">SUPERball</w:t>
      </w:r>
      <w:r>
        <w:t xml:space="preserve">:</w:t>
      </w:r>
      <w:r>
        <w:t xml:space="preserve"> </w:t>
      </w:r>
      <w:r>
        <w:t xml:space="preserve">Exploring Tensegrities for Planetary Probes,</w:t>
      </w:r>
      <w:r>
        <w:t xml:space="preserve">”</w:t>
      </w:r>
      <w:r>
        <w:t xml:space="preserve"> </w:t>
      </w:r>
      <w:r>
        <w:rPr>
          <w:i/>
          <w:iCs/>
        </w:rPr>
        <w:t xml:space="preserve">Proceedings of the 12th</w:t>
      </w:r>
      <w:r>
        <w:rPr>
          <w:i/>
          <w:iCs/>
        </w:rPr>
        <w:t xml:space="preserve"> </w:t>
      </w:r>
      <w:r>
        <w:rPr>
          <w:i/>
          <w:iCs/>
        </w:rPr>
        <w:t xml:space="preserve">International Symposium on Artificial Intelligence, Robotics and Automation</w:t>
      </w:r>
      <w:r>
        <w:rPr>
          <w:i/>
          <w:iCs/>
        </w:rPr>
        <w:t xml:space="preserve"> </w:t>
      </w:r>
      <w:r>
        <w:rPr>
          <w:i/>
          <w:iCs/>
        </w:rPr>
        <w:t xml:space="preserve">in Space (i-SAIRAS)</w:t>
      </w:r>
      <w:r>
        <w:t xml:space="preserve">.</w:t>
      </w:r>
    </w:p>
    <w:bookmarkEnd w:id="86"/>
    <w:bookmarkStart w:id="87" w:name="bib8"/>
    <w:p>
      <w:pPr>
        <w:pStyle w:val="Bibliography"/>
      </w:pPr>
      <w:r>
        <w:t xml:space="preserve">[8]</w:t>
      </w:r>
      <w:r>
        <w:tab/>
      </w:r>
      <w:r>
        <w:t xml:space="preserve">Sabelhaus, A. P., Bruce, J., Caluwaerts, K., Manovi, P., Firoozi, R. F., Dobi,</w:t>
      </w:r>
      <w:r>
        <w:t xml:space="preserve"> </w:t>
      </w:r>
      <w:r>
        <w:t xml:space="preserve">S., Agogino, A. M., and SunSpiral, V., 2015,</w:t>
      </w:r>
      <w:r>
        <w:t xml:space="preserve"> </w:t>
      </w:r>
      <w:r>
        <w:t xml:space="preserve">“</w:t>
      </w:r>
      <w:r>
        <w:t xml:space="preserve">System Design and</w:t>
      </w:r>
      <w:r>
        <w:t xml:space="preserve"> </w:t>
      </w:r>
      <w:r>
        <w:t xml:space="preserve">Locomotion of</w:t>
      </w:r>
      <w:r>
        <w:t xml:space="preserve"> </w:t>
      </w:r>
      <w:r>
        <w:t xml:space="preserve">SUPERball</w:t>
      </w:r>
      <w:r>
        <w:t xml:space="preserve">, an Untethered Tensegrity Robot,</w:t>
      </w:r>
      <w:r>
        <w:t xml:space="preserve">”</w:t>
      </w:r>
      <w:r>
        <w:t xml:space="preserve"> </w:t>
      </w:r>
      <w:r>
        <w:rPr>
          <w:i/>
          <w:iCs/>
        </w:rPr>
        <w:t xml:space="preserve">2015 IEEE</w:t>
      </w:r>
      <w:r>
        <w:rPr>
          <w:i/>
          <w:iCs/>
        </w:rPr>
        <w:t xml:space="preserve"> </w:t>
      </w:r>
      <w:r>
        <w:rPr>
          <w:i/>
          <w:iCs/>
        </w:rPr>
        <w:t xml:space="preserve">International Conference on Robotics and Automation (ICRA)</w:t>
      </w:r>
      <w:r>
        <w:t xml:space="preserve">, pp. 2867–2873,</w:t>
      </w:r>
      <w:r>
        <w:t xml:space="preserve"> </w:t>
      </w:r>
      <w:r>
        <w:t xml:space="preserve">.</w:t>
      </w:r>
    </w:p>
    <w:bookmarkEnd w:id="87"/>
    <w:bookmarkStart w:id="88" w:name="bib9"/>
    <w:p>
      <w:pPr>
        <w:pStyle w:val="Bibliography"/>
      </w:pPr>
      <w:r>
        <w:t xml:space="preserve">[9]</w:t>
      </w:r>
      <w:r>
        <w:tab/>
      </w:r>
      <w:r>
        <w:t xml:space="preserve">Vespignani, M., Friesen, J. M., SunSpiral, V., and Bruce, J., 2018,</w:t>
      </w:r>
      <w:r>
        <w:t xml:space="preserve"> </w:t>
      </w:r>
      <w:r>
        <w:t xml:space="preserve">“</w:t>
      </w:r>
      <w:r>
        <w:t xml:space="preserve">Design of</w:t>
      </w:r>
      <w:r>
        <w:t xml:space="preserve"> </w:t>
      </w:r>
      <w:r>
        <w:t xml:space="preserve">SUPERball v2</w:t>
      </w:r>
      <w:r>
        <w:t xml:space="preserve">, a Compliant Tensegrity Robot for Absorbing</w:t>
      </w:r>
      <w:r>
        <w:t xml:space="preserve"> </w:t>
      </w:r>
      <w:r>
        <w:t xml:space="preserve">Large Impacts,</w:t>
      </w:r>
      <w:r>
        <w:t xml:space="preserve">”</w:t>
      </w:r>
      <w:r>
        <w:t xml:space="preserve"> </w:t>
      </w:r>
      <w:r>
        <w:rPr>
          <w:i/>
          <w:iCs/>
        </w:rPr>
        <w:t xml:space="preserve">2018 IEEE/RSJ International Conference on Intelligent</w:t>
      </w:r>
      <w:r>
        <w:rPr>
          <w:i/>
          <w:iCs/>
        </w:rPr>
        <w:t xml:space="preserve"> </w:t>
      </w:r>
      <w:r>
        <w:rPr>
          <w:i/>
          <w:iCs/>
        </w:rPr>
        <w:t xml:space="preserve">Robots and Systems (IROS)</w:t>
      </w:r>
      <w:r>
        <w:t xml:space="preserve">, pp. 2865–2871, .</w:t>
      </w:r>
    </w:p>
    <w:bookmarkEnd w:id="88"/>
    <w:bookmarkStart w:id="89" w:name="bib10"/>
    <w:p>
      <w:pPr>
        <w:pStyle w:val="Bibliography"/>
      </w:pPr>
      <w:r>
        <w:t xml:space="preserve">[10]</w:t>
      </w:r>
      <w:r>
        <w:tab/>
      </w:r>
      <w:r>
        <w:t xml:space="preserve">Deitrich, N., Baldonado, K. M., Khan, A., Cook, J., and Rizzo, L., 2022,</w:t>
      </w:r>
      <w:r>
        <w:t xml:space="preserve"> </w:t>
      </w:r>
      <w:r>
        <w:t xml:space="preserve">“</w:t>
      </w:r>
      <w:r>
        <w:t xml:space="preserve">A Rideshare Tensegrity Rover Concept to Explore</w:t>
      </w:r>
      <w:r>
        <w:t xml:space="preserve"> </w:t>
      </w:r>
      <w:r>
        <w:t xml:space="preserve">T</w:t>
      </w:r>
      <w:r>
        <w:t xml:space="preserve">itan’s Lands and</w:t>
      </w:r>
      <w:r>
        <w:t xml:space="preserve"> </w:t>
      </w:r>
      <w:r>
        <w:t xml:space="preserve">Oceans,</w:t>
      </w:r>
      <w:r>
        <w:t xml:space="preserve">”</w:t>
      </w:r>
      <w:r>
        <w:t xml:space="preserve"> </w:t>
      </w:r>
      <w:r>
        <w:rPr>
          <w:i/>
          <w:iCs/>
        </w:rPr>
        <w:t xml:space="preserve">AIAA SciTech Forum</w:t>
      </w:r>
      <w:r>
        <w:t xml:space="preserve">, NASA Langley Research Center / Ames</w:t>
      </w:r>
      <w:r>
        <w:t xml:space="preserve"> </w:t>
      </w:r>
      <w:r>
        <w:t xml:space="preserve">Research Center.</w:t>
      </w:r>
    </w:p>
    <w:bookmarkEnd w:id="89"/>
    <w:bookmarkStart w:id="91" w:name="bib11"/>
    <w:p>
      <w:pPr>
        <w:pStyle w:val="Bibliography"/>
      </w:pPr>
      <w:r>
        <w:t xml:space="preserve">[11]</w:t>
      </w:r>
      <w:r>
        <w:tab/>
      </w:r>
      <w:r>
        <w:t xml:space="preserve">Pajunen, K., Johanns, P., Pal, R. K., Rimoli, J. J., and Daraio, C., 2019,</w:t>
      </w:r>
      <w:r>
        <w:t xml:space="preserve"> </w:t>
      </w:r>
      <w:r>
        <w:t xml:space="preserve">“</w:t>
      </w:r>
      <w:r>
        <w:t xml:space="preserve">Design and Impact Response of</w:t>
      </w:r>
      <w:r>
        <w:t xml:space="preserve"> </w:t>
      </w:r>
      <w:r>
        <w:t xml:space="preserve">3D</w:t>
      </w:r>
      <w:r>
        <w:t xml:space="preserve">-Printable Tensegrity-Inspired</w:t>
      </w:r>
      <w:r>
        <w:t xml:space="preserve"> </w:t>
      </w:r>
      <w:r>
        <w:t xml:space="preserve">Structures,</w:t>
      </w:r>
      <w:r>
        <w:t xml:space="preserve">”</w:t>
      </w:r>
      <w:r>
        <w:t xml:space="preserve"> </w:t>
      </w:r>
      <w:hyperlink r:id="rId90">
        <w:r>
          <w:rPr>
            <w:rStyle w:val="Hyperlink"/>
          </w:rPr>
          <w:t xml:space="preserve">Materials</w:t>
        </w:r>
        <w:r>
          <w:rPr>
            <w:rStyle w:val="Hyperlink"/>
          </w:rPr>
          <w:t xml:space="preserve"> </w:t>
        </w:r>
        <w:r>
          <w:rPr>
            <w:rStyle w:val="Hyperlink"/>
          </w:rPr>
          <w:t xml:space="preserve">&amp; Design</w:t>
        </w:r>
      </w:hyperlink>
      <w:r>
        <w:t xml:space="preserve">,</w:t>
      </w:r>
      <w:r>
        <w:t xml:space="preserve"> </w:t>
      </w:r>
      <w:r>
        <w:rPr>
          <w:b/>
          <w:bCs/>
        </w:rPr>
        <w:t xml:space="preserve">182</w:t>
      </w:r>
      <w:r>
        <w:t xml:space="preserve">, p. 107966.</w:t>
      </w:r>
    </w:p>
    <w:bookmarkEnd w:id="91"/>
    <w:bookmarkStart w:id="93" w:name="bib12"/>
    <w:p>
      <w:pPr>
        <w:pStyle w:val="Bibliography"/>
      </w:pPr>
      <w:r>
        <w:t xml:space="preserve">[12]</w:t>
      </w:r>
      <w:r>
        <w:tab/>
      </w:r>
      <w:r>
        <w:t xml:space="preserve">Ye, H., Liu, Q., Cheng, J., Li, H., Jian, B., Wang, R., Sun, Z., Lu, Y., and</w:t>
      </w:r>
      <w:r>
        <w:t xml:space="preserve"> </w:t>
      </w:r>
      <w:r>
        <w:t xml:space="preserve">Ge, Q., 2023,</w:t>
      </w:r>
      <w:r>
        <w:t xml:space="preserve"> </w:t>
      </w:r>
      <w:r>
        <w:t xml:space="preserve">“</w:t>
      </w:r>
      <w:r>
        <w:t xml:space="preserve">Multimaterial</w:t>
      </w:r>
      <w:r>
        <w:t xml:space="preserve"> </w:t>
      </w:r>
      <w:r>
        <w:t xml:space="preserve">3D</w:t>
      </w:r>
      <w:r>
        <w:t xml:space="preserve"> </w:t>
      </w:r>
      <w:r>
        <w:t xml:space="preserve">Printed Self-Locking Thick-Panel</w:t>
      </w:r>
      <w:r>
        <w:t xml:space="preserve"> </w:t>
      </w:r>
      <w:r>
        <w:t xml:space="preserve">Origami Metamaterials,</w:t>
      </w:r>
      <w:r>
        <w:t xml:space="preserve">”</w:t>
      </w:r>
      <w:r>
        <w:t xml:space="preserve"> </w:t>
      </w:r>
      <w:hyperlink r:id="rId92">
        <w:r>
          <w:rPr>
            <w:rStyle w:val="Hyperlink"/>
          </w:rPr>
          <w:t xml:space="preserve">Nature Communications</w:t>
        </w:r>
      </w:hyperlink>
      <w:r>
        <w:t xml:space="preserve">,</w:t>
      </w:r>
      <w:r>
        <w:t xml:space="preserve"> </w:t>
      </w:r>
      <w:r>
        <w:rPr>
          <w:b/>
          <w:bCs/>
        </w:rPr>
        <w:t xml:space="preserve">14</w:t>
      </w:r>
      <w:r>
        <w:t xml:space="preserve">, p. 1607.</w:t>
      </w:r>
    </w:p>
    <w:bookmarkEnd w:id="93"/>
    <w:bookmarkStart w:id="95" w:name="bib13"/>
    <w:p>
      <w:pPr>
        <w:pStyle w:val="Bibliography"/>
      </w:pPr>
      <w:r>
        <w:t xml:space="preserve">[13]</w:t>
      </w:r>
      <w:r>
        <w:tab/>
      </w:r>
      <w:r>
        <w:t xml:space="preserve">Khatri, N. R. and Egan, P. F., 2024,</w:t>
      </w:r>
      <w:r>
        <w:t xml:space="preserve"> </w:t>
      </w:r>
      <w:r>
        <w:t xml:space="preserve">“</w:t>
      </w:r>
      <w:r>
        <w:t xml:space="preserve">Energy Absorption of</w:t>
      </w:r>
      <w:r>
        <w:t xml:space="preserve"> </w:t>
      </w:r>
      <w:r>
        <w:t xml:space="preserve">3D</w:t>
      </w:r>
      <w:r>
        <w:t xml:space="preserve"> </w:t>
      </w:r>
      <w:r>
        <w:t xml:space="preserve">Printed</w:t>
      </w:r>
      <w:r>
        <w:t xml:space="preserve"> </w:t>
      </w:r>
      <w:r>
        <w:t xml:space="preserve">ABS</w:t>
      </w:r>
      <w:r>
        <w:t xml:space="preserve"> </w:t>
      </w:r>
      <w:r>
        <w:t xml:space="preserve">and</w:t>
      </w:r>
      <w:r>
        <w:t xml:space="preserve"> </w:t>
      </w:r>
      <w:r>
        <w:t xml:space="preserve">TPU</w:t>
      </w:r>
      <w:r>
        <w:t xml:space="preserve"> </w:t>
      </w:r>
      <w:r>
        <w:t xml:space="preserve">Multimaterial Honeycomb Structures,</w:t>
      </w:r>
      <w:r>
        <w:t xml:space="preserve">”</w:t>
      </w:r>
      <w:r>
        <w:t xml:space="preserve"> </w:t>
      </w:r>
      <w:hyperlink r:id="rId94">
        <w:r>
          <w:rPr>
            <w:rStyle w:val="Hyperlink"/>
          </w:rPr>
          <w:t xml:space="preserve">3D Printing and Additive</w:t>
        </w:r>
        <w:r>
          <w:rPr>
            <w:rStyle w:val="Hyperlink"/>
          </w:rPr>
          <w:t xml:space="preserve"> </w:t>
        </w:r>
        <w:r>
          <w:rPr>
            <w:rStyle w:val="Hyperlink"/>
          </w:rPr>
          <w:t xml:space="preserve">Manufacturing</w:t>
        </w:r>
      </w:hyperlink>
      <w:r>
        <w:t xml:space="preserve">,</w:t>
      </w:r>
      <w:r>
        <w:t xml:space="preserve"> </w:t>
      </w:r>
      <w:r>
        <w:rPr>
          <w:b/>
          <w:bCs/>
        </w:rPr>
        <w:t xml:space="preserve">11</w:t>
      </w:r>
      <w:r>
        <w:t xml:space="preserve">, pp. e840–e850.</w:t>
      </w:r>
    </w:p>
    <w:bookmarkEnd w:id="95"/>
    <w:bookmarkStart w:id="97" w:name="bib14"/>
    <w:p>
      <w:pPr>
        <w:pStyle w:val="Bibliography"/>
      </w:pPr>
      <w:r>
        <w:t xml:space="preserve">[14]</w:t>
      </w:r>
      <w:r>
        <w:tab/>
      </w:r>
      <w:r>
        <w:t xml:space="preserve">Chen, Y., Huang, A., Wang, Z., Antonoglou, I., Schrittwieser, J., Silver, D.,</w:t>
      </w:r>
      <w:r>
        <w:t xml:space="preserve"> </w:t>
      </w:r>
      <w:r>
        <w:t xml:space="preserve">and de Freitas, N., 2018,</w:t>
      </w:r>
      <w:r>
        <w:t xml:space="preserve"> </w:t>
      </w:r>
      <w:r>
        <w:t xml:space="preserve">“</w:t>
      </w:r>
      <w:r>
        <w:t xml:space="preserve">B</w:t>
      </w:r>
      <w:r>
        <w:t xml:space="preserve">ayesian Optimization in</w:t>
      </w:r>
      <w:r>
        <w:t xml:space="preserve"> </w:t>
      </w:r>
      <w:r>
        <w:t xml:space="preserve">AlphaGo</w:t>
      </w:r>
      <w:r>
        <w:t xml:space="preserve">,</w:t>
      </w:r>
      <w:r>
        <w:t xml:space="preserve">”</w:t>
      </w:r>
      <w:r>
        <w:t xml:space="preserve"> </w:t>
      </w:r>
      <w:hyperlink r:id="rId96">
        <w:r>
          <w:rPr>
            <w:rStyle w:val="Hyperlink"/>
          </w:rPr>
          <w:t xml:space="preserve">arXiv preprint arXiv:1812.06855</w:t>
        </w:r>
      </w:hyperlink>
      <w:r>
        <w:t xml:space="preserve">.</w:t>
      </w:r>
    </w:p>
    <w:bookmarkEnd w:id="97"/>
    <w:bookmarkStart w:id="99" w:name="bib15"/>
    <w:p>
      <w:pPr>
        <w:pStyle w:val="Bibliography"/>
      </w:pPr>
      <w:r>
        <w:t xml:space="preserve">[15]</w:t>
      </w:r>
      <w:r>
        <w:tab/>
      </w:r>
      <w:r>
        <w:t xml:space="preserve">Ament, S., Witte, A., Garg, N., and Kusuma, J., 2023,</w:t>
      </w:r>
      <w:r>
        <w:t xml:space="preserve"> </w:t>
      </w:r>
      <w:r>
        <w:t xml:space="preserve">“</w:t>
      </w:r>
      <w:r>
        <w:t xml:space="preserve">Sustainable</w:t>
      </w:r>
      <w:r>
        <w:t xml:space="preserve"> </w:t>
      </w:r>
      <w:r>
        <w:t xml:space="preserve">Concrete via</w:t>
      </w:r>
      <w:r>
        <w:t xml:space="preserve"> </w:t>
      </w:r>
      <w:r>
        <w:t xml:space="preserve">B</w:t>
      </w:r>
      <w:r>
        <w:t xml:space="preserve">ayesian Optimization,</w:t>
      </w:r>
      <w:r>
        <w:t xml:space="preserve">”</w:t>
      </w:r>
      <w:r>
        <w:t xml:space="preserve"> </w:t>
      </w:r>
      <w:hyperlink r:id="rId98">
        <w:r>
          <w:rPr>
            <w:rStyle w:val="Hyperlink"/>
          </w:rPr>
          <w:t xml:space="preserve">arXiv preprint arXiv:2310.18288</w:t>
        </w:r>
      </w:hyperlink>
      <w:r>
        <w:t xml:space="preserve">,</w:t>
      </w:r>
      <w:r>
        <w:t xml:space="preserve"> </w:t>
      </w:r>
      <w:r>
        <w:t xml:space="preserve">NeurIPS 2023 Workshop on Adaptive Experimental Design and Active Learning in</w:t>
      </w:r>
      <w:r>
        <w:t xml:space="preserve"> </w:t>
      </w:r>
      <w:r>
        <w:t xml:space="preserve">the Real World.</w:t>
      </w:r>
    </w:p>
    <w:bookmarkEnd w:id="99"/>
    <w:bookmarkStart w:id="101" w:name="bib16"/>
    <w:p>
      <w:pPr>
        <w:pStyle w:val="Bibliography"/>
      </w:pPr>
      <w:r>
        <w:t xml:space="preserve">[16]</w:t>
      </w:r>
      <w:r>
        <w:tab/>
      </w:r>
      <w:r>
        <w:t xml:space="preserve">Strieth-Kalthoff, F., Hao, H., Rathore, V., Derasp, J., Gaudin, T., Angello,</w:t>
      </w:r>
      <w:r>
        <w:t xml:space="preserve"> </w:t>
      </w:r>
      <w:r>
        <w:t xml:space="preserve">N. H., Seifrid, M., Trushina, E., Guy, M., Liu, J., et al., 2024,</w:t>
      </w:r>
      <w:r>
        <w:t xml:space="preserve"> </w:t>
      </w:r>
      <w:r>
        <w:t xml:space="preserve">“</w:t>
      </w:r>
      <w:r>
        <w:t xml:space="preserve">Delocalized, Asynchronous, Closed-Loop Discovery of Organic Laser</w:t>
      </w:r>
      <w:r>
        <w:t xml:space="preserve"> </w:t>
      </w:r>
      <w:r>
        <w:t xml:space="preserve">Emitters,</w:t>
      </w:r>
      <w:r>
        <w:t xml:space="preserve">”</w:t>
      </w:r>
      <w:r>
        <w:t xml:space="preserve"> </w:t>
      </w:r>
      <w:hyperlink r:id="rId100">
        <w:r>
          <w:rPr>
            <w:rStyle w:val="Hyperlink"/>
          </w:rPr>
          <w:t xml:space="preserve">Science</w:t>
        </w:r>
      </w:hyperlink>
      <w:r>
        <w:t xml:space="preserve">,</w:t>
      </w:r>
      <w:r>
        <w:t xml:space="preserve"> </w:t>
      </w:r>
      <w:r>
        <w:rPr>
          <w:b/>
          <w:bCs/>
        </w:rPr>
        <w:t xml:space="preserve">384</w:t>
      </w:r>
      <w:r>
        <w:t xml:space="preserve">(6697), p. eadk9227.</w:t>
      </w:r>
    </w:p>
    <w:bookmarkEnd w:id="101"/>
    <w:bookmarkStart w:id="103" w:name="bib17"/>
    <w:p>
      <w:pPr>
        <w:pStyle w:val="Bibliography"/>
      </w:pPr>
      <w:r>
        <w:t xml:space="preserve">[17]</w:t>
      </w:r>
      <w:r>
        <w:tab/>
      </w:r>
      <w:r>
        <w:t xml:space="preserve">Mo, C., Perdikaris, P., and Raney, J. R., 2023,</w:t>
      </w:r>
      <w:r>
        <w:t xml:space="preserve"> </w:t>
      </w:r>
      <w:r>
        <w:t xml:space="preserve">“</w:t>
      </w:r>
      <w:r>
        <w:t xml:space="preserve">Accelerated Design of</w:t>
      </w:r>
      <w:r>
        <w:t xml:space="preserve"> </w:t>
      </w:r>
      <w:r>
        <w:t xml:space="preserve">Architected Materials with Multifidelity</w:t>
      </w:r>
      <w:r>
        <w:t xml:space="preserve"> </w:t>
      </w:r>
      <w:r>
        <w:t xml:space="preserve">B</w:t>
      </w:r>
      <w:r>
        <w:t xml:space="preserve">ayesian Optimization,</w:t>
      </w:r>
      <w:r>
        <w:t xml:space="preserve">”</w:t>
      </w:r>
      <w:r>
        <w:t xml:space="preserve"> </w:t>
      </w:r>
      <w:hyperlink r:id="rId102">
        <w:r>
          <w:rPr>
            <w:rStyle w:val="Hyperlink"/>
          </w:rPr>
          <w:t xml:space="preserve">Journal of Engineering</w:t>
        </w:r>
        <w:r>
          <w:rPr>
            <w:rStyle w:val="Hyperlink"/>
          </w:rPr>
          <w:t xml:space="preserve"> </w:t>
        </w:r>
        <w:r>
          <w:rPr>
            <w:rStyle w:val="Hyperlink"/>
          </w:rPr>
          <w:t xml:space="preserve">Mechanics</w:t>
        </w:r>
      </w:hyperlink>
      <w:r>
        <w:t xml:space="preserve">,</w:t>
      </w:r>
      <w:r>
        <w:t xml:space="preserve"> </w:t>
      </w:r>
      <w:r>
        <w:rPr>
          <w:b/>
          <w:bCs/>
        </w:rPr>
        <w:t xml:space="preserve">149</w:t>
      </w:r>
      <w:r>
        <w:t xml:space="preserve">(6), p. 04023028.</w:t>
      </w:r>
    </w:p>
    <w:bookmarkEnd w:id="103"/>
    <w:bookmarkStart w:id="105" w:name="bib18"/>
    <w:p>
      <w:pPr>
        <w:pStyle w:val="Bibliography"/>
      </w:pPr>
      <w:r>
        <w:t xml:space="preserve">[18]</w:t>
      </w:r>
      <w:r>
        <w:tab/>
      </w:r>
      <w:r>
        <w:t xml:space="preserve">Zhang, M., Parnell, A., Brabazon, A., and Benavoli, A., 2021,</w:t>
      </w:r>
      <w:r>
        <w:t xml:space="preserve"> </w:t>
      </w:r>
      <w:r>
        <w:t xml:space="preserve">“</w:t>
      </w:r>
      <w:r>
        <w:t xml:space="preserve">B</w:t>
      </w:r>
      <w:r>
        <w:t xml:space="preserve">ayesian Optimisation for Sequential Experimental Design with</w:t>
      </w:r>
      <w:r>
        <w:t xml:space="preserve"> </w:t>
      </w:r>
      <w:r>
        <w:t xml:space="preserve">Applications in Additive Manufacturing,</w:t>
      </w:r>
      <w:r>
        <w:t xml:space="preserve">”</w:t>
      </w:r>
      <w:r>
        <w:t xml:space="preserve"> </w:t>
      </w:r>
      <w:hyperlink r:id="rId104">
        <w:r>
          <w:rPr>
            <w:rStyle w:val="Hyperlink"/>
          </w:rPr>
          <w:t xml:space="preserve">arXiv preprint</w:t>
        </w:r>
        <w:r>
          <w:rPr>
            <w:rStyle w:val="Hyperlink"/>
          </w:rPr>
          <w:t xml:space="preserve"> </w:t>
        </w:r>
        <w:r>
          <w:rPr>
            <w:rStyle w:val="Hyperlink"/>
          </w:rPr>
          <w:t xml:space="preserve">arXiv:2107.12809</w:t>
        </w:r>
      </w:hyperlink>
      <w:r>
        <w:t xml:space="preserve">.</w:t>
      </w:r>
    </w:p>
    <w:bookmarkEnd w:id="105"/>
    <w:bookmarkStart w:id="106" w:name="bib19"/>
    <w:p>
      <w:pPr>
        <w:pStyle w:val="Bibliography"/>
      </w:pPr>
      <w:r>
        <w:t xml:space="preserve">[19]</w:t>
      </w:r>
      <w:r>
        <w:tab/>
      </w:r>
      <w:r>
        <w:t xml:space="preserve">SAE International</w:t>
      </w:r>
      <w:r>
        <w:t xml:space="preserve">, 2022,</w:t>
      </w:r>
      <w:r>
        <w:t xml:space="preserve"> </w:t>
      </w:r>
      <w:r>
        <w:t xml:space="preserve">“</w:t>
      </w:r>
      <w:r>
        <w:t xml:space="preserve">Instrumentation for Impact Test—</w:t>
      </w:r>
      <w:r>
        <w:t xml:space="preserve">Part</w:t>
      </w:r>
      <w:r>
        <w:t xml:space="preserve"> 1:</w:t>
      </w:r>
      <w:r>
        <w:t xml:space="preserve"> </w:t>
      </w:r>
      <w:r>
        <w:t xml:space="preserve">Electronic Instrumentation,</w:t>
      </w:r>
      <w:r>
        <w:t xml:space="preserve">”</w:t>
      </w:r>
      <w:r>
        <w:t xml:space="preserve"> </w:t>
      </w:r>
      <w:r>
        <w:t xml:space="preserve">Surface Vehicle Recommended Practice</w:t>
      </w:r>
      <w:r>
        <w:t xml:space="preserve"> </w:t>
      </w:r>
      <w:r>
        <w:t xml:space="preserve">J211/1_202208, .</w:t>
      </w:r>
    </w:p>
    <w:bookmarkEnd w:id="106"/>
    <w:bookmarkStart w:id="108" w:name="bib20"/>
    <w:p>
      <w:pPr>
        <w:pStyle w:val="Bibliography"/>
      </w:pPr>
      <w:r>
        <w:t xml:space="preserve">[20]</w:t>
      </w:r>
      <w:r>
        <w:tab/>
      </w:r>
      <w:r>
        <w:t xml:space="preserve">Balandat, M., Karrer, B., Jiang, D. R., Daulton, S., Letham, B., Wilson, A. G.,</w:t>
      </w:r>
      <w:r>
        <w:t xml:space="preserve"> </w:t>
      </w:r>
      <w:r>
        <w:t xml:space="preserve">and Bakshy, E., 2020,</w:t>
      </w:r>
      <w:r>
        <w:t xml:space="preserve"> </w:t>
      </w:r>
      <w:r>
        <w:t xml:space="preserve">“</w:t>
      </w:r>
      <w:r>
        <w:t xml:space="preserve">BoTorch</w:t>
      </w:r>
      <w:r>
        <w:t xml:space="preserve">: A Framework for Efficient</w:t>
      </w:r>
      <w:r>
        <w:t xml:space="preserve"> </w:t>
      </w:r>
      <w:r>
        <w:t xml:space="preserve">M</w:t>
      </w:r>
      <w:r>
        <w:t xml:space="preserve">onte-</w:t>
      </w:r>
      <w:r>
        <w:t xml:space="preserve">C</w:t>
      </w:r>
      <w:r>
        <w:t xml:space="preserve">arlo</w:t>
      </w:r>
      <w:r>
        <w:t xml:space="preserve"> </w:t>
      </w:r>
      <w:r>
        <w:t xml:space="preserve">B</w:t>
      </w:r>
      <w:r>
        <w:t xml:space="preserve">ayesian Optimization,</w:t>
      </w:r>
      <w:r>
        <w:t xml:space="preserve">”</w:t>
      </w:r>
      <w:r>
        <w:t xml:space="preserve"> </w:t>
      </w:r>
      <w:r>
        <w:rPr>
          <w:i/>
          <w:iCs/>
        </w:rPr>
        <w:t xml:space="preserve">Advances in Neural</w:t>
      </w:r>
      <w:r>
        <w:rPr>
          <w:i/>
          <w:iCs/>
        </w:rPr>
        <w:t xml:space="preserve"> </w:t>
      </w:r>
      <w:r>
        <w:rPr>
          <w:i/>
          <w:iCs/>
        </w:rPr>
        <w:t xml:space="preserve">Information Processing Systems 33 (NeurIPS 2020)</w:t>
      </w:r>
      <w:r>
        <w:t xml:space="preserve">,</w:t>
      </w:r>
      <w:r>
        <w:t xml:space="preserve"> </w:t>
      </w:r>
      <w:hyperlink r:id="rId107">
        <w:r>
          <w:rPr>
            <w:rStyle w:val="Hyperlink"/>
          </w:rPr>
          <w:t xml:space="preserve">https://arxiv.org/abs/1910.06403</w:t>
        </w:r>
      </w:hyperlink>
    </w:p>
    <w:bookmarkEnd w:id="108"/>
    <w:bookmarkStart w:id="110" w:name="bib21"/>
    <w:p>
      <w:pPr>
        <w:pStyle w:val="Bibliography"/>
      </w:pPr>
      <w:r>
        <w:t xml:space="preserve">[21]</w:t>
      </w:r>
      <w:r>
        <w:tab/>
      </w:r>
      <w:r>
        <w:t xml:space="preserve">Olson, M., Santorella, E., Tiao, L. C., Cakmak, S., Garrard, M., Daulton, S.,</w:t>
      </w:r>
      <w:r>
        <w:t xml:space="preserve"> </w:t>
      </w:r>
      <w:r>
        <w:t xml:space="preserve">Lin, Z. J., Ament, S., Beckerman, B., Onofrey, E., Igusti, P., Lara, C.,</w:t>
      </w:r>
      <w:r>
        <w:t xml:space="preserve"> </w:t>
      </w:r>
      <w:r>
        <w:t xml:space="preserve">Letham, B., Cardoso, C., Shen, S. S., Lin, A. C., Grange, M., Kashtelyan, E.,</w:t>
      </w:r>
      <w:r>
        <w:t xml:space="preserve"> </w:t>
      </w:r>
      <w:r>
        <w:t xml:space="preserve">Eriksson, D., Balandat, M., and Bakshy, E., 2025,</w:t>
      </w:r>
      <w:r>
        <w:t xml:space="preserve"> </w:t>
      </w:r>
      <w:r>
        <w:t xml:space="preserve">“</w:t>
      </w:r>
      <w:r>
        <w:t xml:space="preserve">Ax: A Platform for</w:t>
      </w:r>
      <w:r>
        <w:t xml:space="preserve"> </w:t>
      </w:r>
      <w:r>
        <w:t xml:space="preserve">Adaptive Experimentation,</w:t>
      </w:r>
      <w:r>
        <w:t xml:space="preserve">”</w:t>
      </w:r>
      <w:r>
        <w:t xml:space="preserve"> </w:t>
      </w:r>
      <w:r>
        <w:rPr>
          <w:i/>
          <w:iCs/>
        </w:rPr>
        <w:t xml:space="preserve">Proceedings of the Fourth International</w:t>
      </w:r>
      <w:r>
        <w:rPr>
          <w:i/>
          <w:iCs/>
        </w:rPr>
        <w:t xml:space="preserve"> </w:t>
      </w:r>
      <w:r>
        <w:rPr>
          <w:i/>
          <w:iCs/>
        </w:rPr>
        <w:t xml:space="preserve">Conference on Automated Machine Learning</w:t>
      </w:r>
      <w:r>
        <w:t xml:space="preserve">, L. Akoglu, C. Doerr, J. N. van</w:t>
      </w:r>
      <w:r>
        <w:t xml:space="preserve"> </w:t>
      </w:r>
      <w:r>
        <w:t xml:space="preserve">Rijn, R. Garnett, and J. R. Gardner, eds., Proceedings of Machine Learning</w:t>
      </w:r>
      <w:r>
        <w:t xml:space="preserve"> </w:t>
      </w:r>
      <w:r>
        <w:t xml:space="preserve">Research, Vol. 293, PMLR, pp. 21/1–25,</w:t>
      </w:r>
      <w:r>
        <w:t xml:space="preserve"> </w:t>
      </w:r>
      <w:hyperlink r:id="rId109">
        <w:r>
          <w:rPr>
            <w:rStyle w:val="Hyperlink"/>
          </w:rPr>
          <w:t xml:space="preserve">https://proceedings.mlr.press/v293/olson25a.html</w:t>
        </w:r>
      </w:hyperlink>
    </w:p>
    <w:bookmarkEnd w:id="110"/>
    <w:bookmarkStart w:id="112" w:name="bib22"/>
    <w:p>
      <w:pPr>
        <w:pStyle w:val="Bibliography"/>
      </w:pPr>
      <w:r>
        <w:t xml:space="preserve">[22]</w:t>
      </w:r>
      <w:r>
        <w:tab/>
      </w:r>
      <w:r>
        <w:t xml:space="preserve">Eriksson, D. and Jankowiak, M., 2021,</w:t>
      </w:r>
      <w:r>
        <w:t xml:space="preserve"> </w:t>
      </w:r>
      <w:r>
        <w:t xml:space="preserve">“</w:t>
      </w:r>
      <w:r>
        <w:t xml:space="preserve">High-Dimensional</w:t>
      </w:r>
      <w:r>
        <w:t xml:space="preserve"> </w:t>
      </w:r>
      <w:r>
        <w:t xml:space="preserve">B</w:t>
      </w:r>
      <w:r>
        <w:t xml:space="preserve">ayesian</w:t>
      </w:r>
      <w:r>
        <w:t xml:space="preserve"> </w:t>
      </w:r>
      <w:r>
        <w:t xml:space="preserve">Optimization with Sparse Axis-Aligned Subspaces,</w:t>
      </w:r>
      <w:r>
        <w:t xml:space="preserve">”</w:t>
      </w:r>
      <w:r>
        <w:t xml:space="preserve"> </w:t>
      </w:r>
      <w:r>
        <w:rPr>
          <w:i/>
          <w:iCs/>
        </w:rPr>
        <w:t xml:space="preserve">Proceedings of the</w:t>
      </w:r>
      <w:r>
        <w:rPr>
          <w:i/>
          <w:iCs/>
        </w:rPr>
        <w:t xml:space="preserve"> </w:t>
      </w:r>
      <w:r>
        <w:rPr>
          <w:i/>
          <w:iCs/>
        </w:rPr>
        <w:t xml:space="preserve">Thirty-Seventh Conference on Uncertainty in Artificial Intelligence (UAI)</w:t>
      </w:r>
      <w:r>
        <w:t xml:space="preserve">,</w:t>
      </w:r>
      <w:r>
        <w:t xml:space="preserve"> </w:t>
      </w:r>
      <w:r>
        <w:t xml:space="preserve">Proceedings of Machine Learning Research, Vol. 161, pp. 493–503,</w:t>
      </w:r>
      <w:r>
        <w:t xml:space="preserve"> </w:t>
      </w:r>
      <w:hyperlink r:id="rId111">
        <w:r>
          <w:rPr>
            <w:rStyle w:val="Hyperlink"/>
          </w:rPr>
          <w:t xml:space="preserve">https://proceedings.mlr.press/v161/eriksson21a.html</w:t>
        </w:r>
      </w:hyperlink>
    </w:p>
    <w:bookmarkEnd w:id="112"/>
    <w:bookmarkStart w:id="114" w:name="bib23"/>
    <w:p>
      <w:pPr>
        <w:pStyle w:val="Bibliography"/>
      </w:pPr>
      <w:r>
        <w:t xml:space="preserve">[23]</w:t>
      </w:r>
      <w:r>
        <w:tab/>
      </w:r>
      <w:r>
        <w:t xml:space="preserve">Santos, F. A., 2023,</w:t>
      </w:r>
      <w:r>
        <w:t xml:space="preserve"> </w:t>
      </w:r>
      <w:r>
        <w:t xml:space="preserve">“</w:t>
      </w:r>
      <w:r>
        <w:t xml:space="preserve">Toward a novel energy‐dissipation metamaterial</w:t>
      </w:r>
      <w:r>
        <w:t xml:space="preserve"> </w:t>
      </w:r>
      <w:r>
        <w:t xml:space="preserve">with tensegrity architecture,</w:t>
      </w:r>
      <w:r>
        <w:t xml:space="preserve">”</w:t>
      </w:r>
      <w:r>
        <w:t xml:space="preserve"> </w:t>
      </w:r>
      <w:hyperlink r:id="rId113">
        <w:r>
          <w:rPr>
            <w:rStyle w:val="Hyperlink"/>
          </w:rPr>
          <w:t xml:space="preserve">Advanced Materials, May</w:t>
        </w:r>
        <w:r>
          <w:rPr>
            <w:rStyle w:val="Hyperlink"/>
          </w:rPr>
          <w:t xml:space="preserve"> </w:t>
        </w:r>
        <w:r>
          <w:rPr>
            <w:rStyle w:val="Hyperlink"/>
          </w:rPr>
          <w:t xml:space="preserve">2023</w:t>
        </w:r>
      </w:hyperlink>
      <w:r>
        <w:t xml:space="preserve">.</w:t>
      </w:r>
    </w:p>
    <w:bookmarkEnd w:id="114"/>
    <w:bookmarkStart w:id="116" w:name="bib24"/>
    <w:p>
      <w:pPr>
        <w:pStyle w:val="Bibliography"/>
      </w:pPr>
      <w:r>
        <w:t xml:space="preserve">[24]</w:t>
      </w:r>
      <w:r>
        <w:tab/>
      </w:r>
      <w:r>
        <w:t xml:space="preserve">Cloutier, G. J., 1966,</w:t>
      </w:r>
      <w:r>
        <w:t xml:space="preserve"> </w:t>
      </w:r>
      <w:r>
        <w:t xml:space="preserve">“</w:t>
      </w:r>
      <w:r>
        <w:t xml:space="preserve">Landing Impact Energy Absorption Using</w:t>
      </w:r>
      <w:r>
        <w:t xml:space="preserve"> </w:t>
      </w:r>
      <w:r>
        <w:t xml:space="preserve">Anisotropic Crushable Materials,</w:t>
      </w:r>
      <w:r>
        <w:t xml:space="preserve">”</w:t>
      </w:r>
      <w:r>
        <w:t xml:space="preserve"> </w:t>
      </w:r>
      <w:hyperlink r:id="rId115">
        <w:r>
          <w:rPr>
            <w:rStyle w:val="Hyperlink"/>
          </w:rPr>
          <w:t xml:space="preserve">Journal of Spacecraft and Rockets</w:t>
        </w:r>
      </w:hyperlink>
      <w:r>
        <w:t xml:space="preserve">,</w:t>
      </w:r>
      <w:r>
        <w:t xml:space="preserve"> </w:t>
      </w:r>
      <w:r>
        <w:rPr>
          <w:b/>
          <w:bCs/>
        </w:rPr>
        <w:t xml:space="preserve">3</w:t>
      </w:r>
      <w:r>
        <w:t xml:space="preserve">(12), pp. 1755–1761.</w:t>
      </w:r>
    </w:p>
    <w:bookmarkEnd w:id="116"/>
    <w:bookmarkStart w:id="117" w:name="bib25"/>
    <w:p>
      <w:pPr>
        <w:pStyle w:val="Bibliography"/>
      </w:pPr>
      <w:r>
        <w:t xml:space="preserve">[25]</w:t>
      </w:r>
      <w:r>
        <w:tab/>
      </w:r>
      <w:r>
        <w:t xml:space="preserve">Adams, D. S., 2004,</w:t>
      </w:r>
      <w:r>
        <w:t xml:space="preserve"> </w:t>
      </w:r>
      <w:r>
        <w:t xml:space="preserve">“</w:t>
      </w:r>
      <w:r>
        <w:t xml:space="preserve">M</w:t>
      </w:r>
      <w:r>
        <w:t xml:space="preserve">ars</w:t>
      </w:r>
      <w:r>
        <w:t xml:space="preserve"> </w:t>
      </w:r>
      <w:r>
        <w:t xml:space="preserve">E</w:t>
      </w:r>
      <w:r>
        <w:t xml:space="preserve">xploration</w:t>
      </w:r>
      <w:r>
        <w:t xml:space="preserve"> </w:t>
      </w:r>
      <w:r>
        <w:t xml:space="preserve">R</w:t>
      </w:r>
      <w:r>
        <w:t xml:space="preserve">over Airbag Landing Loads</w:t>
      </w:r>
      <w:r>
        <w:t xml:space="preserve"> </w:t>
      </w:r>
      <w:r>
        <w:t xml:space="preserve">Testing and Analysis,</w:t>
      </w:r>
      <w:r>
        <w:t xml:space="preserve">”</w:t>
      </w:r>
      <w:r>
        <w:t xml:space="preserve"> </w:t>
      </w:r>
      <w:r>
        <w:rPr>
          <w:i/>
          <w:iCs/>
        </w:rPr>
        <w:t xml:space="preserve">45th AIAA/ASME/ASCE/AHS/ASC Structures,</w:t>
      </w:r>
      <w:r>
        <w:rPr>
          <w:i/>
          <w:iCs/>
        </w:rPr>
        <w:t xml:space="preserve"> </w:t>
      </w:r>
      <w:r>
        <w:rPr>
          <w:i/>
          <w:iCs/>
        </w:rPr>
        <w:t xml:space="preserve">Structural Dynamics and Materials Conference</w:t>
      </w:r>
      <w:r>
        <w:t xml:space="preserve">, .</w:t>
      </w:r>
    </w:p>
    <w:bookmarkEnd w:id="117"/>
    <w:bookmarkStart w:id="119" w:name="bib26"/>
    <w:p>
      <w:pPr>
        <w:pStyle w:val="Bibliography"/>
      </w:pPr>
      <w:r>
        <w:t xml:space="preserve">[26]</w:t>
      </w:r>
      <w:r>
        <w:tab/>
      </w:r>
      <w:r>
        <w:t xml:space="preserve">Jackson, K. E., Fasanella, E. L., and Polanco, M. A., 2014,</w:t>
      </w:r>
      <w:r>
        <w:t xml:space="preserve"> </w:t>
      </w:r>
      <w:r>
        <w:t xml:space="preserve">“</w:t>
      </w:r>
      <w:r>
        <w:t xml:space="preserve">Simulating</w:t>
      </w:r>
      <w:r>
        <w:t xml:space="preserve"> </w:t>
      </w:r>
      <w:r>
        <w:t xml:space="preserve">the Response of a Composite Honeycomb Energy Absorber:</w:t>
      </w:r>
      <w:r>
        <w:t xml:space="preserve"> </w:t>
      </w:r>
      <w:r>
        <w:t xml:space="preserve">I</w:t>
      </w:r>
      <w:r>
        <w:t xml:space="preserve">. </w:t>
      </w:r>
      <w:r>
        <w:t xml:space="preserve">D</w:t>
      </w:r>
      <w:r>
        <w:t xml:space="preserve">ynamic</w:t>
      </w:r>
      <w:r>
        <w:t xml:space="preserve"> </w:t>
      </w:r>
      <w:r>
        <w:t xml:space="preserve">Crushing of Components and Multiterrain Impacts,</w:t>
      </w:r>
      <w:r>
        <w:t xml:space="preserve">”</w:t>
      </w:r>
      <w:r>
        <w:t xml:space="preserve"> </w:t>
      </w:r>
      <w:hyperlink r:id="rId118">
        <w:r>
          <w:rPr>
            <w:rStyle w:val="Hyperlink"/>
          </w:rPr>
          <w:t xml:space="preserve">Journal of</w:t>
        </w:r>
        <w:r>
          <w:rPr>
            <w:rStyle w:val="Hyperlink"/>
          </w:rPr>
          <w:t xml:space="preserve"> </w:t>
        </w:r>
        <w:r>
          <w:rPr>
            <w:rStyle w:val="Hyperlink"/>
          </w:rPr>
          <w:t xml:space="preserve">Aerospace Engineering</w:t>
        </w:r>
      </w:hyperlink>
      <w:r>
        <w:t xml:space="preserve">,</w:t>
      </w:r>
      <w:r>
        <w:t xml:space="preserve"> </w:t>
      </w:r>
      <w:r>
        <w:rPr>
          <w:b/>
          <w:bCs/>
        </w:rPr>
        <w:t xml:space="preserve">27</w:t>
      </w:r>
      <w:r>
        <w:t xml:space="preserve">(3), pp. 424–436.</w:t>
      </w:r>
    </w:p>
    <w:bookmarkEnd w:id="119"/>
    <w:bookmarkStart w:id="121" w:name="bib27"/>
    <w:p>
      <w:pPr>
        <w:pStyle w:val="Bibliography"/>
      </w:pPr>
      <w:r>
        <w:t xml:space="preserve">[27]</w:t>
      </w:r>
      <w:r>
        <w:tab/>
      </w:r>
      <w:r>
        <w:t xml:space="preserve">Davami, K., Mohsenizadeh, M., Munther, M., Palma, T., Beheshti, A., and Momeni,</w:t>
      </w:r>
      <w:r>
        <w:t xml:space="preserve"> </w:t>
      </w:r>
      <w:r>
        <w:t xml:space="preserve">K., 2019,</w:t>
      </w:r>
      <w:r>
        <w:t xml:space="preserve"> </w:t>
      </w:r>
      <w:r>
        <w:t xml:space="preserve">“</w:t>
      </w:r>
      <w:r>
        <w:t xml:space="preserve">Dynamic energy absorption characteristics of</w:t>
      </w:r>
      <w:r>
        <w:t xml:space="preserve"> </w:t>
      </w:r>
      <w:r>
        <w:t xml:space="preserve">additively-manufactured shape-recovering lattice structures,</w:t>
      </w:r>
      <w:r>
        <w:t xml:space="preserve">”</w:t>
      </w:r>
      <w:r>
        <w:t xml:space="preserve"> </w:t>
      </w:r>
      <w:hyperlink r:id="rId120">
        <w:r>
          <w:rPr>
            <w:rStyle w:val="Hyperlink"/>
          </w:rPr>
          <w:t xml:space="preserve">Materials Research</w:t>
        </w:r>
        <w:r>
          <w:rPr>
            <w:rStyle w:val="Hyperlink"/>
          </w:rPr>
          <w:t xml:space="preserve"> </w:t>
        </w:r>
        <w:r>
          <w:rPr>
            <w:rStyle w:val="Hyperlink"/>
          </w:rPr>
          <w:t xml:space="preserve">Express</w:t>
        </w:r>
      </w:hyperlink>
      <w:r>
        <w:t xml:space="preserve">,</w:t>
      </w:r>
      <w:r>
        <w:t xml:space="preserve"> </w:t>
      </w:r>
      <w:r>
        <w:rPr>
          <w:b/>
          <w:bCs/>
        </w:rPr>
        <w:t xml:space="preserve">6</w:t>
      </w:r>
      <w:r>
        <w:t xml:space="preserve">(4), p. 045302.</w:t>
      </w:r>
    </w:p>
    <w:bookmarkEnd w:id="121"/>
    <w:bookmarkStart w:id="123" w:name="bib28"/>
    <w:p>
      <w:pPr>
        <w:pStyle w:val="Bibliography"/>
      </w:pPr>
      <w:r>
        <w:t xml:space="preserve">[28]</w:t>
      </w:r>
      <w:r>
        <w:tab/>
      </w:r>
      <w:r>
        <w:t xml:space="preserve">Intrigila, C., Micheletti, A., Nodargi, N. A., Artioli, E., and Bisegna, P.,</w:t>
      </w:r>
      <w:r>
        <w:t xml:space="preserve"> </w:t>
      </w:r>
      <w:r>
        <w:t xml:space="preserve">2022,</w:t>
      </w:r>
      <w:r>
        <w:t xml:space="preserve"> </w:t>
      </w:r>
      <w:r>
        <w:t xml:space="preserve">“</w:t>
      </w:r>
      <w:r>
        <w:t xml:space="preserve">Fabrication and experimental characterisation of a bistable</w:t>
      </w:r>
      <w:r>
        <w:t xml:space="preserve"> </w:t>
      </w:r>
      <w:r>
        <w:t xml:space="preserve">tensegrity-like unit for lattice metamaterials,</w:t>
      </w:r>
      <w:r>
        <w:t xml:space="preserve">”</w:t>
      </w:r>
      <w:r>
        <w:t xml:space="preserve"> </w:t>
      </w:r>
      <w:hyperlink r:id="rId122">
        <w:r>
          <w:rPr>
            <w:rStyle w:val="Hyperlink"/>
          </w:rPr>
          <w:t xml:space="preserve">Additive</w:t>
        </w:r>
        <w:r>
          <w:rPr>
            <w:rStyle w:val="Hyperlink"/>
          </w:rPr>
          <w:t xml:space="preserve"> </w:t>
        </w:r>
        <w:r>
          <w:rPr>
            <w:rStyle w:val="Hyperlink"/>
          </w:rPr>
          <w:t xml:space="preserve">Manufacturing</w:t>
        </w:r>
      </w:hyperlink>
      <w:r>
        <w:t xml:space="preserve">,</w:t>
      </w:r>
      <w:r>
        <w:t xml:space="preserve"> </w:t>
      </w:r>
      <w:r>
        <w:rPr>
          <w:b/>
          <w:bCs/>
        </w:rPr>
        <w:t xml:space="preserve">57</w:t>
      </w:r>
      <w:r>
        <w:t xml:space="preserve">, p. 102946.</w:t>
      </w:r>
    </w:p>
    <w:bookmarkEnd w:id="123"/>
    <w:bookmarkStart w:id="125" w:name="bib29"/>
    <w:p>
      <w:pPr>
        <w:pStyle w:val="Bibliography"/>
      </w:pPr>
      <w:r>
        <w:t xml:space="preserve">[29]</w:t>
      </w:r>
      <w:r>
        <w:tab/>
      </w:r>
      <w:r>
        <w:t xml:space="preserve">Almeida, N., Gulledge, B., Park, J., Momeni, K., Tajyar, A., Davami, K., and</w:t>
      </w:r>
      <w:r>
        <w:t xml:space="preserve"> </w:t>
      </w:r>
      <w:r>
        <w:t xml:space="preserve">Beck, S., 2025,</w:t>
      </w:r>
      <w:r>
        <w:t xml:space="preserve"> </w:t>
      </w:r>
      <w:r>
        <w:t xml:space="preserve">“</w:t>
      </w:r>
      <w:r>
        <w:t xml:space="preserve">High strain rate response of 3D-printable</w:t>
      </w:r>
      <w:r>
        <w:t xml:space="preserve"> </w:t>
      </w:r>
      <w:r>
        <w:t xml:space="preserve">tensegrity-inspired structures,</w:t>
      </w:r>
      <w:r>
        <w:t xml:space="preserve">”</w:t>
      </w:r>
      <w:r>
        <w:t xml:space="preserve"> </w:t>
      </w:r>
      <w:hyperlink r:id="rId124">
        <w:r>
          <w:rPr>
            <w:rStyle w:val="Hyperlink"/>
          </w:rPr>
          <w:t xml:space="preserve">International</w:t>
        </w:r>
        <w:r>
          <w:rPr>
            <w:rStyle w:val="Hyperlink"/>
          </w:rPr>
          <w:t xml:space="preserve"> </w:t>
        </w:r>
        <w:r>
          <w:rPr>
            <w:rStyle w:val="Hyperlink"/>
          </w:rPr>
          <w:t xml:space="preserve">Journal of Solids and Structures</w:t>
        </w:r>
      </w:hyperlink>
      <w:r>
        <w:t xml:space="preserve">,</w:t>
      </w:r>
      <w:r>
        <w:t xml:space="preserve"> </w:t>
      </w:r>
      <w:r>
        <w:rPr>
          <w:b/>
          <w:bCs/>
        </w:rPr>
        <w:t xml:space="preserve">322</w:t>
      </w:r>
      <w:r>
        <w:t xml:space="preserve">, p. 113590.</w:t>
      </w:r>
    </w:p>
    <w:bookmarkEnd w:id="125"/>
    <w:bookmarkStart w:id="127" w:name="bib30"/>
    <w:p>
      <w:pPr>
        <w:pStyle w:val="Bibliography"/>
      </w:pPr>
      <w:r>
        <w:t xml:space="preserve">[30]</w:t>
      </w:r>
      <w:r>
        <w:tab/>
      </w:r>
      <w:r>
        <w:t xml:space="preserve">Davami, K., Rowe, R., Gulledge, B., Park, J., Beheshti, A., Palazotto, A.,</w:t>
      </w:r>
      <w:r>
        <w:t xml:space="preserve"> </w:t>
      </w:r>
      <w:r>
        <w:t xml:space="preserve">Tavangarian, F., and Beck, S., 2025,</w:t>
      </w:r>
      <w:r>
        <w:t xml:space="preserve"> </w:t>
      </w:r>
      <w:r>
        <w:t xml:space="preserve">“</w:t>
      </w:r>
      <w:r>
        <w:t xml:space="preserve">Dynamic analysis of additively</w:t>
      </w:r>
      <w:r>
        <w:t xml:space="preserve"> </w:t>
      </w:r>
      <w:r>
        <w:t xml:space="preserve">manufactured tensegrity structures,</w:t>
      </w:r>
      <w:r>
        <w:t xml:space="preserve">”</w:t>
      </w:r>
      <w:r>
        <w:t xml:space="preserve"> </w:t>
      </w:r>
      <w:hyperlink r:id="rId126">
        <w:r>
          <w:rPr>
            <w:rStyle w:val="Hyperlink"/>
          </w:rPr>
          <w:t xml:space="preserve">International</w:t>
        </w:r>
        <w:r>
          <w:rPr>
            <w:rStyle w:val="Hyperlink"/>
          </w:rPr>
          <w:t xml:space="preserve"> </w:t>
        </w:r>
        <w:r>
          <w:rPr>
            <w:rStyle w:val="Hyperlink"/>
          </w:rPr>
          <w:t xml:space="preserve">Journal of Impact Engineering</w:t>
        </w:r>
      </w:hyperlink>
      <w:r>
        <w:t xml:space="preserve">,</w:t>
      </w:r>
      <w:r>
        <w:t xml:space="preserve"> </w:t>
      </w:r>
      <w:r>
        <w:rPr>
          <w:b/>
          <w:bCs/>
        </w:rPr>
        <w:t xml:space="preserve">198</w:t>
      </w:r>
      <w:r>
        <w:t xml:space="preserve">, p. 105208.</w:t>
      </w:r>
    </w:p>
    <w:bookmarkEnd w:id="127"/>
    <w:bookmarkStart w:id="129" w:name="bib31"/>
    <w:p>
      <w:pPr>
        <w:pStyle w:val="Bibliography"/>
      </w:pPr>
      <w:r>
        <w:t xml:space="preserve">[31]</w:t>
      </w:r>
      <w:r>
        <w:tab/>
      </w:r>
      <w:r>
        <w:t xml:space="preserve">Wang, Z., Zhang, M., Sun, J., Wen, Q., and Chu, J., 2026,</w:t>
      </w:r>
      <w:r>
        <w:t xml:space="preserve"> </w:t>
      </w:r>
      <w:r>
        <w:t xml:space="preserve">“</w:t>
      </w:r>
      <w:r>
        <w:t xml:space="preserve">Integrated</w:t>
      </w:r>
      <w:r>
        <w:t xml:space="preserve"> </w:t>
      </w:r>
      <w:r>
        <w:t xml:space="preserve">fabrication and validation of tensegrity-inspired rigid-flexible mechanical</w:t>
      </w:r>
      <w:r>
        <w:t xml:space="preserve"> </w:t>
      </w:r>
      <w:r>
        <w:t xml:space="preserve">metamaterials,</w:t>
      </w:r>
      <w:r>
        <w:t xml:space="preserve">”</w:t>
      </w:r>
      <w:r>
        <w:t xml:space="preserve"> </w:t>
      </w:r>
      <w:hyperlink r:id="rId128">
        <w:r>
          <w:rPr>
            <w:rStyle w:val="Hyperlink"/>
          </w:rPr>
          <w:t xml:space="preserve">Additive</w:t>
        </w:r>
        <w:r>
          <w:rPr>
            <w:rStyle w:val="Hyperlink"/>
          </w:rPr>
          <w:t xml:space="preserve"> </w:t>
        </w:r>
        <w:r>
          <w:rPr>
            <w:rStyle w:val="Hyperlink"/>
          </w:rPr>
          <w:t xml:space="preserve">Manufacturing</w:t>
        </w:r>
      </w:hyperlink>
      <w:r>
        <w:t xml:space="preserve">,</w:t>
      </w:r>
      <w:r>
        <w:t xml:space="preserve"> </w:t>
      </w:r>
      <w:r>
        <w:rPr>
          <w:b/>
          <w:bCs/>
        </w:rPr>
        <w:t xml:space="preserve">118</w:t>
      </w:r>
      <w:r>
        <w:t xml:space="preserve">, p. 105107.</w:t>
      </w:r>
    </w:p>
    <w:bookmarkEnd w:id="129"/>
    <w:bookmarkStart w:id="131" w:name="bib32"/>
    <w:p>
      <w:pPr>
        <w:pStyle w:val="Bibliography"/>
      </w:pPr>
      <w:r>
        <w:t xml:space="preserve">[32]</w:t>
      </w:r>
      <w:r>
        <w:tab/>
      </w:r>
      <w:r>
        <w:t xml:space="preserve">Bauer, J., Kraus, J. A., Crook, C., Rimoli, J. J., and Valdevit, L., 2021,</w:t>
      </w:r>
      <w:r>
        <w:t xml:space="preserve"> </w:t>
      </w:r>
      <w:r>
        <w:t xml:space="preserve">“</w:t>
      </w:r>
      <w:r>
        <w:t xml:space="preserve">Tensegrity Metamaterials: Toward Failure-Resistant Engineering</w:t>
      </w:r>
      <w:r>
        <w:t xml:space="preserve"> </w:t>
      </w:r>
      <w:r>
        <w:t xml:space="preserve">Systems through Delocalized Deformation,</w:t>
      </w:r>
      <w:r>
        <w:t xml:space="preserve">”</w:t>
      </w:r>
      <w:r>
        <w:t xml:space="preserve"> </w:t>
      </w:r>
      <w:hyperlink r:id="rId130">
        <w:r>
          <w:rPr>
            <w:rStyle w:val="Hyperlink"/>
          </w:rPr>
          <w:t xml:space="preserve">Advanced Materials</w:t>
        </w:r>
      </w:hyperlink>
      <w:r>
        <w:t xml:space="preserve">,</w:t>
      </w:r>
      <w:r>
        <w:t xml:space="preserve"> </w:t>
      </w:r>
      <w:r>
        <w:rPr>
          <w:b/>
          <w:bCs/>
        </w:rPr>
        <w:t xml:space="preserve">33</w:t>
      </w:r>
      <w:r>
        <w:t xml:space="preserve">(10), p. 2005647.</w:t>
      </w:r>
    </w:p>
    <w:bookmarkEnd w:id="131"/>
    <w:bookmarkStart w:id="133" w:name="bib33"/>
    <w:p>
      <w:pPr>
        <w:pStyle w:val="Bibliography"/>
      </w:pPr>
      <w:r>
        <w:t xml:space="preserve">[33]</w:t>
      </w:r>
      <w:r>
        <w:tab/>
      </w:r>
      <w:r>
        <w:t xml:space="preserve">Pajunen, K., Celli, P., and Daraio, C., 2021,</w:t>
      </w:r>
      <w:r>
        <w:t xml:space="preserve"> </w:t>
      </w:r>
      <w:r>
        <w:t xml:space="preserve">“</w:t>
      </w:r>
      <w:r>
        <w:t xml:space="preserve">Prestrain-induced</w:t>
      </w:r>
      <w:r>
        <w:t xml:space="preserve"> </w:t>
      </w:r>
      <w:r>
        <w:t xml:space="preserve">bandgap tuning in 3D-printed tensegrity-inspired lattice structures,</w:t>
      </w:r>
      <w:r>
        <w:t xml:space="preserve">”</w:t>
      </w:r>
      <w:r>
        <w:t xml:space="preserve"> </w:t>
      </w:r>
      <w:hyperlink r:id="rId132">
        <w:r>
          <w:rPr>
            <w:rStyle w:val="Hyperlink"/>
          </w:rPr>
          <w:t xml:space="preserve">Extreme Mechanics</w:t>
        </w:r>
        <w:r>
          <w:rPr>
            <w:rStyle w:val="Hyperlink"/>
          </w:rPr>
          <w:t xml:space="preserve"> </w:t>
        </w:r>
        <w:r>
          <w:rPr>
            <w:rStyle w:val="Hyperlink"/>
          </w:rPr>
          <w:t xml:space="preserve">Letters</w:t>
        </w:r>
      </w:hyperlink>
      <w:r>
        <w:t xml:space="preserve">,</w:t>
      </w:r>
      <w:r>
        <w:t xml:space="preserve"> </w:t>
      </w:r>
      <w:r>
        <w:rPr>
          <w:b/>
          <w:bCs/>
        </w:rPr>
        <w:t xml:space="preserve">44</w:t>
      </w:r>
      <w:r>
        <w:t xml:space="preserve">, p. 101236.</w:t>
      </w:r>
    </w:p>
    <w:bookmarkEnd w:id="133"/>
    <w:bookmarkStart w:id="135" w:name="bib34"/>
    <w:p>
      <w:pPr>
        <w:pStyle w:val="Bibliography"/>
      </w:pPr>
      <w:r>
        <w:t xml:space="preserve">[34]</w:t>
      </w:r>
      <w:r>
        <w:tab/>
      </w:r>
      <w:r>
        <w:t xml:space="preserve">Sabouni-Zawadzka, A. A., Gilewski, W., and Zawadzki, A., 2024,</w:t>
      </w:r>
      <w:r>
        <w:t xml:space="preserve"> </w:t>
      </w:r>
      <w:r>
        <w:t xml:space="preserve">“</w:t>
      </w:r>
      <w:r>
        <w:t xml:space="preserve">Experimental investigations on mechanical properties of 3D-printed</w:t>
      </w:r>
      <w:r>
        <w:t xml:space="preserve"> </w:t>
      </w:r>
      <w:r>
        <w:t xml:space="preserve">tensegrity-inspired metamaterials based on 4-strut simplex module,</w:t>
      </w:r>
      <w:r>
        <w:t xml:space="preserve">”</w:t>
      </w:r>
      <w:r>
        <w:t xml:space="preserve"> </w:t>
      </w:r>
      <w:hyperlink r:id="rId134">
        <w:r>
          <w:rPr>
            <w:rStyle w:val="Hyperlink"/>
          </w:rPr>
          <w:t xml:space="preserve">Archives of Civil</w:t>
        </w:r>
        <w:r>
          <w:rPr>
            <w:rStyle w:val="Hyperlink"/>
          </w:rPr>
          <w:t xml:space="preserve"> </w:t>
        </w:r>
        <w:r>
          <w:rPr>
            <w:rStyle w:val="Hyperlink"/>
          </w:rPr>
          <w:t xml:space="preserve">Engineering</w:t>
        </w:r>
      </w:hyperlink>
      <w:r>
        <w:t xml:space="preserve">,</w:t>
      </w:r>
      <w:r>
        <w:t xml:space="preserve"> </w:t>
      </w:r>
      <w:r>
        <w:rPr>
          <w:b/>
          <w:bCs/>
        </w:rPr>
        <w:t xml:space="preserve">70</w:t>
      </w:r>
      <w:r>
        <w:t xml:space="preserve">(2), pp. 343–357.</w:t>
      </w:r>
    </w:p>
    <w:bookmarkEnd w:id="135"/>
    <w:bookmarkStart w:id="137" w:name="bib35"/>
    <w:p>
      <w:pPr>
        <w:pStyle w:val="Bibliography"/>
      </w:pPr>
      <w:r>
        <w:t xml:space="preserve">[35]</w:t>
      </w:r>
      <w:r>
        <w:tab/>
      </w:r>
      <w:r>
        <w:t xml:space="preserve">Arifvianto, B., Satiti, B. E., Salim, U. A., Suyitno, Nuryanti, A., and</w:t>
      </w:r>
      <w:r>
        <w:t xml:space="preserve"> </w:t>
      </w:r>
      <w:r>
        <w:t xml:space="preserve">Mahardika, M., 2022,</w:t>
      </w:r>
      <w:r>
        <w:t xml:space="preserve"> </w:t>
      </w:r>
      <w:r>
        <w:t xml:space="preserve">“</w:t>
      </w:r>
      <w:r>
        <w:t xml:space="preserve">Mechanical properties of the fff</w:t>
      </w:r>
      <w:r>
        <w:t xml:space="preserve"> </w:t>
      </w:r>
      <w:r>
        <w:t xml:space="preserve">sandwich-structured parts made of pla/tpu multi-material,</w:t>
      </w:r>
      <w:r>
        <w:t xml:space="preserve">”</w:t>
      </w:r>
      <w:r>
        <w:t xml:space="preserve"> </w:t>
      </w:r>
      <w:hyperlink r:id="rId136">
        <w:r>
          <w:rPr>
            <w:rStyle w:val="Hyperlink"/>
          </w:rPr>
          <w:t xml:space="preserve">Progress in Additive</w:t>
        </w:r>
        <w:r>
          <w:rPr>
            <w:rStyle w:val="Hyperlink"/>
          </w:rPr>
          <w:t xml:space="preserve"> </w:t>
        </w:r>
        <w:r>
          <w:rPr>
            <w:rStyle w:val="Hyperlink"/>
          </w:rPr>
          <w:t xml:space="preserve">Manufacturing, 7:1213-1223, Apr 2022</w:t>
        </w:r>
      </w:hyperlink>
      <w:r>
        <w:t xml:space="preserve">.</w:t>
      </w:r>
    </w:p>
    <w:bookmarkEnd w:id="137"/>
    <w:bookmarkStart w:id="139" w:name="bib36"/>
    <w:p>
      <w:pPr>
        <w:pStyle w:val="Bibliography"/>
      </w:pPr>
      <w:r>
        <w:t xml:space="preserve">[36]</w:t>
      </w:r>
      <w:r>
        <w:tab/>
      </w:r>
      <w:r>
        <w:t xml:space="preserve">Ezeh, O. H. and Susmel, L., 2018,</w:t>
      </w:r>
      <w:r>
        <w:t xml:space="preserve"> </w:t>
      </w:r>
      <w:r>
        <w:t xml:space="preserve">“</w:t>
      </w:r>
      <w:r>
        <w:t xml:space="preserve">On the fatigue strength of</w:t>
      </w:r>
      <w:r>
        <w:t xml:space="preserve"> </w:t>
      </w:r>
      <w:r>
        <w:t xml:space="preserve">3d-printed polylactide (pla),</w:t>
      </w:r>
      <w:r>
        <w:t xml:space="preserve">”</w:t>
      </w:r>
      <w:r>
        <w:t xml:space="preserve"> </w:t>
      </w:r>
      <w:hyperlink r:id="rId138">
        <w:r>
          <w:rPr>
            <w:rStyle w:val="Hyperlink"/>
          </w:rPr>
          <w:t xml:space="preserve">Procedia structural</w:t>
        </w:r>
        <w:r>
          <w:rPr>
            <w:rStyle w:val="Hyperlink"/>
          </w:rPr>
          <w:t xml:space="preserve"> </w:t>
        </w:r>
        <w:r>
          <w:rPr>
            <w:rStyle w:val="Hyperlink"/>
          </w:rPr>
          <w:t xml:space="preserve">integrity, 9:29-36, Jan 2018</w:t>
        </w:r>
      </w:hyperlink>
      <w:r>
        <w:t xml:space="preserve">.</w:t>
      </w:r>
    </w:p>
    <w:bookmarkEnd w:id="139"/>
    <w:bookmarkStart w:id="141" w:name="bib37"/>
    <w:p>
      <w:pPr>
        <w:pStyle w:val="Bibliography"/>
      </w:pPr>
      <w:r>
        <w:t xml:space="preserve">[37]</w:t>
      </w:r>
      <w:r>
        <w:tab/>
      </w:r>
      <w:r>
        <w:t xml:space="preserve">Vanaei, H. R., Shirinbayan, M., Vanaei, S., Fitoussi, J., Khelladi, S., and</w:t>
      </w:r>
      <w:r>
        <w:t xml:space="preserve"> </w:t>
      </w:r>
      <w:r>
        <w:t xml:space="preserve">Tcharkhtchi, A., 2021,</w:t>
      </w:r>
      <w:r>
        <w:t xml:space="preserve"> </w:t>
      </w:r>
      <w:r>
        <w:t xml:space="preserve">“</w:t>
      </w:r>
      <w:r>
        <w:t xml:space="preserve">Multi-scale damage analysis and fatigue</w:t>
      </w:r>
      <w:r>
        <w:t xml:space="preserve"> </w:t>
      </w:r>
      <w:r>
        <w:t xml:space="preserve">behavior of pla manufactured by fused deposition modeling (fdm),</w:t>
      </w:r>
      <w:r>
        <w:t xml:space="preserve">”</w:t>
      </w:r>
      <w:r>
        <w:t xml:space="preserve"> </w:t>
      </w:r>
      <w:hyperlink r:id="rId140">
        <w:r>
          <w:rPr>
            <w:rStyle w:val="Hyperlink"/>
          </w:rPr>
          <w:t xml:space="preserve">Rapid Prototyping Journal,</w:t>
        </w:r>
        <w:r>
          <w:rPr>
            <w:rStyle w:val="Hyperlink"/>
          </w:rPr>
          <w:t xml:space="preserve"> </w:t>
        </w:r>
        <w:r>
          <w:rPr>
            <w:rStyle w:val="Hyperlink"/>
          </w:rPr>
          <w:t xml:space="preserve">27:371-378, Jan 2021</w:t>
        </w:r>
      </w:hyperlink>
      <w:r>
        <w:t xml:space="preserve">.</w:t>
      </w:r>
    </w:p>
    <w:bookmarkEnd w:id="141"/>
    <w:bookmarkStart w:id="143" w:name="bib38"/>
    <w:p>
      <w:pPr>
        <w:pStyle w:val="Bibliography"/>
      </w:pPr>
      <w:r>
        <w:t xml:space="preserve">[38]</w:t>
      </w:r>
      <w:r>
        <w:tab/>
      </w:r>
      <w:r>
        <w:t xml:space="preserve">Yavas, D., Liu, Q., Zhang, Z., and Wu, D., 2022,</w:t>
      </w:r>
      <w:r>
        <w:t xml:space="preserve"> </w:t>
      </w:r>
      <w:r>
        <w:t xml:space="preserve">“</w:t>
      </w:r>
      <w:r>
        <w:t xml:space="preserve">Design and</w:t>
      </w:r>
      <w:r>
        <w:t xml:space="preserve"> </w:t>
      </w:r>
      <w:r>
        <w:t xml:space="preserve">fabrication of architected multi-material lattices with tunable stiffness,</w:t>
      </w:r>
      <w:r>
        <w:t xml:space="preserve"> </w:t>
      </w:r>
      <w:r>
        <w:t xml:space="preserve">strength, and energy absorption,</w:t>
      </w:r>
      <w:r>
        <w:t xml:space="preserve">”</w:t>
      </w:r>
      <w:r>
        <w:t xml:space="preserve"> </w:t>
      </w:r>
      <w:hyperlink r:id="rId142">
        <w:r>
          <w:rPr>
            <w:rStyle w:val="Hyperlink"/>
          </w:rPr>
          <w:t xml:space="preserve">Materials &amp; Design,</w:t>
        </w:r>
        <w:r>
          <w:rPr>
            <w:rStyle w:val="Hyperlink"/>
          </w:rPr>
          <w:t xml:space="preserve"> </w:t>
        </w:r>
        <w:r>
          <w:rPr>
            <w:rStyle w:val="Hyperlink"/>
          </w:rPr>
          <w:t xml:space="preserve">217:110613, May 2022</w:t>
        </w:r>
      </w:hyperlink>
      <w:r>
        <w:t xml:space="preserve">.</w:t>
      </w:r>
    </w:p>
    <w:bookmarkEnd w:id="143"/>
    <w:bookmarkStart w:id="145" w:name="bib39"/>
    <w:p>
      <w:pPr>
        <w:pStyle w:val="Bibliography"/>
      </w:pPr>
      <w:r>
        <w:t xml:space="preserve">[39]</w:t>
      </w:r>
      <w:r>
        <w:tab/>
      </w:r>
      <w:r>
        <w:t xml:space="preserve">Bustihan, A. and Botiz, I., 2026,</w:t>
      </w:r>
      <w:r>
        <w:t xml:space="preserve"> </w:t>
      </w:r>
      <w:r>
        <w:t xml:space="preserve">“</w:t>
      </w:r>
      <w:r>
        <w:t xml:space="preserve">Recent advances in additively</w:t>
      </w:r>
      <w:r>
        <w:t xml:space="preserve"> </w:t>
      </w:r>
      <w:r>
        <w:t xml:space="preserve">manufactured polymeric structures for mechanical energy absorption,</w:t>
      </w:r>
      <w:r>
        <w:t xml:space="preserve">”</w:t>
      </w:r>
      <w:r>
        <w:t xml:space="preserve"> </w:t>
      </w:r>
      <w:hyperlink r:id="rId144">
        <w:r>
          <w:rPr>
            <w:rStyle w:val="Hyperlink"/>
          </w:rPr>
          <w:t xml:space="preserve">Polymers, 18:1019, Apr 2026</w:t>
        </w:r>
      </w:hyperlink>
      <w:r>
        <w:t xml:space="preserve">.</w:t>
      </w:r>
    </w:p>
    <w:bookmarkEnd w:id="145"/>
    <w:bookmarkStart w:id="147" w:name="bib40"/>
    <w:p>
      <w:pPr>
        <w:pStyle w:val="Bibliography"/>
      </w:pPr>
      <w:r>
        <w:t xml:space="preserve">[40]</w:t>
      </w:r>
      <w:r>
        <w:tab/>
      </w:r>
      <w:r>
        <w:t xml:space="preserve">Liu, J., Seidu, R., Hu, L., Cheng, C., Yan, S., Yang, L., and xiang Jiang, S.,</w:t>
      </w:r>
      <w:r>
        <w:t xml:space="preserve"> </w:t>
      </w:r>
      <w:r>
        <w:t xml:space="preserve">2026,</w:t>
      </w:r>
      <w:r>
        <w:t xml:space="preserve"> </w:t>
      </w:r>
      <w:r>
        <w:t xml:space="preserve">“</w:t>
      </w:r>
      <w:r>
        <w:t xml:space="preserve">Three-dimensional printed lattice structures for next</w:t>
      </w:r>
      <w:r>
        <w:t xml:space="preserve"> </w:t>
      </w:r>
      <w:r>
        <w:t xml:space="preserve">generation of wearable technology,</w:t>
      </w:r>
      <w:r>
        <w:t xml:space="preserve">”</w:t>
      </w:r>
      <w:r>
        <w:t xml:space="preserve"> </w:t>
      </w:r>
      <w:hyperlink r:id="rId146">
        <w:r>
          <w:rPr>
            <w:rStyle w:val="Hyperlink"/>
          </w:rPr>
          <w:t xml:space="preserve">Fashion and Textiles,</w:t>
        </w:r>
        <w:r>
          <w:rPr>
            <w:rStyle w:val="Hyperlink"/>
          </w:rPr>
          <w:t xml:space="preserve"> </w:t>
        </w:r>
        <w:r>
          <w:rPr>
            <w:rStyle w:val="Hyperlink"/>
          </w:rPr>
          <w:t xml:space="preserve">Mar 2026</w:t>
        </w:r>
      </w:hyperlink>
      <w:r>
        <w:t xml:space="preserve">.</w:t>
      </w:r>
    </w:p>
    <w:bookmarkEnd w:id="147"/>
    <w:bookmarkStart w:id="149" w:name="bib41"/>
    <w:p>
      <w:pPr>
        <w:pStyle w:val="Bibliography"/>
      </w:pPr>
      <w:r>
        <w:t xml:space="preserve">[41]</w:t>
      </w:r>
      <w:r>
        <w:tab/>
      </w:r>
      <w:r>
        <w:t xml:space="preserve">Shahriari, B., Swersky, K., Wang, Z., Adams, R. P., and de Freitas, N., 2016,</w:t>
      </w:r>
      <w:r>
        <w:t xml:space="preserve"> </w:t>
      </w:r>
      <w:r>
        <w:t xml:space="preserve">“</w:t>
      </w:r>
      <w:r>
        <w:t xml:space="preserve">Taking the Human Out of the Loop: A Review of</w:t>
      </w:r>
      <w:r>
        <w:t xml:space="preserve"> </w:t>
      </w:r>
      <w:r>
        <w:t xml:space="preserve">B</w:t>
      </w:r>
      <w:r>
        <w:t xml:space="preserve">ayesian</w:t>
      </w:r>
      <w:r>
        <w:t xml:space="preserve"> </w:t>
      </w:r>
      <w:r>
        <w:t xml:space="preserve">Optimization,</w:t>
      </w:r>
      <w:r>
        <w:t xml:space="preserve">”</w:t>
      </w:r>
      <w:r>
        <w:t xml:space="preserve"> </w:t>
      </w:r>
      <w:hyperlink r:id="rId148">
        <w:r>
          <w:rPr>
            <w:rStyle w:val="Hyperlink"/>
          </w:rPr>
          <w:t xml:space="preserve">Proceedings of the</w:t>
        </w:r>
        <w:r>
          <w:rPr>
            <w:rStyle w:val="Hyperlink"/>
          </w:rPr>
          <w:t xml:space="preserve"> </w:t>
        </w:r>
        <w:r>
          <w:rPr>
            <w:rStyle w:val="Hyperlink"/>
          </w:rPr>
          <w:t xml:space="preserve">IEEE</w:t>
        </w:r>
      </w:hyperlink>
      <w:r>
        <w:t xml:space="preserve">,</w:t>
      </w:r>
      <w:r>
        <w:t xml:space="preserve"> </w:t>
      </w:r>
      <w:r>
        <w:rPr>
          <w:b/>
          <w:bCs/>
        </w:rPr>
        <w:t xml:space="preserve">104</w:t>
      </w:r>
      <w:r>
        <w:t xml:space="preserve">(1), pp. 148–175.</w:t>
      </w:r>
    </w:p>
    <w:bookmarkEnd w:id="149"/>
    <w:bookmarkStart w:id="151" w:name="bib42"/>
    <w:p>
      <w:pPr>
        <w:pStyle w:val="Bibliography"/>
      </w:pPr>
      <w:r>
        <w:t xml:space="preserve">[42]</w:t>
      </w:r>
      <w:r>
        <w:tab/>
      </w:r>
      <w:r>
        <w:t xml:space="preserve">Frazier, P. I., 2018,</w:t>
      </w:r>
      <w:r>
        <w:t xml:space="preserve"> </w:t>
      </w:r>
      <w:r>
        <w:t xml:space="preserve">“</w:t>
      </w:r>
      <w:r>
        <w:t xml:space="preserve">A Tutorial on</w:t>
      </w:r>
      <w:r>
        <w:t xml:space="preserve"> </w:t>
      </w:r>
      <w:r>
        <w:t xml:space="preserve">B</w:t>
      </w:r>
      <w:r>
        <w:t xml:space="preserve">ayesian Optimization,</w:t>
      </w:r>
      <w:r>
        <w:t xml:space="preserve">”</w:t>
      </w:r>
      <w:r>
        <w:t xml:space="preserve"> </w:t>
      </w:r>
      <w:hyperlink r:id="rId150">
        <w:r>
          <w:rPr>
            <w:rStyle w:val="Hyperlink"/>
          </w:rPr>
          <w:t xml:space="preserve">arXiv preprint arXiv:1807.02811</w:t>
        </w:r>
      </w:hyperlink>
      <w:r>
        <w:t xml:space="preserve">.</w:t>
      </w:r>
    </w:p>
    <w:bookmarkEnd w:id="151"/>
    <w:bookmarkStart w:id="152" w:name="bib43"/>
    <w:p>
      <w:pPr>
        <w:pStyle w:val="Bibliography"/>
      </w:pPr>
      <w:r>
        <w:t xml:space="preserve">[43]</w:t>
      </w:r>
      <w:r>
        <w:tab/>
      </w:r>
      <w:r>
        <w:t xml:space="preserve">Ament, S., Daulton, S., Eriksson, D., Balandat, M., and Bakshy, E., 2023,</w:t>
      </w:r>
      <w:r>
        <w:t xml:space="preserve"> </w:t>
      </w:r>
      <w:r>
        <w:t xml:space="preserve">“</w:t>
      </w:r>
      <w:r>
        <w:t xml:space="preserve">Unexpected Improvements to Expected Improvement for</w:t>
      </w:r>
      <w:r>
        <w:t xml:space="preserve"> </w:t>
      </w:r>
      <w:r>
        <w:t xml:space="preserve">B</w:t>
      </w:r>
      <w:r>
        <w:t xml:space="preserve">ayesian</w:t>
      </w:r>
      <w:r>
        <w:t xml:space="preserve"> </w:t>
      </w:r>
      <w:r>
        <w:t xml:space="preserve">Optimization,</w:t>
      </w:r>
      <w:r>
        <w:t xml:space="preserve">”</w:t>
      </w:r>
      <w:r>
        <w:t xml:space="preserve"> </w:t>
      </w:r>
      <w:r>
        <w:rPr>
          <w:i/>
          <w:iCs/>
        </w:rPr>
        <w:t xml:space="preserve">Advances in Neural Information Processing Systems</w:t>
      </w:r>
      <w:r>
        <w:t xml:space="preserve">,</w:t>
      </w:r>
      <w:r>
        <w:t xml:space="preserve"> </w:t>
      </w:r>
      <w:r>
        <w:t xml:space="preserve">Vol. 36, .</w:t>
      </w:r>
    </w:p>
    <w:bookmarkEnd w:id="152"/>
    <w:bookmarkStart w:id="154" w:name="bib44"/>
    <w:p>
      <w:pPr>
        <w:pStyle w:val="Bibliography"/>
      </w:pPr>
      <w:r>
        <w:t xml:space="preserve">[44]</w:t>
      </w:r>
      <w:r>
        <w:tab/>
      </w:r>
      <w:r>
        <w:t xml:space="preserve">Daulton, S., Balandat, M., and Bakshy, E., 2021,</w:t>
      </w:r>
      <w:r>
        <w:t xml:space="preserve"> </w:t>
      </w:r>
      <w:r>
        <w:t xml:space="preserve">“</w:t>
      </w:r>
      <w:r>
        <w:t xml:space="preserve">Parallel</w:t>
      </w:r>
      <w:r>
        <w:t xml:space="preserve"> </w:t>
      </w:r>
      <w:r>
        <w:t xml:space="preserve">B</w:t>
      </w:r>
      <w:r>
        <w:t xml:space="preserve">ayesian</w:t>
      </w:r>
      <w:r>
        <w:t xml:space="preserve"> </w:t>
      </w:r>
      <w:r>
        <w:t xml:space="preserve">Optimization of Multiple Noisy Objectives with Expected Hypervolume</w:t>
      </w:r>
      <w:r>
        <w:t xml:space="preserve"> </w:t>
      </w:r>
      <w:r>
        <w:t xml:space="preserve">Improvement,</w:t>
      </w:r>
      <w:r>
        <w:t xml:space="preserve">”</w:t>
      </w:r>
      <w:r>
        <w:t xml:space="preserve"> </w:t>
      </w:r>
      <w:r>
        <w:rPr>
          <w:i/>
          <w:iCs/>
        </w:rPr>
        <w:t xml:space="preserve">Advances in Neural Information Processing Systems</w:t>
      </w:r>
      <w:r>
        <w:t xml:space="preserve">,</w:t>
      </w:r>
      <w:r>
        <w:t xml:space="preserve"> </w:t>
      </w:r>
      <w:r>
        <w:t xml:space="preserve">Vol. 34, pp. 2187–2200,</w:t>
      </w:r>
      <w:r>
        <w:t xml:space="preserve"> </w:t>
      </w:r>
      <w:hyperlink r:id="rId153">
        <w:r>
          <w:rPr>
            <w:rStyle w:val="Hyperlink"/>
          </w:rPr>
          <w:t xml:space="preserve">https://arxiv.org/abs/2105.08195</w:t>
        </w:r>
      </w:hyperlink>
    </w:p>
    <w:bookmarkEnd w:id="154"/>
    <w:bookmarkStart w:id="156" w:name="bib45"/>
    <w:p>
      <w:pPr>
        <w:pStyle w:val="Bibliography"/>
      </w:pPr>
      <w:r>
        <w:t xml:space="preserve">[45]</w:t>
      </w:r>
      <w:r>
        <w:tab/>
      </w:r>
      <w:r>
        <w:t xml:space="preserve">Daulton, S., Cakmak, S., Balandat, M., Osborne, M. A., Zhou, E., and Bakshy,</w:t>
      </w:r>
      <w:r>
        <w:t xml:space="preserve"> </w:t>
      </w:r>
      <w:r>
        <w:t xml:space="preserve">E., 2022,</w:t>
      </w:r>
      <w:r>
        <w:t xml:space="preserve"> </w:t>
      </w:r>
      <w:r>
        <w:t xml:space="preserve">“</w:t>
      </w:r>
      <w:r>
        <w:t xml:space="preserve">Robust Multi-Objective</w:t>
      </w:r>
      <w:r>
        <w:t xml:space="preserve"> </w:t>
      </w:r>
      <w:r>
        <w:t xml:space="preserve">B</w:t>
      </w:r>
      <w:r>
        <w:t xml:space="preserve">ayesian Optimization Under Input</w:t>
      </w:r>
      <w:r>
        <w:t xml:space="preserve"> </w:t>
      </w:r>
      <w:r>
        <w:t xml:space="preserve">Noise,</w:t>
      </w:r>
      <w:r>
        <w:t xml:space="preserve">”</w:t>
      </w:r>
      <w:r>
        <w:t xml:space="preserve"> </w:t>
      </w:r>
      <w:r>
        <w:rPr>
          <w:i/>
          <w:iCs/>
        </w:rPr>
        <w:t xml:space="preserve">Proceedings of the 39th International Conference on Machine</w:t>
      </w:r>
      <w:r>
        <w:rPr>
          <w:i/>
          <w:iCs/>
        </w:rPr>
        <w:t xml:space="preserve"> </w:t>
      </w:r>
      <w:r>
        <w:rPr>
          <w:i/>
          <w:iCs/>
        </w:rPr>
        <w:t xml:space="preserve">Learning</w:t>
      </w:r>
      <w:r>
        <w:t xml:space="preserve">, Proceedings of Machine Learning Research, Vol. 162, pp.</w:t>
      </w:r>
      <w:r>
        <w:t xml:space="preserve"> </w:t>
      </w:r>
      <w:r>
        <w:t xml:space="preserve">4831–4866,</w:t>
      </w:r>
      <w:r>
        <w:t xml:space="preserve"> </w:t>
      </w:r>
      <w:hyperlink r:id="rId155">
        <w:r>
          <w:rPr>
            <w:rStyle w:val="Hyperlink"/>
          </w:rPr>
          <w:t xml:space="preserve">https://arxiv.org/abs/2202.07549</w:t>
        </w:r>
      </w:hyperlink>
    </w:p>
    <w:bookmarkEnd w:id="156"/>
    <w:bookmarkStart w:id="158" w:name="bib46"/>
    <w:p>
      <w:pPr>
        <w:pStyle w:val="Bibliography"/>
      </w:pPr>
      <w:r>
        <w:t xml:space="preserve">[46]</w:t>
      </w:r>
      <w:r>
        <w:tab/>
      </w:r>
      <w:r>
        <w:t xml:space="preserve">Low, A. K. Y., Mekki-Berrada, F., Ostudin, A., Xie, J., Vissol-Gaudin, E., Lim,</w:t>
      </w:r>
      <w:r>
        <w:t xml:space="preserve"> </w:t>
      </w:r>
      <w:r>
        <w:t xml:space="preserve">Y.-F., Gupta, A., Li, Q., Ong, Y. S., Khan, S. A., and Hippalgaonkar, K.,</w:t>
      </w:r>
      <w:r>
        <w:t xml:space="preserve"> </w:t>
      </w:r>
      <w:r>
        <w:t xml:space="preserve">2024,</w:t>
      </w:r>
      <w:r>
        <w:t xml:space="preserve"> </w:t>
      </w:r>
      <w:r>
        <w:t xml:space="preserve">“</w:t>
      </w:r>
      <w:r>
        <w:t xml:space="preserve">Evolution-guided</w:t>
      </w:r>
      <w:r>
        <w:t xml:space="preserve"> </w:t>
      </w:r>
      <w:r>
        <w:t xml:space="preserve">B</w:t>
      </w:r>
      <w:r>
        <w:t xml:space="preserve">ayesian Optimization for Constrained</w:t>
      </w:r>
      <w:r>
        <w:t xml:space="preserve"> </w:t>
      </w:r>
      <w:r>
        <w:t xml:space="preserve">Multi-Objective Optimization in Self-Driving Labs,</w:t>
      </w:r>
      <w:r>
        <w:t xml:space="preserve">”</w:t>
      </w:r>
      <w:r>
        <w:t xml:space="preserve"> </w:t>
      </w:r>
      <w:hyperlink r:id="rId157">
        <w:r>
          <w:rPr>
            <w:rStyle w:val="Hyperlink"/>
          </w:rPr>
          <w:t xml:space="preserve">npj Computational</w:t>
        </w:r>
        <w:r>
          <w:rPr>
            <w:rStyle w:val="Hyperlink"/>
          </w:rPr>
          <w:t xml:space="preserve"> </w:t>
        </w:r>
        <w:r>
          <w:rPr>
            <w:rStyle w:val="Hyperlink"/>
          </w:rPr>
          <w:t xml:space="preserve">Materials</w:t>
        </w:r>
      </w:hyperlink>
      <w:r>
        <w:t xml:space="preserve">,</w:t>
      </w:r>
      <w:r>
        <w:t xml:space="preserve"> </w:t>
      </w:r>
      <w:r>
        <w:rPr>
          <w:b/>
          <w:bCs/>
        </w:rPr>
        <w:t xml:space="preserve">10</w:t>
      </w:r>
      <w:r>
        <w:t xml:space="preserve">, pp. 1–11.</w:t>
      </w:r>
    </w:p>
    <w:bookmarkEnd w:id="158"/>
    <w:bookmarkStart w:id="160" w:name="bib47"/>
    <w:p>
      <w:pPr>
        <w:pStyle w:val="Bibliography"/>
      </w:pPr>
      <w:r>
        <w:t xml:space="preserve">[47]</w:t>
      </w:r>
      <w:r>
        <w:tab/>
      </w:r>
      <w:r>
        <w:t xml:space="preserve">Baptista, R. and Poloczek, M., 2018,</w:t>
      </w:r>
      <w:r>
        <w:t xml:space="preserve"> </w:t>
      </w:r>
      <w:r>
        <w:t xml:space="preserve">“</w:t>
      </w:r>
      <w:r>
        <w:t xml:space="preserve">Bayesian</w:t>
      </w:r>
      <w:r>
        <w:t xml:space="preserve"> </w:t>
      </w:r>
      <w:r>
        <w:t xml:space="preserve">Optimization of</w:t>
      </w:r>
      <w:r>
        <w:t xml:space="preserve"> </w:t>
      </w:r>
      <w:r>
        <w:t xml:space="preserve">Combinatorial Structures,</w:t>
      </w:r>
      <w:r>
        <w:t xml:space="preserve">”</w:t>
      </w:r>
      <w:r>
        <w:t xml:space="preserve"> </w:t>
      </w:r>
      <w:r>
        <w:rPr>
          <w:i/>
          <w:iCs/>
        </w:rPr>
        <w:t xml:space="preserve">Proceedings of the 35th International</w:t>
      </w:r>
      <w:r>
        <w:rPr>
          <w:i/>
          <w:iCs/>
        </w:rPr>
        <w:t xml:space="preserve"> </w:t>
      </w:r>
      <w:r>
        <w:rPr>
          <w:i/>
          <w:iCs/>
        </w:rPr>
        <w:t xml:space="preserve">Conference on Machine Learning (</w:t>
      </w:r>
      <w:r>
        <w:rPr>
          <w:i/>
          <w:iCs/>
        </w:rPr>
        <w:t xml:space="preserve">ICML</w:t>
      </w:r>
      <w:r>
        <w:rPr>
          <w:i/>
          <w:iCs/>
        </w:rPr>
        <w:t xml:space="preserve">)</w:t>
      </w:r>
      <w:r>
        <w:t xml:space="preserve">, pp. 462–471,</w:t>
      </w:r>
      <w:r>
        <w:t xml:space="preserve"> </w:t>
      </w:r>
      <w:hyperlink r:id="rId159">
        <w:r>
          <w:rPr>
            <w:rStyle w:val="Hyperlink"/>
          </w:rPr>
          <w:t xml:space="preserve">https://proceedings.mlr.press/v80/baptista18a.html</w:t>
        </w:r>
      </w:hyperlink>
    </w:p>
    <w:bookmarkEnd w:id="160"/>
    <w:bookmarkStart w:id="162" w:name="bib48"/>
    <w:p>
      <w:pPr>
        <w:pStyle w:val="Bibliography"/>
      </w:pPr>
      <w:r>
        <w:t xml:space="preserve">[48]</w:t>
      </w:r>
      <w:r>
        <w:tab/>
      </w:r>
      <w:r>
        <w:t xml:space="preserve">Garrido-Merchán, E. C. and Hernández-Lobato, D., 2020,</w:t>
      </w:r>
      <w:r>
        <w:t xml:space="preserve"> </w:t>
      </w:r>
      <w:r>
        <w:t xml:space="preserve">“</w:t>
      </w:r>
      <w:r>
        <w:t xml:space="preserve">Dealing</w:t>
      </w:r>
      <w:r>
        <w:t xml:space="preserve"> </w:t>
      </w:r>
      <w:r>
        <w:t xml:space="preserve">with Categorical and Integer-Valued Variables in</w:t>
      </w:r>
      <w:r>
        <w:t xml:space="preserve"> </w:t>
      </w:r>
      <w:r>
        <w:t xml:space="preserve">Bayesian</w:t>
      </w:r>
      <w:r>
        <w:t xml:space="preserve"> </w:t>
      </w:r>
      <w:r>
        <w:t xml:space="preserve">Optimization with</w:t>
      </w:r>
      <w:r>
        <w:t xml:space="preserve"> </w:t>
      </w:r>
      <w:r>
        <w:t xml:space="preserve">Gaussian</w:t>
      </w:r>
      <w:r>
        <w:t xml:space="preserve"> </w:t>
      </w:r>
      <w:r>
        <w:t xml:space="preserve">Processes,</w:t>
      </w:r>
      <w:r>
        <w:t xml:space="preserve">”</w:t>
      </w:r>
      <w:r>
        <w:t xml:space="preserve"> </w:t>
      </w:r>
      <w:hyperlink r:id="rId161">
        <w:r>
          <w:rPr>
            <w:rStyle w:val="Hyperlink"/>
          </w:rPr>
          <w:t xml:space="preserve">Neurocomputing</w:t>
        </w:r>
      </w:hyperlink>
      <w:r>
        <w:t xml:space="preserve">,</w:t>
      </w:r>
      <w:r>
        <w:t xml:space="preserve"> </w:t>
      </w:r>
      <w:r>
        <w:rPr>
          <w:b/>
          <w:bCs/>
        </w:rPr>
        <w:t xml:space="preserve">380</w:t>
      </w:r>
      <w:r>
        <w:t xml:space="preserve">, pp. 20–35.</w:t>
      </w:r>
    </w:p>
    <w:bookmarkEnd w:id="162"/>
    <w:bookmarkStart w:id="164" w:name="bib49"/>
    <w:p>
      <w:pPr>
        <w:pStyle w:val="Bibliography"/>
      </w:pPr>
      <w:r>
        <w:t xml:space="preserve">[49]</w:t>
      </w:r>
      <w:r>
        <w:tab/>
      </w:r>
      <w:r>
        <w:t xml:space="preserve">Perdikaris, P., Raissi, M., Damianou, A., Lawrence, N. D., and Karniadakis,</w:t>
      </w:r>
      <w:r>
        <w:t xml:space="preserve"> </w:t>
      </w:r>
      <w:r>
        <w:t xml:space="preserve">G. E., 2017,</w:t>
      </w:r>
      <w:r>
        <w:t xml:space="preserve"> </w:t>
      </w:r>
      <w:r>
        <w:t xml:space="preserve">“</w:t>
      </w:r>
      <w:r>
        <w:t xml:space="preserve">Nonlinear Information Fusion Algorithms for</w:t>
      </w:r>
      <w:r>
        <w:t xml:space="preserve"> </w:t>
      </w:r>
      <w:r>
        <w:t xml:space="preserve">Data-Efficient Multi-Fidelity Modelling,</w:t>
      </w:r>
      <w:r>
        <w:t xml:space="preserve">”</w:t>
      </w:r>
      <w:r>
        <w:t xml:space="preserve"> </w:t>
      </w:r>
      <w:hyperlink r:id="rId163">
        <w:r>
          <w:rPr>
            <w:rStyle w:val="Hyperlink"/>
          </w:rPr>
          <w:t xml:space="preserve">Proceedings of the Royal</w:t>
        </w:r>
        <w:r>
          <w:rPr>
            <w:rStyle w:val="Hyperlink"/>
          </w:rPr>
          <w:t xml:space="preserve"> </w:t>
        </w:r>
        <w:r>
          <w:rPr>
            <w:rStyle w:val="Hyperlink"/>
          </w:rPr>
          <w:t xml:space="preserve">Society A</w:t>
        </w:r>
      </w:hyperlink>
      <w:r>
        <w:t xml:space="preserve">,</w:t>
      </w:r>
      <w:r>
        <w:t xml:space="preserve"> </w:t>
      </w:r>
      <w:r>
        <w:rPr>
          <w:b/>
          <w:bCs/>
        </w:rPr>
        <w:t xml:space="preserve">473</w:t>
      </w:r>
      <w:r>
        <w:t xml:space="preserve">(2198), p. 20160751.</w:t>
      </w:r>
    </w:p>
    <w:bookmarkEnd w:id="164"/>
    <w:bookmarkStart w:id="166" w:name="bib50"/>
    <w:p>
      <w:pPr>
        <w:pStyle w:val="Bibliography"/>
      </w:pPr>
      <w:r>
        <w:t xml:space="preserve">[50]</w:t>
      </w:r>
      <w:r>
        <w:tab/>
      </w:r>
      <w:r>
        <w:t xml:space="preserve">Bernstein, A. D., 1977,</w:t>
      </w:r>
      <w:r>
        <w:t xml:space="preserve"> </w:t>
      </w:r>
      <w:r>
        <w:t xml:space="preserve">“</w:t>
      </w:r>
      <w:r>
        <w:t xml:space="preserve">Listening to the coefficient of restitution,</w:t>
      </w:r>
      <w:r>
        <w:t xml:space="preserve">”</w:t>
      </w:r>
      <w:r>
        <w:t xml:space="preserve"> </w:t>
      </w:r>
      <w:hyperlink r:id="rId165">
        <w:r>
          <w:rPr>
            <w:rStyle w:val="Hyperlink"/>
          </w:rPr>
          <w:t xml:space="preserve">American Journal of Physics</w:t>
        </w:r>
      </w:hyperlink>
      <w:r>
        <w:t xml:space="preserve">,</w:t>
      </w:r>
      <w:r>
        <w:t xml:space="preserve"> </w:t>
      </w:r>
      <w:r>
        <w:rPr>
          <w:b/>
          <w:bCs/>
        </w:rPr>
        <w:t xml:space="preserve">45</w:t>
      </w:r>
      <w:r>
        <w:t xml:space="preserve">(1), pp. 41–44.</w:t>
      </w:r>
    </w:p>
    <w:bookmarkEnd w:id="166"/>
    <w:bookmarkStart w:id="168" w:name="bib51"/>
    <w:p>
      <w:pPr>
        <w:pStyle w:val="Bibliography"/>
      </w:pPr>
      <w:r>
        <w:t xml:space="preserve">[51]</w:t>
      </w:r>
      <w:r>
        <w:tab/>
      </w:r>
      <w:r>
        <w:t xml:space="preserve">Ashwear, N. and Eriksson, A., 2014,</w:t>
      </w:r>
      <w:r>
        <w:t xml:space="preserve"> </w:t>
      </w:r>
      <w:r>
        <w:t xml:space="preserve">“</w:t>
      </w:r>
      <w:r>
        <w:t xml:space="preserve">Natural frequencies describe the</w:t>
      </w:r>
      <w:r>
        <w:t xml:space="preserve"> </w:t>
      </w:r>
      <w:r>
        <w:t xml:space="preserve">pre-stress in tensegrity structures,</w:t>
      </w:r>
      <w:r>
        <w:t xml:space="preserve">”</w:t>
      </w:r>
      <w:r>
        <w:t xml:space="preserve"> </w:t>
      </w:r>
      <w:hyperlink r:id="rId167">
        <w:r>
          <w:rPr>
            <w:rStyle w:val="Hyperlink"/>
          </w:rPr>
          <w:t xml:space="preserve">Computers &amp;</w:t>
        </w:r>
        <w:r>
          <w:rPr>
            <w:rStyle w:val="Hyperlink"/>
          </w:rPr>
          <w:t xml:space="preserve"> </w:t>
        </w:r>
        <w:r>
          <w:rPr>
            <w:rStyle w:val="Hyperlink"/>
          </w:rPr>
          <w:t xml:space="preserve">Structures</w:t>
        </w:r>
      </w:hyperlink>
      <w:r>
        <w:t xml:space="preserve">,</w:t>
      </w:r>
      <w:r>
        <w:t xml:space="preserve"> </w:t>
      </w:r>
      <w:r>
        <w:rPr>
          <w:b/>
          <w:bCs/>
        </w:rPr>
        <w:t xml:space="preserve">138</w:t>
      </w:r>
      <w:r>
        <w:t xml:space="preserve">, pp. 162–171.</w:t>
      </w:r>
    </w:p>
    <w:bookmarkEnd w:id="168"/>
    <w:bookmarkStart w:id="170" w:name="bib52"/>
    <w:p>
      <w:pPr>
        <w:pStyle w:val="Bibliography"/>
      </w:pPr>
      <w:r>
        <w:t xml:space="preserve">[52]</w:t>
      </w:r>
      <w:r>
        <w:tab/>
      </w:r>
      <w:r>
        <w:t xml:space="preserve">Gibson, L. J. and Ashby, M. F., 1997,</w:t>
      </w:r>
      <w:r>
        <w:t xml:space="preserve"> </w:t>
      </w:r>
      <w:hyperlink r:id="rId169">
        <w:r>
          <w:rPr>
            <w:rStyle w:val="Hyperlink"/>
            <w:i/>
            <w:iCs/>
          </w:rPr>
          <w:t xml:space="preserve">Cellular Solids:</w:t>
        </w:r>
        <w:r>
          <w:rPr>
            <w:rStyle w:val="Hyperlink"/>
            <w:i/>
            <w:iCs/>
          </w:rPr>
          <w:t xml:space="preserve"> </w:t>
        </w:r>
        <w:r>
          <w:rPr>
            <w:rStyle w:val="Hyperlink"/>
            <w:i/>
            <w:iCs/>
          </w:rPr>
          <w:t xml:space="preserve">Structure and Properties</w:t>
        </w:r>
      </w:hyperlink>
      <w:r>
        <w:t xml:space="preserve">, 2nd ed., Cambridge Solid State Science Series,</w:t>
      </w:r>
      <w:r>
        <w:t xml:space="preserve"> </w:t>
      </w:r>
      <w:r>
        <w:t xml:space="preserve">Cambridge University Press.</w:t>
      </w:r>
    </w:p>
    <w:bookmarkEnd w:id="170"/>
    <w:bookmarkStart w:id="172" w:name="bib53"/>
    <w:p>
      <w:pPr>
        <w:pStyle w:val="Bibliography"/>
      </w:pPr>
      <w:r>
        <w:t xml:space="preserve">[53]</w:t>
      </w:r>
      <w:r>
        <w:tab/>
      </w:r>
      <w:r>
        <w:t xml:space="preserve">Avalle, M., Belingardi, G., and Montanini, R., 2001,</w:t>
      </w:r>
      <w:r>
        <w:t xml:space="preserve"> </w:t>
      </w:r>
      <w:r>
        <w:t xml:space="preserve">“</w:t>
      </w:r>
      <w:r>
        <w:t xml:space="preserve">Characterization</w:t>
      </w:r>
      <w:r>
        <w:t xml:space="preserve"> </w:t>
      </w:r>
      <w:r>
        <w:t xml:space="preserve">of polymeric structural foams under compressive impact loading by means of</w:t>
      </w:r>
      <w:r>
        <w:t xml:space="preserve"> </w:t>
      </w:r>
      <w:r>
        <w:t xml:space="preserve">energy-absorption diagram,</w:t>
      </w:r>
      <w:r>
        <w:t xml:space="preserve">”</w:t>
      </w:r>
      <w:r>
        <w:t xml:space="preserve"> </w:t>
      </w:r>
      <w:hyperlink r:id="rId171">
        <w:r>
          <w:rPr>
            <w:rStyle w:val="Hyperlink"/>
          </w:rPr>
          <w:t xml:space="preserve">International Journal</w:t>
        </w:r>
        <w:r>
          <w:rPr>
            <w:rStyle w:val="Hyperlink"/>
          </w:rPr>
          <w:t xml:space="preserve"> </w:t>
        </w:r>
        <w:r>
          <w:rPr>
            <w:rStyle w:val="Hyperlink"/>
          </w:rPr>
          <w:t xml:space="preserve">of Impact Engineering</w:t>
        </w:r>
      </w:hyperlink>
      <w:r>
        <w:t xml:space="preserve">,</w:t>
      </w:r>
      <w:r>
        <w:t xml:space="preserve"> </w:t>
      </w:r>
      <w:r>
        <w:rPr>
          <w:b/>
          <w:bCs/>
        </w:rPr>
        <w:t xml:space="preserve">25</w:t>
      </w:r>
      <w:r>
        <w:t xml:space="preserve">(5), pp. 455–472.</w:t>
      </w:r>
    </w:p>
    <w:bookmarkEnd w:id="172"/>
    <w:bookmarkStart w:id="174" w:name="bib54"/>
    <w:p>
      <w:pPr>
        <w:pStyle w:val="Bibliography"/>
      </w:pPr>
      <w:r>
        <w:t xml:space="preserve">[54]</w:t>
      </w:r>
      <w:r>
        <w:tab/>
      </w:r>
      <w:r>
        <w:t xml:space="preserve">Tan, P. J., Reid, S. R., Harrigan, J. J., Zou, Z., and Li, S., 2005,</w:t>
      </w:r>
      <w:r>
        <w:t xml:space="preserve"> </w:t>
      </w:r>
      <w:r>
        <w:t xml:space="preserve">“</w:t>
      </w:r>
      <w:r>
        <w:t xml:space="preserve">Dynamic compressive strength properties of aluminium foams.</w:t>
      </w:r>
      <w:r>
        <w:t xml:space="preserve"> </w:t>
      </w:r>
      <w:r>
        <w:t xml:space="preserve">Part</w:t>
      </w:r>
      <w:r>
        <w:t xml:space="preserve"> </w:t>
      </w:r>
      <w:r>
        <w:t xml:space="preserve">I</w:t>
      </w:r>
      <w:r>
        <w:t xml:space="preserve">—experimental data and observations,</w:t>
      </w:r>
      <w:r>
        <w:t xml:space="preserve">”</w:t>
      </w:r>
      <w:r>
        <w:t xml:space="preserve"> </w:t>
      </w:r>
      <w:hyperlink r:id="rId173">
        <w:r>
          <w:rPr>
            <w:rStyle w:val="Hyperlink"/>
          </w:rPr>
          <w:t xml:space="preserve">Journal of the Mechanics</w:t>
        </w:r>
        <w:r>
          <w:rPr>
            <w:rStyle w:val="Hyperlink"/>
          </w:rPr>
          <w:t xml:space="preserve"> </w:t>
        </w:r>
        <w:r>
          <w:rPr>
            <w:rStyle w:val="Hyperlink"/>
          </w:rPr>
          <w:t xml:space="preserve">and Physics of Solids</w:t>
        </w:r>
      </w:hyperlink>
      <w:r>
        <w:t xml:space="preserve">,</w:t>
      </w:r>
      <w:r>
        <w:t xml:space="preserve"> </w:t>
      </w:r>
      <w:r>
        <w:rPr>
          <w:b/>
          <w:bCs/>
        </w:rPr>
        <w:t xml:space="preserve">53</w:t>
      </w:r>
      <w:r>
        <w:t xml:space="preserve">(10), pp. 2174–2205.</w:t>
      </w:r>
    </w:p>
    <w:bookmarkEnd w:id="174"/>
    <w:bookmarkStart w:id="176" w:name="bib55"/>
    <w:p>
      <w:pPr>
        <w:pStyle w:val="Bibliography"/>
      </w:pPr>
      <w:r>
        <w:t xml:space="preserve">[55]</w:t>
      </w:r>
      <w:r>
        <w:tab/>
      </w:r>
      <w:r>
        <w:t xml:space="preserve">Michailidis, N., Stergioudi, F., Tsouknidas, A., and Pavlidou, E., 2011,</w:t>
      </w:r>
      <w:r>
        <w:t xml:space="preserve"> </w:t>
      </w:r>
      <w:r>
        <w:t xml:space="preserve">“</w:t>
      </w:r>
      <w:r>
        <w:t xml:space="preserve">Establishment of process parameter optimization for the</w:t>
      </w:r>
      <w:r>
        <w:t xml:space="preserve"> </w:t>
      </w:r>
      <w:r>
        <w:t xml:space="preserve">manufacturing of aluminium foams and the determination of their mechanical</w:t>
      </w:r>
      <w:r>
        <w:t xml:space="preserve"> </w:t>
      </w:r>
      <w:r>
        <w:t xml:space="preserve">properties,</w:t>
      </w:r>
      <w:r>
        <w:t xml:space="preserve">”</w:t>
      </w:r>
      <w:r>
        <w:t xml:space="preserve"> </w:t>
      </w:r>
      <w:hyperlink r:id="rId175">
        <w:r>
          <w:rPr>
            <w:rStyle w:val="Hyperlink"/>
          </w:rPr>
          <w:t xml:space="preserve">Materials</w:t>
        </w:r>
        <w:r>
          <w:rPr>
            <w:rStyle w:val="Hyperlink"/>
          </w:rPr>
          <w:t xml:space="preserve"> </w:t>
        </w:r>
        <w:r>
          <w:rPr>
            <w:rStyle w:val="Hyperlink"/>
          </w:rPr>
          <w:t xml:space="preserve">Science and Engineering: B</w:t>
        </w:r>
      </w:hyperlink>
      <w:r>
        <w:t xml:space="preserve">,</w:t>
      </w:r>
      <w:r>
        <w:t xml:space="preserve"> </w:t>
      </w:r>
      <w:r>
        <w:rPr>
          <w:b/>
          <w:bCs/>
        </w:rPr>
        <w:t xml:space="preserve">176</w:t>
      </w:r>
      <w:r>
        <w:t xml:space="preserve">(1), pp. 19–25.</w:t>
      </w:r>
    </w:p>
    <w:bookmarkEnd w:id="176"/>
    <w:bookmarkStart w:id="178" w:name="bib56"/>
    <w:p>
      <w:pPr>
        <w:pStyle w:val="Bibliography"/>
      </w:pPr>
      <w:r>
        <w:t xml:space="preserve">[56]</w:t>
      </w:r>
      <w:r>
        <w:tab/>
      </w:r>
      <w:r>
        <w:t xml:space="preserve">International Organization for Standardization</w:t>
      </w:r>
      <w:r>
        <w:t xml:space="preserve">, 1999,</w:t>
      </w:r>
      <w:r>
        <w:t xml:space="preserve"> </w:t>
      </w:r>
      <w:r>
        <w:t xml:space="preserve">“</w:t>
      </w:r>
      <w:r>
        <w:t xml:space="preserve">ISO</w:t>
      </w:r>
      <w:r>
        <w:t xml:space="preserve"> </w:t>
      </w:r>
      <w:r>
        <w:t xml:space="preserve">11334-4:1999 Assistive products for walking manipulated by one arm —</w:t>
      </w:r>
      <w:r>
        <w:t xml:space="preserve"> </w:t>
      </w:r>
      <w:r>
        <w:t xml:space="preserve">Requirements and test methods — Part 4: Walking sticks with three or more</w:t>
      </w:r>
      <w:r>
        <w:t xml:space="preserve"> </w:t>
      </w:r>
      <w:r>
        <w:t xml:space="preserve">legs</w:t>
      </w:r>
      <w:r>
        <w:t xml:space="preserve">,</w:t>
      </w:r>
      <w:r>
        <w:t xml:space="preserve">”</w:t>
      </w:r>
      <w:r>
        <w:t xml:space="preserve"> </w:t>
      </w:r>
      <w:r>
        <w:t xml:space="preserve">Standard, International Organization for Standardization,</w:t>
      </w:r>
      <w:r>
        <w:t xml:space="preserve"> </w:t>
      </w:r>
      <w:hyperlink r:id="rId177">
        <w:r>
          <w:rPr>
            <w:rStyle w:val="Hyperlink"/>
          </w:rPr>
          <w:t xml:space="preserve">https://www.iso.org/standard/27298.html</w:t>
        </w:r>
      </w:hyperlink>
    </w:p>
    <w:bookmarkEnd w:id="178"/>
    <w:bookmarkStart w:id="180" w:name="bib57"/>
    <w:p>
      <w:pPr>
        <w:pStyle w:val="Bibliography"/>
      </w:pPr>
      <w:r>
        <w:t xml:space="preserve">[57]</w:t>
      </w:r>
      <w:r>
        <w:tab/>
      </w:r>
      <w:r>
        <w:t xml:space="preserve">Sobol’, I. M., 1967,</w:t>
      </w:r>
      <w:r>
        <w:t xml:space="preserve"> </w:t>
      </w:r>
      <w:r>
        <w:t xml:space="preserve">“</w:t>
      </w:r>
      <w:r>
        <w:t xml:space="preserve">On the Distribution of Points in a Cube and the</w:t>
      </w:r>
      <w:r>
        <w:t xml:space="preserve"> </w:t>
      </w:r>
      <w:r>
        <w:t xml:space="preserve">Approximate Evaluation of Integrals,</w:t>
      </w:r>
      <w:r>
        <w:t xml:space="preserve">”</w:t>
      </w:r>
      <w:r>
        <w:t xml:space="preserve"> </w:t>
      </w:r>
      <w:hyperlink r:id="rId179">
        <w:r>
          <w:rPr>
            <w:rStyle w:val="Hyperlink"/>
          </w:rPr>
          <w:t xml:space="preserve">USSR Computational</w:t>
        </w:r>
        <w:r>
          <w:rPr>
            <w:rStyle w:val="Hyperlink"/>
          </w:rPr>
          <w:t xml:space="preserve"> </w:t>
        </w:r>
        <w:r>
          <w:rPr>
            <w:rStyle w:val="Hyperlink"/>
          </w:rPr>
          <w:t xml:space="preserve">Mathematics and Mathematical Physics</w:t>
        </w:r>
      </w:hyperlink>
      <w:r>
        <w:t xml:space="preserve">,</w:t>
      </w:r>
      <w:r>
        <w:t xml:space="preserve"> </w:t>
      </w:r>
      <w:r>
        <w:rPr>
          <w:b/>
          <w:bCs/>
        </w:rPr>
        <w:t xml:space="preserve">7</w:t>
      </w:r>
      <w:r>
        <w:t xml:space="preserve">(4), pp. 86–112.</w:t>
      </w:r>
    </w:p>
    <w:bookmarkEnd w:id="180"/>
    <w:bookmarkStart w:id="182" w:name="bib58"/>
    <w:p>
      <w:pPr>
        <w:pStyle w:val="Bibliography"/>
      </w:pPr>
      <w:r>
        <w:t xml:space="preserve">[58]</w:t>
      </w:r>
      <w:r>
        <w:tab/>
      </w:r>
      <w:r>
        <w:t xml:space="preserve">Owen, A. B., 1998,</w:t>
      </w:r>
      <w:r>
        <w:t xml:space="preserve"> </w:t>
      </w:r>
      <w:r>
        <w:t xml:space="preserve">“</w:t>
      </w:r>
      <w:r>
        <w:t xml:space="preserve">Scrambling</w:t>
      </w:r>
      <w:r>
        <w:t xml:space="preserve"> </w:t>
      </w:r>
      <w:r>
        <w:t xml:space="preserve">S</w:t>
      </w:r>
      <w:r>
        <w:t xml:space="preserve">obol’ and</w:t>
      </w:r>
      <w:r>
        <w:t xml:space="preserve"> </w:t>
      </w:r>
      <w:r>
        <w:t xml:space="preserve">N</w:t>
      </w:r>
      <w:r>
        <w:t xml:space="preserve">iederreiter-</w:t>
      </w:r>
      <w:r>
        <w:t xml:space="preserve">X</w:t>
      </w:r>
      <w:r>
        <w:t xml:space="preserve">ing</w:t>
      </w:r>
      <w:r>
        <w:t xml:space="preserve"> </w:t>
      </w:r>
      <w:r>
        <w:t xml:space="preserve">Points,</w:t>
      </w:r>
      <w:r>
        <w:t xml:space="preserve">”</w:t>
      </w:r>
      <w:r>
        <w:t xml:space="preserve"> </w:t>
      </w:r>
      <w:hyperlink r:id="rId181">
        <w:r>
          <w:rPr>
            <w:rStyle w:val="Hyperlink"/>
          </w:rPr>
          <w:t xml:space="preserve">Journal of</w:t>
        </w:r>
        <w:r>
          <w:rPr>
            <w:rStyle w:val="Hyperlink"/>
          </w:rPr>
          <w:t xml:space="preserve"> </w:t>
        </w:r>
        <w:r>
          <w:rPr>
            <w:rStyle w:val="Hyperlink"/>
          </w:rPr>
          <w:t xml:space="preserve">Complexity</w:t>
        </w:r>
      </w:hyperlink>
      <w:r>
        <w:t xml:space="preserve">,</w:t>
      </w:r>
      <w:r>
        <w:t xml:space="preserve"> </w:t>
      </w:r>
      <w:r>
        <w:rPr>
          <w:b/>
          <w:bCs/>
        </w:rPr>
        <w:t xml:space="preserve">14</w:t>
      </w:r>
      <w:r>
        <w:t xml:space="preserve">(4), pp. 466–489.</w:t>
      </w:r>
    </w:p>
    <w:bookmarkEnd w:id="182"/>
    <w:bookmarkStart w:id="184" w:name="bib59"/>
    <w:p>
      <w:pPr>
        <w:pStyle w:val="Bibliography"/>
      </w:pPr>
      <w:r>
        <w:t xml:space="preserve">[59]</w:t>
      </w:r>
      <w:r>
        <w:tab/>
      </w:r>
      <w:r>
        <w:t xml:space="preserve">Eriksson, D., Pearce, M., Gardner, J. R., Turner, R. D., and Poloczek, M.,</w:t>
      </w:r>
      <w:r>
        <w:t xml:space="preserve"> </w:t>
      </w:r>
      <w:r>
        <w:t xml:space="preserve">2019,</w:t>
      </w:r>
      <w:r>
        <w:t xml:space="preserve"> </w:t>
      </w:r>
      <w:r>
        <w:t xml:space="preserve">“</w:t>
      </w:r>
      <w:r>
        <w:t xml:space="preserve">Scalable Global Optimization via Local</w:t>
      </w:r>
      <w:r>
        <w:t xml:space="preserve"> </w:t>
      </w:r>
      <w:r>
        <w:t xml:space="preserve">B</w:t>
      </w:r>
      <w:r>
        <w:t xml:space="preserve">ayesian</w:t>
      </w:r>
      <w:r>
        <w:t xml:space="preserve"> </w:t>
      </w:r>
      <w:r>
        <w:t xml:space="preserve">Optimization,</w:t>
      </w:r>
      <w:r>
        <w:t xml:space="preserve">”</w:t>
      </w:r>
      <w:r>
        <w:t xml:space="preserve"> </w:t>
      </w:r>
      <w:r>
        <w:rPr>
          <w:i/>
          <w:iCs/>
        </w:rPr>
        <w:t xml:space="preserve">Advances in Neural Information Processing Systems 32</w:t>
      </w:r>
      <w:r>
        <w:rPr>
          <w:i/>
          <w:iCs/>
        </w:rPr>
        <w:t xml:space="preserve"> </w:t>
      </w:r>
      <w:r>
        <w:rPr>
          <w:i/>
          <w:iCs/>
        </w:rPr>
        <w:t xml:space="preserve">(NeurIPS 2019)</w:t>
      </w:r>
      <w:r>
        <w:t xml:space="preserve">, pp. 5496–5507,</w:t>
      </w:r>
      <w:r>
        <w:t xml:space="preserve"> </w:t>
      </w:r>
      <w:hyperlink r:id="rId183">
        <w:r>
          <w:rPr>
            <w:rStyle w:val="Hyperlink"/>
          </w:rPr>
          <w:t xml:space="preserve">https://arxiv.org/abs/1910.01739</w:t>
        </w:r>
      </w:hyperlink>
    </w:p>
    <w:bookmarkEnd w:id="184"/>
    <w:bookmarkStart w:id="186" w:name="bib60"/>
    <w:p>
      <w:pPr>
        <w:pStyle w:val="Bibliography"/>
      </w:pPr>
      <w:r>
        <w:t xml:space="preserve">[60]</w:t>
      </w:r>
      <w:r>
        <w:tab/>
      </w:r>
      <w:r>
        <w:t xml:space="preserve">Requejo, P. S., Wahl, D. P., Bontrager, E. L., Newsam, C. J., Gronley, J. K.,</w:t>
      </w:r>
      <w:r>
        <w:t xml:space="preserve"> </w:t>
      </w:r>
      <w:r>
        <w:t xml:space="preserve">Mulroy, S. J., and Perry, J., 2005,</w:t>
      </w:r>
      <w:r>
        <w:t xml:space="preserve"> </w:t>
      </w:r>
      <w:r>
        <w:t xml:space="preserve">“</w:t>
      </w:r>
      <w:r>
        <w:t xml:space="preserve">Upper extremity kinetics during</w:t>
      </w:r>
      <w:r>
        <w:t xml:space="preserve"> </w:t>
      </w:r>
      <w:r>
        <w:t xml:space="preserve">lofstrand crutch-assisted gait,</w:t>
      </w:r>
      <w:r>
        <w:t xml:space="preserve">”</w:t>
      </w:r>
      <w:r>
        <w:t xml:space="preserve"> </w:t>
      </w:r>
      <w:hyperlink r:id="rId185">
        <w:r>
          <w:rPr>
            <w:rStyle w:val="Hyperlink"/>
          </w:rPr>
          <w:t xml:space="preserve">Medical engineering</w:t>
        </w:r>
        <w:r>
          <w:rPr>
            <w:rStyle w:val="Hyperlink"/>
          </w:rPr>
          <w:t xml:space="preserve"> </w:t>
        </w:r>
        <w:r>
          <w:rPr>
            <w:rStyle w:val="Hyperlink"/>
          </w:rPr>
          <w:t xml:space="preserve">&amp; physics, 27 1:19-29, Jan 2005</w:t>
        </w:r>
      </w:hyperlink>
      <w:r>
        <w:t xml:space="preserve">.</w:t>
      </w:r>
    </w:p>
    <w:bookmarkEnd w:id="186"/>
    <w:bookmarkStart w:id="188" w:name="bib61"/>
    <w:p>
      <w:pPr>
        <w:pStyle w:val="Bibliography"/>
      </w:pPr>
      <w:r>
        <w:t xml:space="preserve">[61]</w:t>
      </w:r>
      <w:r>
        <w:tab/>
      </w:r>
      <w:r>
        <w:t xml:space="preserve">Rasouli, F. and Reed, K. B., 2020,</w:t>
      </w:r>
      <w:r>
        <w:t xml:space="preserve"> </w:t>
      </w:r>
      <w:r>
        <w:t xml:space="preserve">“</w:t>
      </w:r>
      <w:r>
        <w:t xml:space="preserve">Walking assistance using crutches:</w:t>
      </w:r>
      <w:r>
        <w:t xml:space="preserve"> </w:t>
      </w:r>
      <w:r>
        <w:t xml:space="preserve">a state of the art review,</w:t>
      </w:r>
      <w:r>
        <w:t xml:space="preserve">”</w:t>
      </w:r>
      <w:r>
        <w:t xml:space="preserve"> </w:t>
      </w:r>
      <w:hyperlink r:id="rId187">
        <w:r>
          <w:rPr>
            <w:rStyle w:val="Hyperlink"/>
          </w:rPr>
          <w:t xml:space="preserve">Journal of</w:t>
        </w:r>
        <w:r>
          <w:rPr>
            <w:rStyle w:val="Hyperlink"/>
          </w:rPr>
          <w:t xml:space="preserve"> </w:t>
        </w:r>
        <w:r>
          <w:rPr>
            <w:rStyle w:val="Hyperlink"/>
          </w:rPr>
          <w:t xml:space="preserve">Biomechanics, 98:109489, Jan 2020</w:t>
        </w:r>
      </w:hyperlink>
      <w:r>
        <w:t xml:space="preserve">.</w:t>
      </w:r>
    </w:p>
    <w:bookmarkEnd w:id="188"/>
    <w:bookmarkStart w:id="190" w:name="bib62"/>
    <w:p>
      <w:pPr>
        <w:pStyle w:val="Bibliography"/>
      </w:pPr>
      <w:r>
        <w:t xml:space="preserve">[62]</w:t>
      </w:r>
      <w:r>
        <w:tab/>
      </w:r>
      <w:r>
        <w:t xml:space="preserve">Manocha, R. H. K., MacGillivray, M. K., Eshraghi, M., and Sawatzky, B. J.,</w:t>
      </w:r>
      <w:r>
        <w:t xml:space="preserve"> </w:t>
      </w:r>
      <w:r>
        <w:t xml:space="preserve">2021,</w:t>
      </w:r>
      <w:r>
        <w:t xml:space="preserve"> </w:t>
      </w:r>
      <w:r>
        <w:t xml:space="preserve">“</w:t>
      </w:r>
      <w:r>
        <w:t xml:space="preserve">Injuries associated with crutch use: a narrative review,</w:t>
      </w:r>
      <w:r>
        <w:t xml:space="preserve">”</w:t>
      </w:r>
      <w:r>
        <w:t xml:space="preserve"> </w:t>
      </w:r>
      <w:hyperlink r:id="rId189">
        <w:r>
          <w:rPr>
            <w:rStyle w:val="Hyperlink"/>
          </w:rPr>
          <w:t xml:space="preserve">PM&amp;R, 13:1176-1192, Dec 2021</w:t>
        </w:r>
      </w:hyperlink>
      <w:r>
        <w:t xml:space="preserve">.</w:t>
      </w:r>
    </w:p>
    <w:bookmarkEnd w:id="190"/>
    <w:bookmarkStart w:id="192" w:name="bib63"/>
    <w:p>
      <w:pPr>
        <w:pStyle w:val="Bibliography"/>
      </w:pPr>
      <w:r>
        <w:t xml:space="preserve">[63]</w:t>
      </w:r>
      <w:r>
        <w:tab/>
      </w:r>
      <w:r>
        <w:t xml:space="preserve">da Silva, D. B.-B. and Fachin-Martins, E., 2022,</w:t>
      </w:r>
      <w:r>
        <w:t xml:space="preserve"> </w:t>
      </w:r>
      <w:r>
        <w:t xml:space="preserve">“</w:t>
      </w:r>
      <w:r>
        <w:t xml:space="preserve">Pain mapping and</w:t>
      </w:r>
      <w:r>
        <w:t xml:space="preserve"> </w:t>
      </w:r>
      <w:r>
        <w:t xml:space="preserve">health-related conditions in relation to forearm crutch usage: a</w:t>
      </w:r>
      <w:r>
        <w:t xml:space="preserve"> </w:t>
      </w:r>
      <w:r>
        <w:t xml:space="preserve">cross-sectional study,</w:t>
      </w:r>
      <w:r>
        <w:t xml:space="preserve">”</w:t>
      </w:r>
      <w:r>
        <w:t xml:space="preserve"> </w:t>
      </w:r>
      <w:hyperlink r:id="rId191">
        <w:r>
          <w:rPr>
            <w:rStyle w:val="Hyperlink"/>
          </w:rPr>
          <w:t xml:space="preserve">Assistive Technology,</w:t>
        </w:r>
        <w:r>
          <w:rPr>
            <w:rStyle w:val="Hyperlink"/>
          </w:rPr>
          <w:t xml:space="preserve"> </w:t>
        </w:r>
        <w:r>
          <w:rPr>
            <w:rStyle w:val="Hyperlink"/>
          </w:rPr>
          <w:t xml:space="preserve">34:334-340, Oct 2022</w:t>
        </w:r>
      </w:hyperlink>
      <w:r>
        <w:t xml:space="preserve">.</w:t>
      </w:r>
    </w:p>
    <w:bookmarkEnd w:id="192"/>
    <w:bookmarkStart w:id="194" w:name="bib64"/>
    <w:p>
      <w:pPr>
        <w:pStyle w:val="Bibliography"/>
      </w:pPr>
      <w:r>
        <w:t xml:space="preserve">[64]</w:t>
      </w:r>
      <w:r>
        <w:tab/>
      </w:r>
      <w:r>
        <w:t xml:space="preserve">Dozono, K., Hachisuka, A., Wada, F., and Hachisuka, K., 2015,</w:t>
      </w:r>
      <w:r>
        <w:t xml:space="preserve"> </w:t>
      </w:r>
      <w:r>
        <w:t xml:space="preserve">“</w:t>
      </w:r>
      <w:r>
        <w:t xml:space="preserve">Peripheral neuropathies in nonparetic upper extremities of stroke</w:t>
      </w:r>
      <w:r>
        <w:t xml:space="preserve"> </w:t>
      </w:r>
      <w:r>
        <w:t xml:space="preserve">patients induced by excessive use of a walking device,</w:t>
      </w:r>
      <w:r>
        <w:t xml:space="preserve">”</w:t>
      </w:r>
      <w:r>
        <w:t xml:space="preserve"> </w:t>
      </w:r>
      <w:hyperlink r:id="rId193">
        <w:r>
          <w:rPr>
            <w:rStyle w:val="Hyperlink"/>
          </w:rPr>
          <w:t xml:space="preserve">Journal</w:t>
        </w:r>
        <w:r>
          <w:rPr>
            <w:rStyle w:val="Hyperlink"/>
          </w:rPr>
          <w:t xml:space="preserve"> </w:t>
        </w:r>
        <w:r>
          <w:rPr>
            <w:rStyle w:val="Hyperlink"/>
          </w:rPr>
          <w:t xml:space="preserve">of stroke and cerebrovascular diseases : the official journal of National</w:t>
        </w:r>
        <w:r>
          <w:rPr>
            <w:rStyle w:val="Hyperlink"/>
          </w:rPr>
          <w:t xml:space="preserve"> </w:t>
        </w:r>
        <w:r>
          <w:rPr>
            <w:rStyle w:val="Hyperlink"/>
          </w:rPr>
          <w:t xml:space="preserve">Stroke Association, 24 8:1841-7, Aug 2015</w:t>
        </w:r>
      </w:hyperlink>
      <w:r>
        <w:t xml:space="preserve">.</w:t>
      </w:r>
    </w:p>
    <w:bookmarkEnd w:id="194"/>
    <w:bookmarkStart w:id="196" w:name="bib65"/>
    <w:p>
      <w:pPr>
        <w:pStyle w:val="Bibliography"/>
      </w:pPr>
      <w:r>
        <w:t xml:space="preserve">[65]</w:t>
      </w:r>
      <w:r>
        <w:tab/>
      </w:r>
      <w:r>
        <w:t xml:space="preserve">Segura, A. and Piazza, S. J., 2007,</w:t>
      </w:r>
      <w:r>
        <w:t xml:space="preserve"> </w:t>
      </w:r>
      <w:r>
        <w:t xml:space="preserve">“</w:t>
      </w:r>
      <w:r>
        <w:t xml:space="preserve">Mechanics of ambulation with</w:t>
      </w:r>
      <w:r>
        <w:t xml:space="preserve"> </w:t>
      </w:r>
      <w:r>
        <w:t xml:space="preserve">standard and spring-loaded crutches,</w:t>
      </w:r>
      <w:r>
        <w:t xml:space="preserve">”</w:t>
      </w:r>
      <w:r>
        <w:t xml:space="preserve"> </w:t>
      </w:r>
      <w:hyperlink r:id="rId195">
        <w:r>
          <w:rPr>
            <w:rStyle w:val="Hyperlink"/>
          </w:rPr>
          <w:t xml:space="preserve">Archives of physical</w:t>
        </w:r>
        <w:r>
          <w:rPr>
            <w:rStyle w:val="Hyperlink"/>
          </w:rPr>
          <w:t xml:space="preserve"> </w:t>
        </w:r>
        <w:r>
          <w:rPr>
            <w:rStyle w:val="Hyperlink"/>
          </w:rPr>
          <w:t xml:space="preserve">medicine and rehabilitation, 88 9:1159-63, Sep 2007</w:t>
        </w:r>
      </w:hyperlink>
      <w:r>
        <w:t xml:space="preserve">.</w:t>
      </w:r>
    </w:p>
    <w:bookmarkEnd w:id="196"/>
    <w:bookmarkStart w:id="198" w:name="bib66"/>
    <w:p>
      <w:pPr>
        <w:pStyle w:val="Bibliography"/>
      </w:pPr>
      <w:r>
        <w:t xml:space="preserve">[66]</w:t>
      </w:r>
      <w:r>
        <w:tab/>
      </w:r>
      <w:r>
        <w:t xml:space="preserve">Zhang, Y., Liu, G., Xie, S., and Liger, A., 2011,</w:t>
      </w:r>
      <w:r>
        <w:t xml:space="preserve"> </w:t>
      </w:r>
      <w:r>
        <w:t xml:space="preserve">“</w:t>
      </w:r>
      <w:r>
        <w:t xml:space="preserve">Biomechanical</w:t>
      </w:r>
      <w:r>
        <w:t xml:space="preserve"> </w:t>
      </w:r>
      <w:r>
        <w:t xml:space="preserve">evaluation of an innovative spring-loaded axillary crutch design,</w:t>
      </w:r>
      <w:r>
        <w:t xml:space="preserve">”</w:t>
      </w:r>
      <w:r>
        <w:t xml:space="preserve"> </w:t>
      </w:r>
      <w:hyperlink r:id="rId197">
        <w:r>
          <w:rPr>
            <w:rStyle w:val="Hyperlink"/>
          </w:rPr>
          <w:t xml:space="preserve">Assistive Technology,</w:t>
        </w:r>
        <w:r>
          <w:rPr>
            <w:rStyle w:val="Hyperlink"/>
          </w:rPr>
          <w:t xml:space="preserve"> </w:t>
        </w:r>
        <w:r>
          <w:rPr>
            <w:rStyle w:val="Hyperlink"/>
          </w:rPr>
          <w:t xml:space="preserve">23:225-231, Dec 2011</w:t>
        </w:r>
      </w:hyperlink>
      <w:r>
        <w:t xml:space="preserve">.</w:t>
      </w:r>
    </w:p>
    <w:bookmarkEnd w:id="198"/>
    <w:bookmarkStart w:id="200" w:name="bib67"/>
    <w:p>
      <w:pPr>
        <w:pStyle w:val="Bibliography"/>
      </w:pPr>
      <w:r>
        <w:t xml:space="preserve">[67]</w:t>
      </w:r>
      <w:r>
        <w:tab/>
      </w:r>
      <w:r>
        <w:t xml:space="preserve">MacGillivray, M. K., Manocha, R. H., and Sawatzky, B., 2016,</w:t>
      </w:r>
      <w:r>
        <w:t xml:space="preserve"> </w:t>
      </w:r>
      <w:r>
        <w:t xml:space="preserve">“</w:t>
      </w:r>
      <w:r>
        <w:t xml:space="preserve">The</w:t>
      </w:r>
      <w:r>
        <w:t xml:space="preserve"> </w:t>
      </w:r>
      <w:r>
        <w:t xml:space="preserve">influence of a polymer damper on swing-through crutch gait biomechanics,</w:t>
      </w:r>
      <w:r>
        <w:t xml:space="preserve">”</w:t>
      </w:r>
      <w:r>
        <w:t xml:space="preserve"> </w:t>
      </w:r>
      <w:hyperlink r:id="rId199">
        <w:r>
          <w:rPr>
            <w:rStyle w:val="Hyperlink"/>
          </w:rPr>
          <w:t xml:space="preserve">Medical engineering</w:t>
        </w:r>
        <w:r>
          <w:rPr>
            <w:rStyle w:val="Hyperlink"/>
          </w:rPr>
          <w:t xml:space="preserve"> </w:t>
        </w:r>
        <w:r>
          <w:rPr>
            <w:rStyle w:val="Hyperlink"/>
          </w:rPr>
          <w:t xml:space="preserve">&amp; physics, 38 3:275-9, Mar 2016</w:t>
        </w:r>
      </w:hyperlink>
      <w:r>
        <w:t xml:space="preserve">.</w:t>
      </w:r>
    </w:p>
    <w:bookmarkEnd w:id="200"/>
    <w:bookmarkStart w:id="201" w:name="bib68"/>
    <w:p>
      <w:pPr>
        <w:pStyle w:val="Bibliography"/>
      </w:pPr>
      <w:r>
        <w:t xml:space="preserve">[68]</w:t>
      </w:r>
      <w:r>
        <w:tab/>
      </w:r>
      <w:r>
        <w:t xml:space="preserve">Gu, J., Spyra, J., Walski, A., Elsaesser, L., Bierner, S., and Dotov, D., 2026,</w:t>
      </w:r>
      <w:r>
        <w:t xml:space="preserve"> </w:t>
      </w:r>
      <w:r>
        <w:t xml:space="preserve">“</w:t>
      </w:r>
      <w:r>
        <w:t xml:space="preserve">Tensegrity crutches with compliance from a pre-stressed self-tensile</w:t>
      </w:r>
      <w:r>
        <w:t xml:space="preserve"> </w:t>
      </w:r>
      <w:r>
        <w:t xml:space="preserve">module improve ground reaction force profiles, speed, effort, comfort, and</w:t>
      </w:r>
      <w:r>
        <w:t xml:space="preserve"> </w:t>
      </w:r>
      <w:r>
        <w:t xml:space="preserve">perceived stability,</w:t>
      </w:r>
      <w:r>
        <w:t xml:space="preserve">”</w:t>
      </w:r>
      <w:r>
        <w:t xml:space="preserve"> </w:t>
      </w:r>
      <w:r>
        <w:t xml:space="preserve">arXiv preprint arXiv:2605.02710, Preprint.</w:t>
      </w:r>
    </w:p>
    <w:bookmarkEnd w:id="201"/>
    <w:bookmarkStart w:id="203" w:name="bib69"/>
    <w:p>
      <w:pPr>
        <w:pStyle w:val="Bibliography"/>
      </w:pPr>
      <w:r>
        <w:t xml:space="preserve">[69]</w:t>
      </w:r>
      <w:r>
        <w:tab/>
      </w:r>
      <w:r>
        <w:t xml:space="preserve">Mottaghi, M., Woods, M. C., Danier, L., So, A., Reeves, J. M., and Pearce,</w:t>
      </w:r>
      <w:r>
        <w:t xml:space="preserve"> </w:t>
      </w:r>
      <w:r>
        <w:t xml:space="preserve">J. M., 2025,</w:t>
      </w:r>
      <w:r>
        <w:t xml:space="preserve"> </w:t>
      </w:r>
      <w:r>
        <w:t xml:space="preserve">“</w:t>
      </w:r>
      <w:r>
        <w:t xml:space="preserve">Open-source 3d printable forearm crutch,</w:t>
      </w:r>
      <w:r>
        <w:t xml:space="preserve">”</w:t>
      </w:r>
      <w:r>
        <w:t xml:space="preserve"> </w:t>
      </w:r>
      <w:hyperlink r:id="rId202">
        <w:r>
          <w:rPr>
            <w:rStyle w:val="Hyperlink"/>
          </w:rPr>
          <w:t xml:space="preserve">PLOS ONE, Nov 2025</w:t>
        </w:r>
      </w:hyperlink>
      <w:r>
        <w:t xml:space="preserve">.</w:t>
      </w:r>
    </w:p>
    <w:bookmarkEnd w:id="203"/>
    <w:bookmarkStart w:id="205" w:name="bib70"/>
    <w:p>
      <w:pPr>
        <w:pStyle w:val="Bibliography"/>
      </w:pPr>
      <w:r>
        <w:t xml:space="preserve">[70]</w:t>
      </w:r>
      <w:r>
        <w:tab/>
      </w:r>
      <w:r>
        <w:t xml:space="preserve">Wang, H.-Y., Wu, L., Qi, J., Ding, J.-T., and Wang, Y., 2025,</w:t>
      </w:r>
      <w:r>
        <w:t xml:space="preserve"> </w:t>
      </w:r>
      <w:r>
        <w:t xml:space="preserve">“</w:t>
      </w:r>
      <w:r>
        <w:t xml:space="preserve">Porous</w:t>
      </w:r>
      <w:r>
        <w:t xml:space="preserve"> </w:t>
      </w:r>
      <w:r>
        <w:t xml:space="preserve">lattice structure optimization in 3d printed insole design,</w:t>
      </w:r>
      <w:r>
        <w:t xml:space="preserve">”</w:t>
      </w:r>
      <w:r>
        <w:t xml:space="preserve"> </w:t>
      </w:r>
      <w:hyperlink r:id="rId204">
        <w:r>
          <w:rPr>
            <w:rStyle w:val="Hyperlink"/>
          </w:rPr>
          <w:t xml:space="preserve">Journal of Fiber Bioengineering</w:t>
        </w:r>
        <w:r>
          <w:rPr>
            <w:rStyle w:val="Hyperlink"/>
          </w:rPr>
          <w:t xml:space="preserve"> </w:t>
        </w:r>
        <w:r>
          <w:rPr>
            <w:rStyle w:val="Hyperlink"/>
          </w:rPr>
          <w:t xml:space="preserve">and Informatics</w:t>
        </w:r>
      </w:hyperlink>
      <w:r>
        <w:t xml:space="preserve">,</w:t>
      </w:r>
      <w:r>
        <w:t xml:space="preserve"> </w:t>
      </w:r>
      <w:r>
        <w:rPr>
          <w:b/>
          <w:bCs/>
        </w:rPr>
        <w:t xml:space="preserve">18</w:t>
      </w:r>
      <w:r>
        <w:t xml:space="preserve">, pp. 29–39.</w:t>
      </w:r>
    </w:p>
    <w:bookmarkEnd w:id="205"/>
    <w:bookmarkStart w:id="207" w:name="bib71"/>
    <w:p>
      <w:pPr>
        <w:pStyle w:val="Bibliography"/>
      </w:pPr>
      <w:r>
        <w:t xml:space="preserve">[71]</w:t>
      </w:r>
      <w:r>
        <w:tab/>
      </w:r>
      <w:r>
        <w:t xml:space="preserve">Zhang, J., Lu, S., Lin, Y., Wang, Y., Yi, X., and Fang, W., 2024,</w:t>
      </w:r>
      <w:r>
        <w:t xml:space="preserve"> </w:t>
      </w:r>
      <w:r>
        <w:t xml:space="preserve">“</w:t>
      </w:r>
      <w:r>
        <w:t xml:space="preserve">Pressure-reducing design of 3d-printed diabetic shoe midsole</w:t>
      </w:r>
      <w:r>
        <w:t xml:space="preserve"> </w:t>
      </w:r>
      <w:r>
        <w:t xml:space="preserve">utilizing auxetic lattice structure,</w:t>
      </w:r>
      <w:r>
        <w:t xml:space="preserve">”</w:t>
      </w:r>
      <w:r>
        <w:t xml:space="preserve"> </w:t>
      </w:r>
      <w:hyperlink r:id="rId206">
        <w:r>
          <w:rPr>
            <w:rStyle w:val="Hyperlink"/>
          </w:rPr>
          <w:t xml:space="preserve">Applied Sciences, 14:5291, Jun</w:t>
        </w:r>
        <w:r>
          <w:rPr>
            <w:rStyle w:val="Hyperlink"/>
          </w:rPr>
          <w:t xml:space="preserve"> </w:t>
        </w:r>
        <w:r>
          <w:rPr>
            <w:rStyle w:val="Hyperlink"/>
          </w:rPr>
          <w:t xml:space="preserve">2024</w:t>
        </w:r>
      </w:hyperlink>
      <w:r>
        <w:t xml:space="preserve">.</w:t>
      </w:r>
    </w:p>
    <w:bookmarkEnd w:id="207"/>
    <w:bookmarkStart w:id="209" w:name="bib72"/>
    <w:p>
      <w:pPr>
        <w:pStyle w:val="Bibliography"/>
      </w:pPr>
      <w:r>
        <w:t xml:space="preserve">[72]</w:t>
      </w:r>
      <w:r>
        <w:tab/>
      </w:r>
      <w:r>
        <w:t xml:space="preserve">Janarthanan, A. K. K. and Vaidhyanathan, B., 2024,</w:t>
      </w:r>
      <w:r>
        <w:t xml:space="preserve"> </w:t>
      </w:r>
      <w:r>
        <w:t xml:space="preserve">“</w:t>
      </w:r>
      <w:r>
        <w:t xml:space="preserve">Additive</w:t>
      </w:r>
      <w:r>
        <w:t xml:space="preserve"> </w:t>
      </w:r>
      <w:r>
        <w:t xml:space="preserve">manufacturing of smart footwear components for healthcare applications,</w:t>
      </w:r>
      <w:r>
        <w:t xml:space="preserve">”</w:t>
      </w:r>
      <w:r>
        <w:t xml:space="preserve"> </w:t>
      </w:r>
      <w:hyperlink r:id="rId208">
        <w:r>
          <w:rPr>
            <w:rStyle w:val="Hyperlink"/>
          </w:rPr>
          <w:t xml:space="preserve">Micromachines, 16:30, Dec 2024</w:t>
        </w:r>
      </w:hyperlink>
      <w:r>
        <w:t xml:space="preserve">.</w:t>
      </w:r>
    </w:p>
    <w:bookmarkEnd w:id="209"/>
    <w:p>
      <w:pPr>
        <w:pStyle w:val="SectionBreak"/>
        <w:sectPr>
          <w:type w:val="continuous"/>
          <w:pgSz w:w="12240" w:h="16197"/>
          <w:pgMar w:left="1200" w:right="1200" w:top="920" w:bottom="1320" w:header="500" w:footer="820"/>
          <w:lnNumType w:countBy="1" w:distance="80" w:restart="continuous"/>
          <w:cols w:num="2" w:space="480"/>
        </w:sectPr>
      </w:pPr>
    </w:p>
    <w:p>
      <w:pPr>
        <w:pStyle w:val="ListHeading"/>
      </w:pPr>
      <w:r>
        <w:rPr/>
        <w:t xml:space="preserve">List of Figures</w:t>
      </w:r>
    </w:p>
    <w:p>
      <w:pPr>
        <w:pStyle w:val="TableofFigures"/>
      </w:pPr>
      <w:r>
        <w:rPr/>
        <w:t xml:space="preserve">1</w:t>
      </w:r>
      <w:r>
        <w:tab/>
      </w:r>
      <w:r>
        <w:t xml:space="preserve">Closed-loop, experiment-driven design framework. Parameterized</w:t>
      </w:r>
      <w:r>
        <w:t xml:space="preserve"> </w:t>
      </w:r>
      <w:r>
        <w:t xml:space="preserve">PLA/TPU tensegrity-inspired unit cells are printed, characterized by</w:t>
      </w:r>
      <w:r>
        <w:t xml:space="preserve"> </w:t>
      </w:r>
      <w:r>
        <w:t xml:space="preserve">repeated instrumented drop-weight impacts, and the resulting</w:t>
      </w:r>
      <w:r>
        <w:t xml:space="preserve"> </w:t>
      </w:r>
      <w:r>
        <w:t xml:space="preserve">performance data drive a Gaussian-process surrogate that recommends the</w:t>
      </w:r>
      <w:r>
        <w:t xml:space="preserve"> </w:t>
      </w:r>
      <w:r>
        <w:t xml:space="preserve">next batch of designs to fabricate.</w:t>
      </w:r>
      <w:r>
        <w:tab/>
      </w:r>
      <w:r>
        <w:rPr/>
        <w:fldChar w:fldCharType="begin"/>
      </w:r>
      <w:r>
        <w:rPr/>
        <w:instrText xml:space="preserve"> PAGEREF cap_fig1 \h </w:instrText>
      </w:r>
      <w:r>
        <w:rPr/>
        <w:fldChar w:fldCharType="separate"/>
      </w:r>
      <w:r>
        <w:rPr/>
        <w:t>3</w:t>
      </w:r>
      <w:r>
        <w:rPr/>
        <w:fldChar w:fldCharType="end"/>
      </w:r>
    </w:p>
    <w:p>
      <w:pPr>
        <w:pStyle w:val="TableofFigures"/>
      </w:pPr>
      <w:r>
        <w:rPr/>
        <w:t xml:space="preserve">2</w:t>
      </w:r>
      <w:r>
        <w:tab/>
      </w:r>
      <w:r>
        <w:t xml:space="preserve">Working</w:t>
      </w:r>
      <w:r>
        <w:t xml:space="preserve"> </w:t>
      </w:r>
      <w:r>
        <w:rPr>
          <w:i/>
          <w:iCs/>
        </w:rPr>
        <w:t xml:space="preserve">T</w:t>
      </w:r>
      <w:r>
        <w:rPr>
          <w:vertAlign w:val="subscript"/>
        </w:rPr>
        <w:t xml:space="preserve">3</w:t>
      </w:r>
      <w:r>
        <w:t xml:space="preserve">-prism prototype.</w:t>
      </w:r>
      <w:r>
        <w:t xml:space="preserve"> </w:t>
      </w:r>
      <w:r>
        <w:rPr>
          <w:i/>
          <w:iCs/>
        </w:rPr>
        <w:t xml:space="preserve">(a)</w:t>
      </w:r>
      <w:r>
        <w:t xml:space="preserve"> </w:t>
      </w:r>
      <w:r>
        <w:t xml:space="preserve">Parametric OpenSCAD model</w:t>
      </w:r>
      <w:r>
        <w:t xml:space="preserve"> </w:t>
      </w:r>
      <w:r>
        <w:t xml:space="preserve">whose base radius</w:t>
      </w:r>
      <w:r>
        <w:t xml:space="preserve"> </w:t>
      </w:r>
      <w:r>
        <w:rPr>
          <w:i/>
          <w:iCs/>
        </w:rPr>
        <w:t xml:space="preserve">R</w:t>
      </w:r>
      <w:r>
        <w:t xml:space="preserve">, cell height</w:t>
      </w:r>
      <w:r>
        <w:t xml:space="preserve"> </w:t>
      </w:r>
      <w:r>
        <w:rPr>
          <w:i/>
          <w:iCs/>
        </w:rPr>
        <w:t xml:space="preserve">H</w:t>
      </w:r>
      <w:r>
        <w:t xml:space="preserve">, twist angle</w:t>
      </w:r>
      <w:r>
        <w:t xml:space="preserve"> </w:t>
      </w:r>
      <w:r>
        <w:rPr>
          <w:i/>
          <w:iCs/>
        </w:rPr>
        <w:t xml:space="preserve">θ</w:t>
      </w:r>
      <w:r>
        <w:t xml:space="preserve">, strut diameter</w:t>
      </w:r>
      <w:r>
        <w:t xml:space="preserve"> </w:t>
      </w:r>
      <w:r>
        <w:rPr>
          <w:i/>
          <w:iCs/>
        </w:rPr>
        <w:t xml:space="preserve">d</w:t>
      </w:r>
      <w:r>
        <w:rPr>
          <w:i/>
          <w:iCs/>
          <w:vertAlign w:val="subscript"/>
        </w:rPr>
        <w:t xml:space="preserve">s</w:t>
      </w:r>
      <w:r>
        <w:t xml:space="preserve">, and cable diameter</w:t>
      </w:r>
      <w:r>
        <w:t xml:space="preserve"> </w:t>
      </w:r>
      <w:r>
        <w:rPr>
          <w:i/>
          <w:iCs/>
        </w:rPr>
        <w:t xml:space="preserve">d</w:t>
      </w:r>
      <w:r>
        <w:rPr>
          <w:i/>
          <w:iCs/>
          <w:vertAlign w:val="subscript"/>
        </w:rPr>
        <w:t xml:space="preserve">t</w:t>
      </w:r>
      <w:r>
        <w:t xml:space="preserve"> </w:t>
      </w:r>
      <w:r>
        <w:t xml:space="preserve">are the design variables of</w:t>
      </w:r>
      <w:r>
        <w:t xml:space="preserve"> </w:t>
      </w:r>
      <w:r>
        <w:t xml:space="preserve">Table </w:t>
      </w:r>
      <w:hyperlink w:anchor="lbl_tab_design_vars">
        <w:r>
          <w:rPr>
            <w:rStyle w:val="Hyperlink"/>
          </w:rPr>
          <w:t xml:space="preserve">2</w:t>
        </w:r>
      </w:hyperlink>
      <w:r>
        <w:t xml:space="preserve">.</w:t>
      </w:r>
      <w:r>
        <w:t xml:space="preserve"> </w:t>
      </w:r>
      <w:r>
        <w:rPr>
          <w:i/>
          <w:iCs/>
        </w:rPr>
        <w:t xml:space="preserve">(b)</w:t>
      </w:r>
      <w:r>
        <w:t xml:space="preserve"> </w:t>
      </w:r>
      <w:r>
        <w:t xml:space="preserve">A representative dual-material prototype</w:t>
      </w:r>
      <w:r>
        <w:t xml:space="preserve"> </w:t>
      </w:r>
      <w:r>
        <w:t xml:space="preserve">print (rigid PLA struts in white, tendon members in orange), with</w:t>
      </w:r>
      <w:r>
        <w:t xml:space="preserve"> </w:t>
      </w:r>
      <w:r>
        <w:t xml:space="preserve">callouts marking the strut diameter</w:t>
      </w:r>
      <w:r>
        <w:t xml:space="preserve"> </w:t>
      </w:r>
      <w:r>
        <w:rPr>
          <w:i/>
          <w:iCs/>
        </w:rPr>
        <w:t xml:space="preserve">d</w:t>
      </w:r>
      <w:r>
        <w:rPr>
          <w:i/>
          <w:iCs/>
          <w:vertAlign w:val="subscript"/>
        </w:rPr>
        <w:t xml:space="preserve">s</w:t>
      </w:r>
      <w:r>
        <w:t xml:space="preserve">, a tendon (cable) diameter</w:t>
      </w:r>
      <w:r>
        <w:t xml:space="preserve"> </w:t>
      </w:r>
      <w:r>
        <w:rPr>
          <w:i/>
          <w:iCs/>
        </w:rPr>
        <w:t xml:space="preserve">d</w:t>
      </w:r>
      <w:r>
        <w:rPr>
          <w:i/>
          <w:iCs/>
          <w:vertAlign w:val="subscript"/>
        </w:rPr>
        <w:t xml:space="preserve">t</w:t>
      </w:r>
      <w:r>
        <w:t xml:space="preserve">, and the cell height</w:t>
      </w:r>
      <w:r>
        <w:t xml:space="preserve"> </w:t>
      </w:r>
      <w:r>
        <w:rPr>
          <w:i/>
          <w:iCs/>
        </w:rPr>
        <w:t xml:space="preserve">H</w:t>
      </w:r>
      <w:r>
        <w:t xml:space="preserve">. The twist angle</w:t>
      </w:r>
      <w:r>
        <w:t xml:space="preserve"> </w:t>
      </w:r>
      <w:r>
        <w:rPr>
          <w:i/>
          <w:iCs/>
        </w:rPr>
        <w:t xml:space="preserve">θ</w:t>
      </w:r>
      <w:r>
        <w:t xml:space="preserve"> </w:t>
      </w:r>
      <w:r>
        <w:t xml:space="preserve">is the</w:t>
      </w:r>
      <w:r>
        <w:t xml:space="preserve"> </w:t>
      </w:r>
      <w:r>
        <w:t xml:space="preserve">relative rotation of the top and bottom node triangles, and the base</w:t>
      </w:r>
      <w:r>
        <w:t xml:space="preserve"> </w:t>
      </w:r>
      <w:r>
        <w:t xml:space="preserve">radius</w:t>
      </w:r>
      <w:r>
        <w:t xml:space="preserve"> </w:t>
      </w:r>
      <w:r>
        <w:rPr>
          <w:i/>
          <w:iCs/>
        </w:rPr>
        <w:t xml:space="preserve">R</w:t>
      </w:r>
      <w:r>
        <w:t xml:space="preserve"> </w:t>
      </w:r>
      <w:r>
        <w:t xml:space="preserve">sets their circumradius. The photograph’s wooden</w:t>
      </w:r>
      <w:r>
        <w:t xml:space="preserve"> </w:t>
      </w:r>
      <w:r>
        <w:t xml:space="preserve">background was digitally replaced with a plain light backdrop. The</w:t>
      </w:r>
      <w:r>
        <w:t xml:space="preserve"> </w:t>
      </w:r>
      <w:r>
        <w:t xml:space="preserve">specimen itself is unedited.</w:t>
      </w:r>
      <w:r>
        <w:tab/>
      </w:r>
      <w:r>
        <w:rPr/>
        <w:fldChar w:fldCharType="begin"/>
      </w:r>
      <w:r>
        <w:rPr/>
        <w:instrText xml:space="preserve"> PAGEREF cap_fig2 \h </w:instrText>
      </w:r>
      <w:r>
        <w:rPr/>
        <w:fldChar w:fldCharType="separate"/>
      </w:r>
      <w:r>
        <w:rPr/>
        <w:t>6</w:t>
      </w:r>
      <w:r>
        <w:rPr/>
        <w:fldChar w:fldCharType="end"/>
      </w:r>
    </w:p>
    <w:p>
      <w:pPr>
        <w:pStyle w:val="TableofFigures"/>
      </w:pPr>
      <w:r>
        <w:rPr/>
        <w:t xml:space="preserve">3</w:t>
      </w:r>
      <w:r>
        <w:tab/>
      </w:r>
      <w:r>
        <w:t xml:space="preserve">Fabrication and characterization workflow for the multi-material</w:t>
      </w:r>
      <w:r>
        <w:t xml:space="preserve"> </w:t>
      </w:r>
      <w:r>
        <w:t xml:space="preserve">tensegrity-inspired unit cells. The steps are parametric CAD from the</w:t>
      </w:r>
      <w:r>
        <w:t xml:space="preserve"> </w:t>
      </w:r>
      <w:r>
        <w:t xml:space="preserve">design parameters, slicing with manually painted supports along the TPU</w:t>
      </w:r>
      <w:r>
        <w:t xml:space="preserve"> </w:t>
      </w:r>
      <w:r>
        <w:t xml:space="preserve">tendons, a single multi-material print on the Bambu Lab H2D,</w:t>
      </w:r>
      <w:r>
        <w:t xml:space="preserve"> </w:t>
      </w:r>
      <w:r>
        <w:t xml:space="preserve">post-processing and inspection, and mechanical testing. Node photographs are representative examples</w:t>
      </w:r>
      <w:r>
        <w:t xml:space="preserve"> </w:t>
      </w:r>
      <w:r>
        <w:t xml:space="preserve">from the project’s build history. They show the OpenSCAD</w:t>
      </w:r>
      <w:r>
        <w:t xml:space="preserve"> </w:t>
      </w:r>
      <w:r>
        <w:rPr>
          <w:i/>
          <w:iCs/>
        </w:rPr>
        <w:t xml:space="preserve">T</w:t>
      </w:r>
      <w:r>
        <w:rPr>
          <w:vertAlign w:val="subscript"/>
        </w:rPr>
        <w:t xml:space="preserve">3</w:t>
      </w:r>
      <w:r>
        <w:t xml:space="preserve">-prism render</w:t>
      </w:r>
      <w:r>
        <w:t xml:space="preserve"> </w:t>
      </w:r>
      <w:r>
        <w:t xml:space="preserve">(CAD), the dual-nozzle Bambu Studio slice with PLA on the left extruder</w:t>
      </w:r>
      <w:r>
        <w:t xml:space="preserve"> </w:t>
      </w:r>
      <w:r>
        <w:t xml:space="preserve">and TPU on the right (slicing), an in-progress H2D print of the prism</w:t>
      </w:r>
      <w:r>
        <w:t xml:space="preserve"> </w:t>
      </w:r>
      <w:r>
        <w:t xml:space="preserve">batch (FDM), an as-printed specimen (post-processing), and the</w:t>
      </w:r>
      <w:r>
        <w:t xml:space="preserve"> </w:t>
      </w:r>
      <w:r>
        <w:t xml:space="preserve">bungee-assisted drop-tower base plate with accelerometer (testing).</w:t>
      </w:r>
      <w:r>
        <w:tab/>
      </w:r>
      <w:r>
        <w:rPr/>
        <w:fldChar w:fldCharType="begin"/>
      </w:r>
      <w:r>
        <w:rPr/>
        <w:instrText xml:space="preserve"> PAGEREF cap_fig3 \h </w:instrText>
      </w:r>
      <w:r>
        <w:rPr/>
        <w:fldChar w:fldCharType="separate"/>
      </w:r>
      <w:r>
        <w:rPr/>
        <w:t>7</w:t>
      </w:r>
      <w:r>
        <w:rPr/>
        <w:fldChar w:fldCharType="end"/>
      </w:r>
    </w:p>
    <w:p>
      <w:pPr>
        <w:pStyle w:val="TableofFigures"/>
      </w:pPr>
      <w:r>
        <w:rPr/>
        <w:t xml:space="preserve">4</w:t>
      </w:r>
      <w:r>
        <w:tab/>
      </w:r>
      <w:r>
        <w:rPr>
          <w:i/>
          <w:iCs/>
        </w:rPr>
        <w:t xml:space="preserve">Placeholder.</w:t>
      </w:r>
      <w:r>
        <w:t xml:space="preserve"> </w:t>
      </w:r>
      <w:r>
        <w:t xml:space="preserve">Assembled validation specimens for</w:t>
      </w:r>
      <w:r>
        <w:t xml:space="preserve"> </w:t>
      </w:r>
      <w:r>
        <w:t xml:space="preserve">each predicted performance tier (worst / mediocre / best), shown as</w:t>
      </w:r>
      <w:r>
        <w:t xml:space="preserve"> </w:t>
      </w:r>
      <w:r>
        <w:t xml:space="preserve">printed PLA/TPU builds alongside their hollow-aluminum-rod and</w:t>
      </w:r>
      <w:r>
        <w:t xml:space="preserve"> </w:t>
      </w:r>
      <w:r>
        <w:t xml:space="preserve">stainless-steel-threaded-cable metal analogs, with callouts marking</w:t>
      </w:r>
      <w:r>
        <w:t xml:space="preserve"> </w:t>
      </w:r>
      <w:r>
        <w:t xml:space="preserve">the aluminum compression members, the threaded steel tension cables,</w:t>
      </w:r>
      <w:r>
        <w:t xml:space="preserve"> </w:t>
      </w:r>
      <w:r>
        <w:t xml:space="preserve">and the strut-end cable anchors. Photographs to be added once the</w:t>
      </w:r>
      <w:r>
        <w:t xml:space="preserve"> </w:t>
      </w:r>
      <w:r>
        <w:t xml:space="preserve">specimens are fabricated.</w:t>
      </w:r>
      <w:r>
        <w:tab/>
      </w:r>
      <w:r>
        <w:rPr/>
        <w:fldChar w:fldCharType="begin"/>
      </w:r>
      <w:r>
        <w:rPr/>
        <w:instrText xml:space="preserve"> PAGEREF cap_fig4 \h </w:instrText>
      </w:r>
      <w:r>
        <w:rPr/>
        <w:fldChar w:fldCharType="separate"/>
      </w:r>
      <w:r>
        <w:rPr/>
        <w:t>10</w:t>
      </w:r>
      <w:r>
        <w:rPr/>
        <w:fldChar w:fldCharType="end"/>
      </w:r>
    </w:p>
    <w:p>
      <w:pPr>
        <w:pStyle w:val="TableofFigures"/>
      </w:pPr>
      <w:r>
        <w:rPr/>
        <w:t xml:space="preserve">5</w:t>
      </w:r>
      <w:r>
        <w:tab/>
      </w:r>
      <w:r>
        <w:t xml:space="preserve">The nine seed geometries rendered to a common millimeter</w:t>
      </w:r>
      <w:r>
        <w:t xml:space="preserve"> </w:t>
      </w:r>
      <w:r>
        <w:t xml:space="preserve">scale (rigid PLA struts in black, TPU tendons in orange). Every</w:t>
      </w:r>
      <w:r>
        <w:t xml:space="preserve"> </w:t>
      </w:r>
      <w:r>
        <w:t xml:space="preserve">rendering corresponds to a physically printed article in the seed</w:t>
      </w:r>
      <w:r>
        <w:t xml:space="preserve"> </w:t>
      </w:r>
      <w:r>
        <w:t xml:space="preserve">campaign.</w:t>
      </w:r>
      <w:r>
        <w:tab/>
      </w:r>
      <w:r>
        <w:rPr/>
        <w:fldChar w:fldCharType="begin"/>
      </w:r>
      <w:r>
        <w:rPr/>
        <w:instrText xml:space="preserve"> PAGEREF cap_fig5 \h </w:instrText>
      </w:r>
      <w:r>
        <w:rPr/>
        <w:fldChar w:fldCharType="separate"/>
      </w:r>
      <w:r>
        <w:rPr/>
        <w:t>10</w:t>
      </w:r>
      <w:r>
        <w:rPr/>
        <w:fldChar w:fldCharType="end"/>
      </w:r>
    </w:p>
    <w:p>
      <w:pPr>
        <w:pStyle w:val="TableofFigures"/>
      </w:pPr>
      <w:r>
        <w:rPr/>
        <w:t xml:space="preserve">6</w:t>
      </w:r>
      <w:r>
        <w:tab/>
      </w:r>
      <w:r>
        <w:t xml:space="preserve">Measured objective space and front evolution across the</w:t>
      </w:r>
      <w:r>
        <w:t xml:space="preserve"> </w:t>
      </w:r>
      <w:r>
        <w:t xml:space="preserve">four batches. The vertical axis is the mass-weighted velocity-loss</w:t>
      </w:r>
      <w:r>
        <w:t xml:space="preserve"> </w:t>
      </w:r>
      <w:r>
        <w:t xml:space="preserve">objective</w:t>
      </w:r>
      <w:r>
        <w:t xml:space="preserve"> </w:t>
      </w:r>
      <w:r>
        <w:rPr>
          <w:i/>
          <w:iCs/>
        </w:rPr>
        <w:t xml:space="preserve">E</w:t>
      </w:r>
      <w:r>
        <w:rPr>
          <w:vertAlign w:val="subscript"/>
        </w:rPr>
        <w:t xml:space="preserve">reb</w:t>
      </w:r>
      <w:r>
        <w:t xml:space="preserve"> = (1 − VLI) </w:t>
      </w:r>
      <w:r>
        <w:rPr>
          <w:i/>
          <w:iCs/>
        </w:rPr>
        <w:t xml:space="preserve">m</w:t>
      </w:r>
      <w:r>
        <w:rPr>
          <w:i/>
          <w:iCs/>
        </w:rPr>
        <w:t xml:space="preserve">g</w:t>
      </w:r>
      <w:r>
        <w:rPr>
          <w:i/>
          <w:iCs/>
        </w:rPr>
        <w:t xml:space="preserve">h</w:t>
      </w:r>
      <w:r>
        <w:t xml:space="preserve"> </w:t>
      </w:r>
      <w:r>
        <w:t xml:space="preserve">of</w:t>
      </w:r>
      <w:r>
        <w:t xml:space="preserve"> </w:t>
      </w:r>
      <w:r>
        <w:t xml:space="preserve">Eq. </w:t>
      </w:r>
      <w:hyperlink w:anchor="lbl_eq_objectives">
        <w:r>
          <w:rPr>
            <w:rStyle w:val="Hyperlink"/>
          </w:rPr>
          <w:t xml:space="preserve">(1)</w:t>
        </w:r>
      </w:hyperlink>
      <w:r>
        <w:t xml:space="preserve">. Gray circles are all measured articles at their</w:t>
      </w:r>
      <w:r>
        <w:t xml:space="preserve"> </w:t>
      </w:r>
      <w:r>
        <w:t xml:space="preserve">stabilized means. The blue lines are the non-dominated fronts</w:t>
      </w:r>
      <w:r>
        <w:t xml:space="preserve"> </w:t>
      </w:r>
      <w:r>
        <w:t xml:space="preserve">after each batch, with the dominated hypervolume at the</w:t>
      </w:r>
      <w:r>
        <w:t xml:space="preserve"> </w:t>
      </w:r>
      <w:r>
        <w:t xml:space="preserve">(1.35, 15 mJ) reference in the legend. Batch 2 grew the</w:t>
      </w:r>
      <w:r>
        <w:t xml:space="preserve"> </w:t>
      </w:r>
      <w:r>
        <w:t xml:space="preserve">front on the velocity-loss axis, batch 3 filled the knee, and batch 4</w:t>
      </w:r>
      <w:r>
        <w:t xml:space="preserve"> </w:t>
      </w:r>
      <w:r>
        <w:t xml:space="preserve">extended it to lower transmissibility. Repeated batch-3 designs are</w:t>
      </w:r>
      <w:r>
        <w:t xml:space="preserve"> </w:t>
      </w:r>
      <w:r>
        <w:t xml:space="preserve">drawn at their first-print values. The design-mean front is</w:t>
      </w:r>
      <w:r>
        <w:t xml:space="preserve"> </w:t>
      </w:r>
      <w:r>
        <w:t xml:space="preserve">given in the text. Lower is better on both axes.</w:t>
      </w:r>
      <w:r>
        <w:tab/>
      </w:r>
      <w:r>
        <w:rPr/>
        <w:fldChar w:fldCharType="begin"/>
      </w:r>
      <w:r>
        <w:rPr/>
        <w:instrText xml:space="preserve"> PAGEREF cap_fig6 \h </w:instrText>
      </w:r>
      <w:r>
        <w:rPr/>
        <w:fldChar w:fldCharType="separate"/>
      </w:r>
      <w:r>
        <w:rPr/>
        <w:t>13</w:t>
      </w:r>
      <w:r>
        <w:rPr/>
        <w:fldChar w:fldCharType="end"/>
      </w:r>
    </w:p>
    <w:p>
      <w:pPr>
        <w:pStyle w:val="TableofFigures"/>
      </w:pPr>
      <w:r>
        <w:rPr/>
        <w:t xml:space="preserve">7</w:t>
      </w:r>
      <w:r>
        <w:tab/>
      </w:r>
      <w:r>
        <w:t xml:space="preserve">Batch-4 predictions against outcomes. Orange diamonds with</w:t>
      </w:r>
      <w:r>
        <w:t xml:space="preserve"> </w:t>
      </w:r>
      <w:r>
        <w:t xml:space="preserve">bars are the archived posterior predictions (mean ± one</w:t>
      </w:r>
      <w:r>
        <w:t xml:space="preserve"> </w:t>
      </w:r>
      <w:r>
        <w:t xml:space="preserve">standard deviation) for trials 37 to 45 at recommendation time.</w:t>
      </w:r>
      <w:r>
        <w:t xml:space="preserve"> </w:t>
      </w:r>
      <w:r>
        <w:t xml:space="preserve">Arrows connect each prediction to its article’s measured value.</w:t>
      </w:r>
      <w:r>
        <w:t xml:space="preserve"> </w:t>
      </w:r>
      <w:r>
        <w:t xml:space="preserve">Black circles are measured values, and all previously measured</w:t>
      </w:r>
      <w:r>
        <w:t xml:space="preserve"> </w:t>
      </w:r>
      <w:r>
        <w:t xml:space="preserve">articles are shown for context. The vertical axis is</w:t>
      </w:r>
      <w:r>
        <w:t xml:space="preserve"> </w:t>
      </w:r>
      <w:r>
        <w:rPr>
          <w:i/>
          <w:iCs/>
        </w:rPr>
        <w:t xml:space="preserve">E</w:t>
      </w:r>
      <w:r>
        <w:rPr>
          <w:vertAlign w:val="subscript"/>
        </w:rPr>
        <w:t xml:space="preserve">reb</w:t>
      </w:r>
      <w:r>
        <w:t xml:space="preserve">, as in</w:t>
      </w:r>
      <w:r>
        <w:t xml:space="preserve"> </w:t>
      </w:r>
      <w:r>
        <w:t xml:space="preserve">Fig. </w:t>
      </w:r>
      <w:hyperlink w:anchor="lbl_fig_front_evolution">
        <w:r>
          <w:rPr>
            <w:rStyle w:val="Hyperlink"/>
          </w:rPr>
          <w:t xml:space="preserve">6</w:t>
        </w:r>
      </w:hyperlink>
      <w:r>
        <w:t xml:space="preserve">. The record attenuator corny7</w:t>
      </w:r>
      <w:r>
        <w:t xml:space="preserve"> </w:t>
      </w:r>
      <w:r>
        <w:t xml:space="preserve">(measured 0.803) is the left-most measured point. Lower is better</w:t>
      </w:r>
      <w:r>
        <w:t xml:space="preserve"> </w:t>
      </w:r>
      <w:r>
        <w:t xml:space="preserve">on both axes.</w:t>
      </w:r>
      <w:r>
        <w:tab/>
      </w:r>
      <w:r>
        <w:rPr/>
        <w:fldChar w:fldCharType="begin"/>
      </w:r>
      <w:r>
        <w:rPr/>
        <w:instrText xml:space="preserve"> PAGEREF cap_fig7 \h </w:instrText>
      </w:r>
      <w:r>
        <w:rPr/>
        <w:fldChar w:fldCharType="separate"/>
      </w:r>
      <w:r>
        <w:rPr/>
        <w:t>13</w:t>
      </w:r>
      <w:r>
        <w:rPr/>
        <w:fldChar w:fldCharType="end"/>
      </w:r>
    </w:p>
    <w:p>
      <w:pPr>
        <w:pStyle w:val="TableofFigures"/>
      </w:pPr>
      <w:r>
        <w:rPr/>
        <w:t xml:space="preserve">8</w:t>
      </w:r>
      <w:r>
        <w:tab/>
      </w:r>
      <w:r>
        <w:t xml:space="preserve">Three prints of each batch-3 design.</w:t>
      </w:r>
      <w:r>
        <w:t xml:space="preserve"> </w:t>
      </w:r>
      <w:r>
        <w:rPr>
          <w:i/>
          <w:iCs/>
        </w:rPr>
        <w:t xml:space="preserve">(a)</w:t>
      </w:r>
      <w:r>
        <w:t xml:space="preserve"> </w:t>
      </w:r>
      <w:r>
        <w:t xml:space="preserve">Transmissibility</w:t>
      </w:r>
      <w:r>
        <w:t xml:space="preserve"> </w:t>
      </w:r>
      <w:r>
        <w:t xml:space="preserve">and</w:t>
      </w:r>
      <w:r>
        <w:t xml:space="preserve"> </w:t>
      </w:r>
      <w:r>
        <w:rPr>
          <w:i/>
          <w:iCs/>
        </w:rPr>
        <w:t xml:space="preserve">(b)</w:t>
      </w:r>
      <w:r>
        <w:t xml:space="preserve"> </w:t>
      </w:r>
      <w:r>
        <w:rPr>
          <w:i/>
          <w:iCs/>
        </w:rPr>
        <w:t xml:space="preserve">E</w:t>
      </w:r>
      <w:r>
        <w:rPr>
          <w:vertAlign w:val="subscript"/>
        </w:rPr>
        <w:t xml:space="preserve">reb</w:t>
      </w:r>
      <w:r>
        <w:t xml:space="preserve"> </w:t>
      </w:r>
      <w:r>
        <w:t xml:space="preserve">for print 1 (circles), print 2</w:t>
      </w:r>
      <w:r>
        <w:t xml:space="preserve"> </w:t>
      </w:r>
      <w:r>
        <w:t xml:space="preserve">(squares), and print 3 (triangles), with the designs ordered by their</w:t>
      </w:r>
      <w:r>
        <w:t xml:space="preserve"> </w:t>
      </w:r>
      <w:r>
        <w:t xml:space="preserve">screened mean transmissibility. Open red markers are sessions with a</w:t>
      </w:r>
      <w:r>
        <w:t xml:space="preserve"> </w:t>
      </w:r>
      <w:r>
        <w:t xml:space="preserve">failed seat gauge or a drift flag, which the screened means leave out.</w:t>
      </w:r>
      <w:r>
        <w:t xml:space="preserve"> </w:t>
      </w:r>
      <w:r>
        <w:t xml:space="preserve">The dashed line marks</w:t>
      </w:r>
      <w:r>
        <w:t xml:space="preserve"> </w:t>
      </w:r>
      <w:r>
        <w:rPr>
          <w:i/>
          <w:iCs/>
        </w:rPr>
        <w:t xml:space="preserve">t</w:t>
      </w:r>
      <w:r>
        <w:rPr>
          <w:vertAlign w:val="subscript"/>
        </w:rPr>
        <w:t xml:space="preserve">180</w:t>
      </w:r>
      <w:r>
        <w:t xml:space="preserve"> = 1.</w:t>
      </w:r>
      <w:r>
        <w:tab/>
      </w:r>
      <w:r>
        <w:rPr/>
        <w:fldChar w:fldCharType="begin"/>
      </w:r>
      <w:r>
        <w:rPr/>
        <w:instrText xml:space="preserve"> PAGEREF cap_fig8 \h </w:instrText>
      </w:r>
      <w:r>
        <w:rPr/>
        <w:fldChar w:fldCharType="separate"/>
      </w:r>
      <w:r>
        <w:rPr/>
        <w:t>14</w:t>
      </w:r>
      <w:r>
        <w:rPr/>
        <w:fldChar w:fldCharType="end"/>
      </w:r>
    </w:p>
    <w:p>
      <w:pPr>
        <w:pStyle w:val="TableofFigures"/>
      </w:pPr>
      <w:r>
        <w:rPr/>
        <w:t xml:space="preserve">9</w:t>
      </w:r>
      <w:r>
        <w:tab/>
      </w:r>
      <w:r>
        <w:t xml:space="preserve">Seed-state SAASBO length-scale diagnostics per objective</w:t>
      </w:r>
      <w:r>
        <w:t xml:space="preserve"> </w:t>
      </w:r>
      <w:r>
        <w:t xml:space="preserve">for the five design variables plus printed mass. Bars are median</w:t>
      </w:r>
      <w:r>
        <w:t xml:space="preserve"> </w:t>
      </w:r>
      <w:r>
        <w:t xml:space="preserve">normalized inverse length scales over MCMC draws, and whiskers</w:t>
      </w:r>
      <w:r>
        <w:t xml:space="preserve"> </w:t>
      </w:r>
      <w:r>
        <w:t xml:space="preserve">are interquartile ranges. The horizontal axis, labeled</w:t>
      </w:r>
      <w:r>
        <w:t xml:space="preserve"> </w:t>
      </w:r>
      <w:r>
        <w:t xml:space="preserve">“</w:t>
      </w:r>
      <w:r>
        <w:t xml:space="preserve">share of model</w:t>
      </w:r>
      <w:r>
        <w:t xml:space="preserve"> </w:t>
      </w:r>
      <w:r>
        <w:t xml:space="preserve">sensitivity</w:t>
      </w:r>
      <w:r>
        <w:t xml:space="preserve">”</w:t>
      </w:r>
      <w:r>
        <w:t xml:space="preserve"> </w:t>
      </w:r>
      <w:r>
        <w:t xml:space="preserve">in the plot, is this normalized inverse-length-scale</w:t>
      </w:r>
      <w:r>
        <w:t xml:space="preserve"> </w:t>
      </w:r>
      <w:r>
        <w:t xml:space="preserve">diagnostic. No input separates decisively from the equal-share</w:t>
      </w:r>
      <w:r>
        <w:t xml:space="preserve"> </w:t>
      </w:r>
      <w:r>
        <w:t xml:space="preserve">line (dashed) at seven mapped articles, and these prior-sensitive</w:t>
      </w:r>
      <w:r>
        <w:t xml:space="preserve"> </w:t>
      </w:r>
      <w:r>
        <w:t xml:space="preserve">model diagnostics are not evidence of variable relevance.</w:t>
      </w:r>
      <w:r>
        <w:tab/>
      </w:r>
      <w:r>
        <w:rPr/>
        <w:fldChar w:fldCharType="begin"/>
      </w:r>
      <w:r>
        <w:rPr/>
        <w:instrText xml:space="preserve"> PAGEREF cap_fig9 \h </w:instrText>
      </w:r>
      <w:r>
        <w:rPr/>
        <w:fldChar w:fldCharType="separate"/>
      </w:r>
      <w:r>
        <w:rPr/>
        <w:t>15</w:t>
      </w:r>
      <w:r>
        <w:rPr/>
        <w:fldChar w:fldCharType="end"/>
      </w:r>
    </w:p>
    <w:p>
      <w:pPr>
        <w:pStyle w:val="TableofFigures"/>
      </w:pPr>
      <w:r>
        <w:rPr/>
        <w:t xml:space="preserve">10</w:t>
      </w:r>
      <w:r>
        <w:tab/>
      </w:r>
      <w:r>
        <w:t xml:space="preserve">Leave-one-design-out cross-validation of the SAASBO</w:t>
      </w:r>
      <w:r>
        <w:t xml:space="preserve"> </w:t>
      </w:r>
      <w:r>
        <w:t xml:space="preserve">surrogate over the full 44-article record (35 design folds, one</w:t>
      </w:r>
      <w:r>
        <w:t xml:space="preserve"> </w:t>
      </w:r>
      <w:r>
        <w:t xml:space="preserve">full NUTS refit per fold). Each batch-3 reprint pair is held out</w:t>
      </w:r>
      <w:r>
        <w:t xml:space="preserve"> </w:t>
      </w:r>
      <w:r>
        <w:t xml:space="preserve">together so neither print leaks into the other’s prediction.</w:t>
      </w:r>
      <w:r>
        <w:t xml:space="preserve"> </w:t>
      </w:r>
      <w:r>
        <w:t xml:space="preserve">Vertical bars are one posterior standard deviation of</w:t>
      </w:r>
      <w:r>
        <w:t xml:space="preserve"> </w:t>
      </w:r>
      <w:r>
        <w:t xml:space="preserve">the held-out prediction, horizontal bars are the ingested</w:t>
      </w:r>
      <w:r>
        <w:t xml:space="preserve"> </w:t>
      </w:r>
      <w:r>
        <w:t xml:space="preserve">standard error, and the dashed line is parity. Held-out</w:t>
      </w:r>
      <w:r>
        <w:t xml:space="preserve"> </w:t>
      </w:r>
      <w:r>
        <w:rPr>
          <w:i/>
          <w:iCs/>
        </w:rPr>
        <w:t xml:space="preserve">t</w:t>
      </w:r>
      <w:r>
        <w:rPr>
          <w:vertAlign w:val="subscript"/>
        </w:rPr>
        <w:t xml:space="preserve">180</w:t>
      </w:r>
      <w:r>
        <w:t xml:space="preserve"> </w:t>
      </w:r>
      <w:r>
        <w:t xml:space="preserve">predictions stay close to the pooled mean (MAPE 5.0%, rank</w:t>
      </w:r>
      <w:r>
        <w:t xml:space="preserve"> </w:t>
      </w:r>
      <w:r>
        <w:t xml:space="preserve">correlation +0.08), and the</w:t>
      </w:r>
      <w:r>
        <w:t xml:space="preserve"> </w:t>
      </w:r>
      <w:r>
        <w:rPr>
          <w:i/>
          <w:iCs/>
        </w:rPr>
        <w:t xml:space="preserve">E</w:t>
      </w:r>
      <w:r>
        <w:rPr>
          <w:vertAlign w:val="subscript"/>
        </w:rPr>
        <w:t xml:space="preserve">reb</w:t>
      </w:r>
      <w:r>
        <w:t xml:space="preserve"> </w:t>
      </w:r>
      <w:r>
        <w:t xml:space="preserve">ordering is anti-correlated</w:t>
      </w:r>
      <w:r>
        <w:t xml:space="preserve"> </w:t>
      </w:r>
      <w:r>
        <w:t xml:space="preserve">(−0.38). Design-level held-out skill is near zero on</w:t>
      </w:r>
      <w:r>
        <w:t xml:space="preserve"> </w:t>
      </w:r>
      <w:r>
        <w:t xml:space="preserve">transmissibility and absent on the mass-weighted velocity-loss</w:t>
      </w:r>
      <w:r>
        <w:t xml:space="preserve"> </w:t>
      </w:r>
      <w:r>
        <w:t xml:space="preserve">objective.</w:t>
      </w:r>
      <w:r>
        <w:tab/>
      </w:r>
      <w:r>
        <w:rPr/>
        <w:fldChar w:fldCharType="begin"/>
      </w:r>
      <w:r>
        <w:rPr/>
        <w:instrText xml:space="preserve"> PAGEREF cap_fig10 \h </w:instrText>
      </w:r>
      <w:r>
        <w:rPr/>
        <w:fldChar w:fldCharType="separate"/>
      </w:r>
      <w:r>
        <w:rPr/>
        <w:t>15</w:t>
      </w:r>
      <w:r>
        <w:rPr/>
        <w:fldChar w:fldCharType="end"/>
      </w:r>
    </w:p>
    <w:p>
      <w:pPr>
        <w:pStyle w:val="ListHeading"/>
      </w:pPr>
      <w:r>
        <w:rPr/>
        <w:t xml:space="preserve">List of Tables</w:t>
      </w:r>
    </w:p>
    <w:p>
      <w:pPr>
        <w:pStyle w:val="TableofFigures"/>
      </w:pPr>
      <w:r>
        <w:rPr/>
        <w:t xml:space="preserve">1</w:t>
      </w:r>
      <w:r>
        <w:tab/>
      </w:r>
      <w:r>
        <w:t xml:space="preserve">Positioning of this work against selected prior efforts</w:t>
      </w:r>
      <w:r>
        <w:t xml:space="preserve"> </w:t>
      </w:r>
      <w:r>
        <w:t xml:space="preserve">spanning the elements combined here. The present campaign uses</w:t>
      </w:r>
      <w:r>
        <w:t xml:space="preserve"> </w:t>
      </w:r>
      <w:r>
        <w:t xml:space="preserve">physical drop measurements of the transmissibility (</w:t>
      </w:r>
      <w:r>
        <w:rPr>
          <w:i/>
          <w:iCs/>
        </w:rPr>
        <w:t xml:space="preserve">t</w:t>
      </w:r>
      <w:r>
        <w:rPr>
          <w:vertAlign w:val="subscript"/>
        </w:rPr>
        <w:t xml:space="preserve">180</w:t>
      </w:r>
      <w:r>
        <w:t xml:space="preserve">)</w:t>
      </w:r>
      <w:r>
        <w:t xml:space="preserve"> </w:t>
      </w:r>
      <w:r>
        <w:t xml:space="preserve">and a mass-weighted form of the velocity loss index</w:t>
      </w:r>
      <w:r>
        <w:t xml:space="preserve"> </w:t>
      </w:r>
      <w:r>
        <w:t xml:space="preserve">(</w:t>
      </w:r>
      <w:r>
        <w:rPr>
          <w:i/>
          <w:iCs/>
        </w:rPr>
        <w:t xml:space="preserve">E</w:t>
      </w:r>
      <w:r>
        <w:rPr>
          <w:vertAlign w:val="subscript"/>
        </w:rPr>
        <w:t xml:space="preserve">reb</w:t>
      </w:r>
      <w:r>
        <w:t xml:space="preserve">, Eq. </w:t>
      </w:r>
      <w:hyperlink w:anchor="lbl_eq_objectives">
        <w:r>
          <w:rPr>
            <w:rStyle w:val="Hyperlink"/>
          </w:rPr>
          <w:t xml:space="preserve">(1)</w:t>
        </w:r>
      </w:hyperlink>
      <w:r>
        <w:t xml:space="preserve">)</w:t>
      </w:r>
      <w:r>
        <w:t xml:space="preserve"> </w:t>
      </w:r>
      <w:r>
        <w:t xml:space="preserve">as its BO responses. It does not optimize specific energy</w:t>
      </w:r>
      <w:r>
        <w:t xml:space="preserve"> </w:t>
      </w:r>
      <w:r>
        <w:t xml:space="preserve">absorption or crush energy.</w:t>
      </w:r>
      <w:r>
        <w:tab/>
      </w:r>
      <w:r>
        <w:rPr/>
        <w:fldChar w:fldCharType="begin"/>
      </w:r>
      <w:r>
        <w:rPr/>
        <w:instrText xml:space="preserve"> PAGEREF cap_tab1 \h </w:instrText>
      </w:r>
      <w:r>
        <w:rPr/>
        <w:fldChar w:fldCharType="separate"/>
      </w:r>
      <w:r>
        <w:rPr/>
        <w:t>3</w:t>
      </w:r>
      <w:r>
        <w:rPr/>
        <w:fldChar w:fldCharType="end"/>
      </w:r>
    </w:p>
    <w:p>
      <w:pPr>
        <w:pStyle w:val="TableofFigures"/>
      </w:pPr>
      <w:r>
        <w:rPr/>
        <w:t xml:space="preserve">2</w:t>
      </w:r>
      <w:r>
        <w:tab/>
      </w:r>
      <w:r>
        <w:t xml:space="preserve">Design variables for the</w:t>
      </w:r>
      <w:r>
        <w:t xml:space="preserve"> </w:t>
      </w:r>
      <w:r>
        <w:rPr>
          <w:i/>
          <w:iCs/>
        </w:rPr>
        <w:t xml:space="preserve">T</w:t>
      </w:r>
      <w:r>
        <w:rPr>
          <w:vertAlign w:val="subscript"/>
        </w:rPr>
        <w:t xml:space="preserve">3</w:t>
      </w:r>
      <w:r>
        <w:t xml:space="preserve">-prism campaign, as implemented</w:t>
      </w:r>
      <w:r>
        <w:t xml:space="preserve"> </w:t>
      </w:r>
      <w:r>
        <w:t xml:space="preserve">in the BO code. The seed batch is an</w:t>
      </w:r>
      <w:r>
        <w:t xml:space="preserve"> </w:t>
      </w:r>
      <w:r>
        <w:rPr>
          <w:i/>
          <w:iCs/>
        </w:rPr>
        <w:t xml:space="preserve">n</w:t>
      </w:r>
      <w:r>
        <w:t xml:space="preserve"> = 9 Sobol draw (fixed</w:t>
      </w:r>
      <w:r>
        <w:t xml:space="preserve"> </w:t>
      </w:r>
      <w:r>
        <w:t xml:space="preserve">seed) over the five geometry variables, with each design then</w:t>
      </w:r>
      <w:r>
        <w:t xml:space="preserve"> </w:t>
      </w:r>
      <w:r>
        <w:t xml:space="preserve">projected onto the constant-mass budget of the text. The process</w:t>
      </w:r>
      <w:r>
        <w:t xml:space="preserve"> </w:t>
      </w:r>
      <w:r>
        <w:t xml:space="preserve">variables joined the space in batch 3. The two infill densities</w:t>
      </w:r>
      <w:r>
        <w:t xml:space="preserve"> </w:t>
      </w:r>
      <w:r>
        <w:t xml:space="preserve">are acquisition-chosen per article, while the four filament</w:t>
      </w:r>
      <w:r>
        <w:t xml:space="preserve"> </w:t>
      </w:r>
      <w:r>
        <w:t xml:space="preserve">settings admit one value per print job and are therefore drawn as</w:t>
      </w:r>
      <w:r>
        <w:t xml:space="preserve"> </w:t>
      </w:r>
      <w:r>
        <w:t xml:space="preserve">a single quasi-random point per batch, confounded with batch</w:t>
      </w:r>
      <w:r>
        <w:t xml:space="preserve"> </w:t>
      </w:r>
      <w:r>
        <w:t xml:space="preserve">until varied within a plate. The joint diameter is held fixed.</w:t>
      </w:r>
      <w:r>
        <w:t xml:space="preserve"> </w:t>
      </w:r>
      <w:r>
        <w:t xml:space="preserve">All specimens print upright on a Bambu Lab H2D, with the prism</w:t>
      </w:r>
      <w:r>
        <w:t xml:space="preserve"> </w:t>
      </w:r>
      <w:r>
        <w:t xml:space="preserve">axis normal to the build plate and the base triangle on the bed</w:t>
      </w:r>
      <w:r>
        <w:t xml:space="preserve"> </w:t>
      </w:r>
      <w:r>
        <w:t xml:space="preserve">(Fig. </w:t>
      </w:r>
      <w:hyperlink w:anchor="lbl_fig_fab_workflow">
        <w:r>
          <w:rPr>
            <w:rStyle w:val="Hyperlink"/>
          </w:rPr>
          <w:t xml:space="preserve">3</w:t>
        </w:r>
      </w:hyperlink>
      <w:r>
        <w:t xml:space="preserve">, slicing panel). The seed batch used</w:t>
      </w:r>
      <w:r>
        <w:t xml:space="preserve"> </w:t>
      </w:r>
      <w:r>
        <w:t xml:space="preserve">one specimen per named build plate, and each later batch used one</w:t>
      </w:r>
      <w:r>
        <w:t xml:space="preserve"> </w:t>
      </w:r>
      <w:r>
        <w:t xml:space="preserve">nine-article plate.</w:t>
      </w:r>
      <w:r>
        <w:tab/>
      </w:r>
      <w:r>
        <w:rPr/>
        <w:fldChar w:fldCharType="begin"/>
      </w:r>
      <w:r>
        <w:rPr/>
        <w:instrText xml:space="preserve"> PAGEREF cap_tab2 \h </w:instrText>
      </w:r>
      <w:r>
        <w:rPr/>
        <w:fldChar w:fldCharType="separate"/>
      </w:r>
      <w:r>
        <w:rPr/>
        <w:t>5</w:t>
      </w:r>
      <w:r>
        <w:rPr/>
        <w:fldChar w:fldCharType="end"/>
      </w:r>
    </w:p>
    <w:p>
      <w:pPr>
        <w:pStyle w:val="TableofFigures"/>
      </w:pPr>
      <w:r>
        <w:rPr/>
        <w:t xml:space="preserve">3</w:t>
      </w:r>
      <w:r>
        <w:tab/>
      </w:r>
      <w:r>
        <w:t xml:space="preserve">Multi-material print parameters on the Bambu Lab H2D,</w:t>
      </w:r>
      <w:r>
        <w:t xml:space="preserve"> </w:t>
      </w:r>
      <w:r>
        <w:t xml:space="preserve">transcribed from the archived as-printed Bambu Studio project</w:t>
      </w:r>
      <w:r>
        <w:t xml:space="preserve"> </w:t>
      </w:r>
      <w:r>
        <w:t xml:space="preserve">(</w:t>
      </w:r>
      <w:r>
        <w:rPr>
          <w:rStyle w:val="VerbatimChar"/>
        </w:rPr>
        <w:t xml:space="preserve">t3-prism-bo-batch.H2D-MM-PLAstruts-TPUcables.as-printed.3mf</w:t>
      </w:r>
      <w:r>
        <w:t xml:space="preserve">,</w:t>
      </w:r>
      <w:r>
        <w:t xml:space="preserve"> </w:t>
      </w:r>
      <w:r>
        <w:t xml:space="preserve">Bambu Studio 2.7.1). Filaments are Bambu Lab PLA Basic (struts,</w:t>
      </w:r>
      <w:r>
        <w:t xml:space="preserve"> </w:t>
      </w:r>
      <w:r>
        <w:t xml:space="preserve">support material) and Bambu Lab TPU 85A (tendons). The print</w:t>
      </w:r>
      <w:r>
        <w:t xml:space="preserve"> </w:t>
      </w:r>
      <w:r>
        <w:t xml:space="preserve">profile is</w:t>
      </w:r>
      <w:r>
        <w:t xml:space="preserve"> </w:t>
      </w:r>
      <w:r>
        <w:t xml:space="preserve">“</w:t>
      </w:r>
      <w:r>
        <w:t xml:space="preserve">0.30 mm Standard @BBL H2D 0.6 nozzle.</w:t>
      </w:r>
      <w:r>
        <w:t xml:space="preserve">”</w:t>
      </w:r>
      <w:r>
        <w:t xml:space="preserve"> </w:t>
      </w:r>
      <w:r>
        <w:t xml:space="preserve">The</w:t>
      </w:r>
      <w:r>
        <w:t xml:space="preserve"> </w:t>
      </w:r>
      <w:r>
        <w:t xml:space="preserve">reporting structure follows the methods section of Ye</w:t>
      </w:r>
      <w:r>
        <w:t xml:space="preserve"> </w:t>
      </w:r>
      <w:r>
        <w:t xml:space="preserve">et al. [</w:t>
      </w:r>
      <w:hyperlink w:anchor="bib12">
        <w:r>
          <w:rPr>
            <w:rStyle w:val="Hyperlink"/>
          </w:rPr>
          <w:t xml:space="preserve">12</w:t>
        </w:r>
      </w:hyperlink>
      <w:r>
        <w:t xml:space="preserve">].</w:t>
      </w:r>
      <w:r>
        <w:tab/>
      </w:r>
      <w:r>
        <w:rPr/>
        <w:fldChar w:fldCharType="begin"/>
      </w:r>
      <w:r>
        <w:rPr/>
        <w:instrText xml:space="preserve"> PAGEREF cap_tab3 \h </w:instrText>
      </w:r>
      <w:r>
        <w:rPr/>
        <w:fldChar w:fldCharType="separate"/>
      </w:r>
      <w:r>
        <w:rPr/>
        <w:t>6</w:t>
      </w:r>
      <w:r>
        <w:rPr/>
        <w:fldChar w:fldCharType="end"/>
      </w:r>
    </w:p>
    <w:p>
      <w:pPr>
        <w:pStyle w:val="TableofFigures"/>
      </w:pPr>
      <w:r>
        <w:rPr/>
        <w:t xml:space="preserve">4</w:t>
      </w:r>
      <w:r>
        <w:tab/>
      </w:r>
      <w:r>
        <w:rPr>
          <w:i/>
          <w:iCs/>
        </w:rPr>
        <w:t xml:space="preserve">Placeholder (data pending).</w:t>
      </w:r>
      <w:r>
        <w:t xml:space="preserve"> </w:t>
      </w:r>
      <w:r>
        <w:t xml:space="preserve">Planned replicate</w:t>
      </w:r>
      <w:r>
        <w:t xml:space="preserve"> </w:t>
      </w:r>
      <w:r>
        <w:t xml:space="preserve">rank-stability study: the best-, mid-, and worst-predicted</w:t>
      </w:r>
      <w:r>
        <w:t xml:space="preserve"> </w:t>
      </w:r>
      <w:r>
        <w:t xml:space="preserve">in-sample designs, each re-printed as a nominal three fresh</w:t>
      </w:r>
      <w:r>
        <w:t xml:space="preserve"> </w:t>
      </w:r>
      <w:r>
        <w:t xml:space="preserve">articles and drop-tested under the standard protocol. Entries</w:t>
      </w:r>
      <w:r>
        <w:t xml:space="preserve"> </w:t>
      </w:r>
      <w:r>
        <w:t xml:space="preserve">will record each repeat’s stabilized</w:t>
      </w:r>
      <w:r>
        <w:t xml:space="preserve"> </w:t>
      </w:r>
      <w:r>
        <w:rPr>
          <w:i/>
          <w:iCs/>
        </w:rPr>
        <w:t xml:space="preserve">t</w:t>
      </w:r>
      <w:r>
        <w:rPr>
          <w:vertAlign w:val="subscript"/>
        </w:rPr>
        <w:t xml:space="preserve">180</w:t>
      </w:r>
      <w:r>
        <w:t xml:space="preserve">, the</w:t>
      </w:r>
      <w:r>
        <w:t xml:space="preserve"> </w:t>
      </w:r>
      <w:r>
        <w:t xml:space="preserve">within-design scatter, and the measured rank of each design’s</w:t>
      </w:r>
      <w:r>
        <w:t xml:space="preserve"> </w:t>
      </w:r>
      <w:r>
        <w:t xml:space="preserve">repeat cluster against its predicted rank.</w:t>
      </w:r>
      <w:r>
        <w:tab/>
      </w:r>
      <w:r>
        <w:rPr/>
        <w:fldChar w:fldCharType="begin"/>
      </w:r>
      <w:r>
        <w:rPr/>
        <w:instrText xml:space="preserve"> PAGEREF cap_tab4 \h </w:instrText>
      </w:r>
      <w:r>
        <w:rPr/>
        <w:fldChar w:fldCharType="separate"/>
      </w:r>
      <w:r>
        <w:rPr/>
        <w:t>9</w:t>
      </w:r>
      <w:r>
        <w:rPr/>
        <w:fldChar w:fldCharType="end"/>
      </w:r>
    </w:p>
    <w:p>
      <w:pPr>
        <w:pStyle w:val="TableofFigures"/>
      </w:pPr>
      <w:r>
        <w:rPr/>
        <w:t xml:space="preserve">5</w:t>
      </w:r>
      <w:r>
        <w:tab/>
      </w:r>
      <w:r>
        <w:rPr>
          <w:i/>
          <w:iCs/>
        </w:rPr>
        <w:t xml:space="preserve">Placeholder (data pending).</w:t>
      </w:r>
      <w:r>
        <w:t xml:space="preserve"> </w:t>
      </w:r>
      <w:r>
        <w:t xml:space="preserve">Planned rank-ordering</w:t>
      </w:r>
      <w:r>
        <w:t xml:space="preserve"> </w:t>
      </w:r>
      <w:r>
        <w:t xml:space="preserve">validation: representative</w:t>
      </w:r>
      <w:r>
        <w:t xml:space="preserve"> </w:t>
      </w:r>
      <w:r>
        <w:rPr>
          <w:i/>
          <w:iCs/>
        </w:rPr>
        <w:t xml:space="preserve">T</w:t>
      </w:r>
      <w:r>
        <w:rPr>
          <w:vertAlign w:val="subscript"/>
        </w:rPr>
        <w:t xml:space="preserve">3</w:t>
      </w:r>
      <w:r>
        <w:t xml:space="preserve">-prism designs predicted to be</w:t>
      </w:r>
      <w:r>
        <w:t xml:space="preserve"> </w:t>
      </w:r>
      <w:r>
        <w:t xml:space="preserve">worst-, mid-, and best-performing, each fabricated as a printed</w:t>
      </w:r>
      <w:r>
        <w:t xml:space="preserve"> </w:t>
      </w:r>
      <w:r>
        <w:t xml:space="preserve">PLA/TPU specimen and as a hollow-aluminum-rod / stainless-steel-cable</w:t>
      </w:r>
      <w:r>
        <w:t xml:space="preserve"> </w:t>
      </w:r>
      <w:r>
        <w:t xml:space="preserve">metal analog. Entries will record the measured performance metric</w:t>
      </w:r>
      <w:r>
        <w:t xml:space="preserve"> </w:t>
      </w:r>
      <w:r>
        <w:t xml:space="preserve">(</w:t>
      </w:r>
      <w:r>
        <w:rPr>
          <w:i/>
          <w:iCs/>
        </w:rPr>
        <w:t xml:space="preserve">t</w:t>
      </w:r>
      <w:r>
        <w:rPr>
          <w:vertAlign w:val="subscript"/>
        </w:rPr>
        <w:t xml:space="preserve">180</w:t>
      </w:r>
      <w:r>
        <w:t xml:space="preserve"> </w:t>
      </w:r>
      <w:r>
        <w:t xml:space="preserve">under the identical drop protocol, with the velocity</w:t>
      </w:r>
      <w:r>
        <w:t xml:space="preserve"> </w:t>
      </w:r>
      <w:r>
        <w:t xml:space="preserve">loss index secondary) and the resulting rank within each</w:t>
      </w:r>
      <w:r>
        <w:t xml:space="preserve"> </w:t>
      </w:r>
      <w:r>
        <w:t xml:space="preserve">material system.</w:t>
      </w:r>
      <w:r>
        <w:tab/>
      </w:r>
      <w:r>
        <w:rPr/>
        <w:fldChar w:fldCharType="begin"/>
      </w:r>
      <w:r>
        <w:rPr/>
        <w:instrText xml:space="preserve"> PAGEREF cap_tab5 \h </w:instrText>
      </w:r>
      <w:r>
        <w:rPr/>
        <w:fldChar w:fldCharType="separate"/>
      </w:r>
      <w:r>
        <w:rPr/>
        <w:t>10</w:t>
      </w:r>
      <w:r>
        <w:rPr/>
        <w:fldChar w:fldCharType="end"/>
      </w:r>
    </w:p>
    <w:p>
      <w:pPr>
        <w:pStyle w:val="TableofFigures"/>
      </w:pPr>
      <w:r>
        <w:rPr/>
        <w:t xml:space="preserve">6</w:t>
      </w:r>
      <w:r>
        <w:tab/>
      </w:r>
      <w:r>
        <w:t xml:space="preserve">Seed-batch drop-tower results: 101 stabilized captures per</w:t>
      </w:r>
      <w:r>
        <w:t xml:space="preserve"> </w:t>
      </w:r>
      <w:r>
        <w:t xml:space="preserve">article (103 for autv5r) at 60 in onto the standardized</w:t>
      </w:r>
      <w:r>
        <w:t xml:space="preserve"> </w:t>
      </w:r>
      <w:r>
        <w:t xml:space="preserve">polyurethane surface, CFC-180 filtering, counted after the first</w:t>
      </w:r>
      <w:r>
        <w:t xml:space="preserve"> </w:t>
      </w:r>
      <w:r>
        <w:t xml:space="preserve">two warm-up drops of each session were discarded. Means ± one</w:t>
      </w:r>
      <w:r>
        <w:t xml:space="preserve"> </w:t>
      </w:r>
      <w:r>
        <w:t xml:space="preserve">standard deviation over the stabilized drops. Rows are ordered by</w:t>
      </w:r>
      <w:r>
        <w:t xml:space="preserve"> </w:t>
      </w:r>
      <w:r>
        <w:rPr>
          <w:i/>
          <w:iCs/>
        </w:rPr>
        <w:t xml:space="preserve">t</w:t>
      </w:r>
      <w:r>
        <w:rPr>
          <w:vertAlign w:val="subscript"/>
        </w:rPr>
        <w:t xml:space="preserve">180</w:t>
      </w:r>
      <w:r>
        <w:t xml:space="preserve">.</w:t>
      </w:r>
      <w:r>
        <w:t xml:space="preserve"> </w:t>
      </w:r>
      <w:r>
        <w:rPr>
          <w:i/>
          <w:iCs/>
        </w:rPr>
        <w:t xml:space="preserve">E</w:t>
      </w:r>
      <w:r>
        <w:rPr>
          <w:vertAlign w:val="subscript"/>
        </w:rPr>
        <w:t xml:space="preserve">reb</w:t>
      </w:r>
      <w:r>
        <w:t xml:space="preserve"> </w:t>
      </w:r>
      <w:r>
        <w:t xml:space="preserve">uses each</w:t>
      </w:r>
      <w:r>
        <w:t xml:space="preserve"> </w:t>
      </w:r>
      <w:r>
        <w:t xml:space="preserve">article’s weighed mass per Eq. </w:t>
      </w:r>
      <w:hyperlink w:anchor="lbl_eq_objectives">
        <w:r>
          <w:rPr>
            <w:rStyle w:val="Hyperlink"/>
          </w:rPr>
          <w:t xml:space="preserve">(1)</w:t>
        </w:r>
      </w:hyperlink>
      <w:r>
        <w:t xml:space="preserve">. The ringdown</w:t>
      </w:r>
      <w:r>
        <w:t xml:space="preserve"> </w:t>
      </w:r>
      <w:r>
        <w:t xml:space="preserve">frequency</w:t>
      </w:r>
      <w:r>
        <w:t xml:space="preserve"> </w:t>
      </w:r>
      <w:r>
        <w:rPr>
          <w:i/>
          <w:iCs/>
        </w:rPr>
        <w:t xml:space="preserve">f</w:t>
      </w:r>
      <w:r>
        <w:rPr>
          <w:i/>
          <w:iCs/>
          <w:vertAlign w:val="subscript"/>
        </w:rPr>
        <w:t xml:space="preserve">n</w:t>
      </w:r>
      <w:r>
        <w:t xml:space="preserve"> </w:t>
      </w:r>
      <w:r>
        <w:t xml:space="preserve">is a print-health descriptor, not an objective.</w:t>
      </w:r>
      <w:r>
        <w:t xml:space="preserve"> </w:t>
      </w:r>
      <w:r>
        <w:t xml:space="preserve">A dash denotes a quantity that cannot be computed from the</w:t>
      </w:r>
      <w:r>
        <w:t xml:space="preserve"> </w:t>
      </w:r>
      <w:r>
        <w:t xml:space="preserve">available record. Article</w:t>
      </w:r>
      <w:r>
        <w:t xml:space="preserve"> </w:t>
      </w:r>
      <w:r>
        <w:rPr>
          <w:i/>
          <w:iCs/>
        </w:rPr>
        <w:t xml:space="preserve">amdjwm</w:t>
      </w:r>
      <w:r>
        <w:t xml:space="preserve">, which lacks a weighed</w:t>
      </w:r>
      <w:r>
        <w:t xml:space="preserve"> </w:t>
      </w:r>
      <w:r>
        <w:t xml:space="preserve">mass and a confirmed design mapping, is excluded from the surrogate</w:t>
      </w:r>
      <w:r>
        <w:t xml:space="preserve"> </w:t>
      </w:r>
      <w:r>
        <w:t xml:space="preserve">fit and from all mass-dependent quantities. No accepted</w:t>
      </w:r>
      <w:r>
        <w:t xml:space="preserve"> </w:t>
      </w:r>
      <w:r>
        <w:rPr>
          <w:i/>
          <w:iCs/>
        </w:rPr>
        <w:t xml:space="preserve">f</w:t>
      </w:r>
      <w:r>
        <w:rPr>
          <w:i/>
          <w:iCs/>
          <w:vertAlign w:val="subscript"/>
        </w:rPr>
        <w:t xml:space="preserve">n</w:t>
      </w:r>
      <w:r>
        <w:t xml:space="preserve"> </w:t>
      </w:r>
      <w:r>
        <w:t xml:space="preserve">estimate is available for</w:t>
      </w:r>
      <w:r>
        <w:t xml:space="preserve"> </w:t>
      </w:r>
      <w:r>
        <w:rPr>
          <w:i/>
          <w:iCs/>
        </w:rPr>
        <w:t xml:space="preserve">bag26v</w:t>
      </w:r>
      <w:r>
        <w:t xml:space="preserve"> </w:t>
      </w:r>
      <w:r>
        <w:t xml:space="preserve">or</w:t>
      </w:r>
      <w:r>
        <w:t xml:space="preserve"> </w:t>
      </w:r>
      <w:r>
        <w:rPr>
          <w:i/>
          <w:iCs/>
        </w:rPr>
        <w:t xml:space="preserve">ajhby6</w:t>
      </w:r>
      <w:r>
        <w:t xml:space="preserve">.</w:t>
      </w:r>
      <w:r>
        <w:t xml:space="preserve"> </w:t>
      </w:r>
      <w:r>
        <w:t xml:space="preserve">Specs 03 and 06 were printed but have no drop sessions in the</w:t>
      </w:r>
      <w:r>
        <w:t xml:space="preserve"> </w:t>
      </w:r>
      <w:r>
        <w:t xml:space="preserve">campaign record.</w:t>
      </w:r>
      <w:r>
        <w:tab/>
      </w:r>
      <w:r>
        <w:rPr/>
        <w:fldChar w:fldCharType="begin"/>
      </w:r>
      <w:r>
        <w:rPr/>
        <w:instrText xml:space="preserve"> PAGEREF cap_tab6 \h </w:instrText>
      </w:r>
      <w:r>
        <w:rPr/>
        <w:fldChar w:fldCharType="separate"/>
      </w:r>
      <w:r>
        <w:rPr/>
        <w:t>11</w:t>
      </w:r>
      <w:r>
        <w:rPr/>
        <w:fldChar w:fldCharType="end"/>
      </w:r>
    </w:p>
    <w:p>
      <w:pPr>
        <w:pStyle w:val="TableofFigures"/>
      </w:pPr>
      <w:r>
        <w:rPr/>
        <w:t xml:space="preserve">7</w:t>
      </w:r>
      <w:r>
        <w:tab/>
      </w:r>
      <w:r>
        <w:t xml:space="preserve">Model-recommended batch results under the protocol and</w:t>
      </w:r>
      <w:r>
        <w:t xml:space="preserve"> </w:t>
      </w:r>
      <w:r>
        <w:t xml:space="preserve">reporting conventions of Table </w:t>
      </w:r>
      <w:hyperlink w:anchor="lbl_tab_seed_results">
        <w:r>
          <w:rPr>
            <w:rStyle w:val="Hyperlink"/>
          </w:rPr>
          <w:t xml:space="preserve">6</w:t>
        </w:r>
      </w:hyperlink>
      <w:r>
        <w:t xml:space="preserve"> </w:t>
      </w:r>
      <w:r>
        <w:t xml:space="preserve">(CFC-180,</w:t>
      </w:r>
      <w:r>
        <w:t xml:space="preserve"> </w:t>
      </w:r>
      <w:r>
        <w:t xml:space="preserve">stabilized means ± one standard deviation, rows ordered by</w:t>
      </w:r>
      <w:r>
        <w:t xml:space="preserve"> </w:t>
      </w:r>
      <w:r>
        <w:rPr>
          <w:i/>
          <w:iCs/>
        </w:rPr>
        <w:t xml:space="preserve">t</w:t>
      </w:r>
      <w:r>
        <w:rPr>
          <w:vertAlign w:val="subscript"/>
        </w:rPr>
        <w:t xml:space="preserve">180</w:t>
      </w:r>
      <w:r>
        <w:t xml:space="preserve"> </w:t>
      </w:r>
      <w:r>
        <w:t xml:space="preserve">within each batch). Each article received about twenty</w:t>
      </w:r>
      <w:r>
        <w:t xml:space="preserve"> </w:t>
      </w:r>
      <w:r>
        <w:t xml:space="preserve">drops against the seed batch’s 101, and the archived per-drop</w:t>
      </w:r>
      <w:r>
        <w:t xml:space="preserve"> </w:t>
      </w:r>
      <w:r>
        <w:t xml:space="preserve">records give the exact per-session counts.</w:t>
      </w:r>
      <w:r>
        <w:t xml:space="preserve"> </w:t>
      </w:r>
      <w:r>
        <w:rPr>
          <w:i/>
          <w:iCs/>
        </w:rPr>
        <w:t xml:space="preserve">E</w:t>
      </w:r>
      <w:r>
        <w:rPr>
          <w:vertAlign w:val="subscript"/>
        </w:rPr>
        <w:t xml:space="preserve">reb</w:t>
      </w:r>
      <w:r>
        <w:t xml:space="preserve"> </w:t>
      </w:r>
      <w:r>
        <w:t xml:space="preserve">uses each article’s weighed mass per</w:t>
      </w:r>
      <w:r>
        <w:t xml:space="preserve"> </w:t>
      </w:r>
      <w:r>
        <w:t xml:space="preserve">Eq. </w:t>
      </w:r>
      <w:hyperlink w:anchor="lbl_eq_objectives">
        <w:r>
          <w:rPr>
            <w:rStyle w:val="Hyperlink"/>
          </w:rPr>
          <w:t xml:space="preserve">(1)</w:t>
        </w:r>
      </w:hyperlink>
      <w:r>
        <w:t xml:space="preserve">.</w:t>
      </w:r>
      <w:r>
        <w:t xml:space="preserve"> </w:t>
      </w:r>
      <w:r>
        <w:t xml:space="preserve">“</w:t>
      </w:r>
      <w:r>
        <w:t xml:space="preserve">Pred.</w:t>
      </w:r>
      <w:r>
        <w:t xml:space="preserve">”</w:t>
      </w:r>
      <w:r>
        <w:t xml:space="preserve"> </w:t>
      </w:r>
      <w:r>
        <w:t xml:space="preserve">is the posterior-mean</w:t>
      </w:r>
      <w:r>
        <w:t xml:space="preserve"> </w:t>
      </w:r>
      <w:r>
        <w:rPr>
          <w:i/>
          <w:iCs/>
        </w:rPr>
        <w:t xml:space="preserve">t</w:t>
      </w:r>
      <w:r>
        <w:rPr>
          <w:vertAlign w:val="subscript"/>
        </w:rPr>
        <w:t xml:space="preserve">180</w:t>
      </w:r>
      <w:r>
        <w:t xml:space="preserve"> </w:t>
      </w:r>
      <w:r>
        <w:t xml:space="preserve">archived when the batch was recommended, before any of</w:t>
      </w:r>
      <w:r>
        <w:t xml:space="preserve"> </w:t>
      </w:r>
      <w:r>
        <w:t xml:space="preserve">its articles were tested. Batch-2 articles were projected to</w:t>
      </w:r>
      <w:r>
        <w:t xml:space="preserve"> </w:t>
      </w:r>
      <w:r>
        <w:t xml:space="preserve">constant solid mass, and batches 3 and 4 to constant printed mass</w:t>
      </w:r>
      <w:r>
        <w:t xml:space="preserve"> </w:t>
      </w:r>
      <w:r>
        <w:t xml:space="preserve">(20.23 g). Flags follow the session record: †</w:t>
      </w:r>
      <w:r>
        <w:t xml:space="preserve"> </w:t>
      </w:r>
      <w:r>
        <w:t xml:space="preserve">marks a transmissibility-drift-flagged session whose mean is</w:t>
      </w:r>
      <w:r>
        <w:t xml:space="preserve"> </w:t>
      </w:r>
      <w:r>
        <w:t xml:space="preserve">provisional, and ‡ marks the erratic corny6 session</w:t>
      </w:r>
      <w:r>
        <w:t xml:space="preserve"> </w:t>
      </w:r>
      <w:r>
        <w:t xml:space="preserve">(per-drop CV 2.0%).</w:t>
      </w:r>
      <w:r>
        <w:tab/>
      </w:r>
      <w:r>
        <w:rPr/>
        <w:fldChar w:fldCharType="begin"/>
      </w:r>
      <w:r>
        <w:rPr/>
        <w:instrText xml:space="preserve"> PAGEREF cap_tab7 \h </w:instrText>
      </w:r>
      <w:r>
        <w:rPr/>
        <w:fldChar w:fldCharType="separate"/>
      </w:r>
      <w:r>
        <w:rPr/>
        <w:t>12</w:t>
      </w:r>
      <w:r>
        <w:rPr/>
        <w:fldChar w:fldCharType="end"/>
      </w:r>
    </w:p>
    <w:p>
      <w:pPr>
        <w:pStyle w:val="TableofFigures"/>
      </w:pPr>
      <w:r>
        <w:rPr/>
        <w:t xml:space="preserve">8</w:t>
      </w:r>
      <w:r>
        <w:tab/>
      </w:r>
      <w:r>
        <w:t xml:space="preserve">Batch-3 repeatability as stabilized</w:t>
      </w:r>
      <w:r>
        <w:t xml:space="preserve"> </w:t>
      </w:r>
      <w:r>
        <w:rPr>
          <w:i/>
          <w:iCs/>
        </w:rPr>
        <w:t xml:space="preserve">t</w:t>
      </w:r>
      <w:r>
        <w:rPr>
          <w:vertAlign w:val="subscript"/>
        </w:rPr>
        <w:t xml:space="preserve">180</w:t>
      </w:r>
      <w:r>
        <w:t xml:space="preserve"> </w:t>
      </w:r>
      <w:r>
        <w:t xml:space="preserve">over three</w:t>
      </w:r>
      <w:r>
        <w:t xml:space="preserve"> </w:t>
      </w:r>
      <w:r>
        <w:t xml:space="preserve">prints of the same nine designs, under the protocol of</w:t>
      </w:r>
      <w:r>
        <w:t xml:space="preserve"> </w:t>
      </w:r>
      <w:r>
        <w:t xml:space="preserve">Table </w:t>
      </w:r>
      <w:hyperlink w:anchor="lbl_tab_seed_results">
        <w:r>
          <w:rPr>
            <w:rStyle w:val="Hyperlink"/>
          </w:rPr>
          <w:t xml:space="preserve">6</w:t>
        </w:r>
      </w:hyperlink>
      <w:r>
        <w:t xml:space="preserve">. Articles drran</w:t>
      </w:r>
      <w:r>
        <w:rPr>
          <w:i/>
          <w:iCs/>
        </w:rPr>
        <w:t xml:space="preserve">N</w:t>
      </w:r>
      <w:r>
        <w:t xml:space="preserve">, 2dran</w:t>
      </w:r>
      <w:r>
        <w:rPr>
          <w:i/>
          <w:iCs/>
        </w:rPr>
        <w:t xml:space="preserve">N</w:t>
      </w:r>
      <w:r>
        <w:t xml:space="preserve">, and</w:t>
      </w:r>
      <w:r>
        <w:t xml:space="preserve"> </w:t>
      </w:r>
      <w:r>
        <w:t xml:space="preserve">dran3</w:t>
      </w:r>
      <w:r>
        <w:rPr>
          <w:i/>
          <w:iCs/>
        </w:rPr>
        <w:t xml:space="preserve">N</w:t>
      </w:r>
      <w:r>
        <w:t xml:space="preserve"> </w:t>
      </w:r>
      <w:r>
        <w:t xml:space="preserve">are prints 1, 2, and 3.</w:t>
      </w:r>
      <w:r>
        <w:t xml:space="preserve"> </w:t>
      </w:r>
      <w:r>
        <w:t xml:space="preserve">“</w:t>
      </w:r>
      <w:r>
        <w:t xml:space="preserve">Pred.</w:t>
      </w:r>
      <w:r>
        <w:t xml:space="preserve">”</w:t>
      </w:r>
      <w:r>
        <w:t xml:space="preserve"> </w:t>
      </w:r>
      <w:r>
        <w:t xml:space="preserve">is the posterior-mean</w:t>
      </w:r>
      <w:r>
        <w:t xml:space="preserve"> </w:t>
      </w:r>
      <w:r>
        <w:rPr>
          <w:i/>
          <w:iCs/>
        </w:rPr>
        <w:t xml:space="preserve">t</w:t>
      </w:r>
      <w:r>
        <w:rPr>
          <w:vertAlign w:val="subscript"/>
        </w:rPr>
        <w:t xml:space="preserve">180</w:t>
      </w:r>
      <w:r>
        <w:t xml:space="preserve"> </w:t>
      </w:r>
      <w:r>
        <w:t xml:space="preserve">archived before any batch-3 article was tested.</w:t>
      </w:r>
      <w:r>
        <w:t xml:space="preserve"> </w:t>
      </w:r>
      <w:r>
        <w:t xml:space="preserve">“</w:t>
      </w:r>
      <w:r>
        <w:t xml:space="preserve">Mean</w:t>
      </w:r>
      <w:r>
        <w:t xml:space="preserve">”</w:t>
      </w:r>
      <w:r>
        <w:t xml:space="preserve"> </w:t>
      </w:r>
      <w:r>
        <w:t xml:space="preserve">averages the prints that pass the health screen, a seat gauge (the</w:t>
      </w:r>
      <w:r>
        <w:t xml:space="preserve"> </w:t>
      </w:r>
      <w:r>
        <w:t xml:space="preserve">ratio of CFC-1000 to CFC-180 transmissibility) below 1.15 and no</w:t>
      </w:r>
      <w:r>
        <w:t xml:space="preserve"> </w:t>
      </w:r>
      <w:r>
        <w:t xml:space="preserve">drift flag. § marks a failed seat gauge and † a</w:t>
      </w:r>
      <w:r>
        <w:t xml:space="preserve"> </w:t>
      </w:r>
      <w:r>
        <w:t xml:space="preserve">transmissibility-drift flag.</w:t>
      </w:r>
      <w:r>
        <w:t xml:space="preserve"> </w:t>
      </w:r>
      <w:r>
        <w:rPr>
          <w:i/>
          <w:iCs/>
        </w:rPr>
        <w:t xml:space="preserve">E</w:t>
      </w:r>
      <w:r>
        <w:rPr>
          <w:vertAlign w:val="subscript"/>
        </w:rPr>
        <w:t xml:space="preserve">reb</w:t>
      </w:r>
      <w:r>
        <w:t xml:space="preserve"> </w:t>
      </w:r>
      <w:r>
        <w:t xml:space="preserve">is listed for</w:t>
      </w:r>
      <w:r>
        <w:t xml:space="preserve"> </w:t>
      </w:r>
      <w:r>
        <w:t xml:space="preserve">prints 1, 2, and 3.</w:t>
      </w:r>
      <w:r>
        <w:tab/>
      </w:r>
      <w:r>
        <w:rPr/>
        <w:fldChar w:fldCharType="begin"/>
      </w:r>
      <w:r>
        <w:rPr/>
        <w:instrText xml:space="preserve"> PAGEREF cap_tab8 \h </w:instrText>
      </w:r>
      <w:r>
        <w:rPr/>
        <w:fldChar w:fldCharType="separate"/>
      </w:r>
      <w:r>
        <w:rPr/>
        <w:t>14</w:t>
      </w:r>
      <w:r>
        <w:rPr/>
        <w:fldChar w:fldCharType="end"/>
      </w:r>
    </w:p>
    <w:sectPr>
      <w:type w:val="nextPage"/>
      <w:pgSz w:w="12240" w:h="16197"/>
      <w:pgMar w:left="1200" w:right="1200" w:top="920" w:bottom="1320" w:header="500" w:footer="820"/>
      <w:cols w:space="4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bCs/>
      </w:rPr>
      <w:t xml:space="preserve">Journal of Mechanical Design</w:t>
    </w:r>
    <w:r>
      <w:tab/>
    </w:r>
    <w:r>
      <w:rPr/>
      <w:t xml:space="preserve">PREPRINT FOR REVIEW</w:t>
    </w:r>
    <w:r>
      <w:rPr>
        <w:b/>
        <w:bCs/>
      </w:rPr>
      <w:t xml:space="preserve"> / </w:t>
    </w:r>
    <w:r>
      <w:rPr>
        <w:b/>
        <w:bCs/>
      </w:rPr>
      <w:fldChar w:fldCharType="begin"/>
    </w:r>
    <w:r>
      <w:rPr>
        <w:b/>
        <w:bCs/>
      </w:rPr>
      <w:instrText xml:space="preserve"> PAGE </w:instrText>
    </w:r>
    <w:r>
      <w:rPr>
        <w:b/>
        <w:bCs/>
      </w:rPr>
      <w:fldChar w:fldCharType="separate"/>
    </w:r>
    <w:r>
      <w:rPr>
        <w:b/>
        <w:bCs/>
      </w:rPr>
      <w:t>1</w:t>
    </w:r>
    <w:r>
      <w:rPr>
        <w:b/>
        <w:bCs/>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bCs/>
      </w:rPr>
      <w:fldChar w:fldCharType="begin"/>
    </w:r>
    <w:r>
      <w:rPr>
        <w:b/>
        <w:bCs/>
      </w:rPr>
      <w:instrText xml:space="preserve"> PAGE </w:instrText>
    </w:r>
    <w:r>
      <w:rPr>
        <w:b/>
        <w:bCs/>
      </w:rPr>
      <w:fldChar w:fldCharType="separate"/>
    </w:r>
    <w:r>
      <w:rPr>
        <w:b/>
        <w:bCs/>
      </w:rPr>
      <w:t>1</w:t>
    </w:r>
    <w:r>
      <w:rPr>
        <w:b/>
        <w:bCs/>
      </w:rPr>
      <w:fldChar w:fldCharType="end"/>
    </w:r>
    <w:r>
      <w:rPr>
        <w:b/>
        <w:bCs/>
      </w:rPr>
      <w:t xml:space="preserve"> / </w:t>
    </w:r>
    <w:r>
      <w:rPr/>
      <w:t xml:space="preserve">PREPRINT FOR REVIEW</w:t>
    </w:r>
    <w:r>
      <w:tab/>
    </w:r>
    <w:r>
      <w:rPr>
        <w:b/>
        <w:bCs/>
      </w:rPr>
      <w:t xml:space="preserve">Transactions of the ASME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rPr>
          <w:rStyle w:val="FootnoteReference"/>
        </w:rPr>
        <w:footnoteRef/>
      </w:r>
      <w:r>
        <w:t xml:space="preserve">Corresponding Author.</w:t>
      </w:r>
    </w:p>
    <w:p>
      <w:pPr>
        <w:pStyle w:val="FootnoteText"/>
      </w:pPr>
      <w:r>
        <w:t>October 11, 2026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420" w:hanging="22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640" w:hanging="40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420" w:hanging="22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autoHyphenation w:val="true"/>
  <w:evenAndOddHeader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xmlns:m="http://schemas.openxmlformats.org/officeDocument/2006/math" w:ascii="Times New Roman" w:cs="Times New Roman" w:eastAsia="Times New Roman" w:hAnsi="Times New Roman"/>
        <w:sz xmlns:m="http://schemas.openxmlformats.org/officeDocument/2006/math" w:val="18"/>
        <w:szCs xmlns:m="http://schemas.openxmlformats.org/officeDocument/2006/math" w:val="18"/>
        <w:lang xmlns:m="http://schemas.openxmlformats.org/officeDocument/2006/math" w:val="en-US"/>
      </w:rPr>
    </w:rPrDefault>
    <w:pPrDefault>
      <w:pPr>
        <w:spacing w:after="200"/>
      </w:pPr>
    </w:pPrDefault>
  </w:docDefaults>
  <w:latentStyles w:count="276" w:defLockedState="0" w:defQFormat="0" w:defSemiHidden="0" w:defUIPriority="0" w:defUnhideWhenUsed="0"/>
  <w:style xmlns:m="http://schemas.openxmlformats.org/officeDocument/2006/math" w:styleId="Normal" w:type="paragraph">
    <w:name w:val="Normal"/>
    <w:basedOn w:val=""/>
    <w:qFormat/>
    <w:pPr>
      <w:spacing w:after="0" w:before="0" w:line="240" w:lineRule="auto"/>
    </w:pPr>
    <w:rPr>
      <w:rFonts w:ascii="Times New Roman" w:cs="Times New Roman" w:eastAsia="Times New Roman" w:hAnsi="Times New Roman"/>
      <w:sz w:val="18"/>
      <w:szCs w:val="18"/>
      <w:lang w:val="en-US"/>
    </w:rPr>
  </w:style>
  <w:style xmlns:m="http://schemas.openxmlformats.org/officeDocument/2006/math" w:styleId="BodyText" w:type="paragraph">
    <w:name w:val="Body Text"/>
    <w:basedOn w:val="Normal"/>
    <w:qFormat/>
    <w:pPr>
      <w:spacing w:after="0" w:before="0" w:line="200" w:lineRule="exact"/>
      <w:ind w:firstLine="200"/>
      <w:jc w:val="both"/>
    </w:pPr>
    <w:rPr/>
  </w:style>
  <w:style xmlns:m="http://schemas.openxmlformats.org/officeDocument/2006/math" w:customStyle="1" w:styleId="FirstParagraph" w:type="paragraph">
    <w:name w:val="First Paragraph"/>
    <w:basedOn w:val="BodyText"/>
    <w:next w:val="BodyText"/>
    <w:qFormat/>
    <w:pPr/>
    <w:rPr/>
  </w:style>
  <w:style xmlns:m="http://schemas.openxmlformats.org/officeDocument/2006/math" w:customStyle="1" w:styleId="Compact" w:type="paragraph">
    <w:name w:val="Compact"/>
    <w:basedOn w:val="BodyText"/>
    <w:qFormat/>
    <w:pPr>
      <w:spacing w:after="0" w:before="0" w:line="200" w:lineRule="exact"/>
      <w:ind w:firstLine="0"/>
    </w:pPr>
    <w:rPr/>
  </w:style>
  <w:style xmlns:m="http://schemas.openxmlformats.org/officeDocument/2006/math" w:styleId="Title" w:type="paragraph">
    <w:name w:val="Title"/>
    <w:basedOn w:val="Normal"/>
    <w:qFormat/>
    <w:pPr>
      <w:pBdr>
        <w:left w:color="000000" w:space="15" w:sz="36" w:val="single"/>
      </w:pBdr>
      <w:spacing w:after="260" w:before="0" w:line="526" w:lineRule="exact"/>
      <w:ind w:left="380"/>
    </w:pPr>
    <w:rPr>
      <w:rFonts w:ascii="Arial Narrow" w:cs="Arial Narrow" w:eastAsia="Arial Narrow" w:hAnsi="Arial Narrow"/>
      <w:b/>
      <w:bCs/>
      <w:color w:val="000000"/>
      <w:sz w:val="48"/>
      <w:szCs w:val="4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&gt;
      <w:sz w:val="20"/>
      <w:szCs w:val="20"/>
    </w:rPr>
  </w:style>
  <w:style xmlns:m="http://schemas.openxmlformats.org/officeDocument/2006/math" w:styleId="Abstract" w:type="paragraph">
    <w:name w:val="Abstract"/>
    <w:basedOn w:val="Normal"/>
    <w:qFormat/>
    <w:pPr>
      <w:spacing w:after="0" w:before="0" w:line="200" w:lineRule="exact"/>
      <w:ind w:left="380"/>
      <w:jc w:val="both"/>
    </w:pPr>
    <w:rPr>
      <w:i/>
      <w:iCs/>
      <w:sz w:val="18"/>
      <w:szCs w:val="18"/>
    </w:rPr>
  </w:style>
  <w:style xmlns:m="http://schemas.openxmlformats.org/officeDocument/2006/math" w:styleId="Bibliography" w:type="paragraph">
    <w:name w:val="Bibliography"/>
    <w:basedOn w:val="Normal"/>
    <w:qFormat/>
    <w:pPr>
      <w:tabs>
        <w:tab w:pos="300" w:val="left"/>
      </w:tabs>
      <w:spacing w:after="0" w:before="0" w:line="190" w:lineRule="exact"/>
      <w:ind w:hanging="300" w:left="300"/>
      <w:jc w:val="both"/>
    </w:pPr>
    <w:rPr>
      <w:sz w:val="16"/>
      <w:szCs w:val="16"/>
    </w:rPr>
  </w:style>
  <w:style xmlns:m="http://schemas.openxmlformats.org/officeDocument/2006/math" w:styleId="Heading1" w:type="paragraph">
    <w:name w:val="heading 1"/>
    <w:basedOn w:val="Normal"/>
    <w:next w:val="BodyText"/>
    <w:qFormat/>
    <w:pPr>
      <w:keepNext/>
      <w:keepLines/>
      <w:spacing w:after="120" w:before="260" w:line="240" w:lineRule="exact"/>
      <w:outlineLvl w:val="0"/>
    </w:pPr>
    <w:rPr>
      <w:b/>
      <w:bCs/>
      <w:color w:val="000000"/>
      <w:sz w:val="20"/>
      <w:szCs w:val="20"/>
    </w:rPr>
  </w:style>
  <w:style xmlns:m="http://schemas.openxmlformats.org/officeDocument/2006/math" w:styleId="Heading2" w:type="paragraph">
    <w:name w:val="heading 2"/>
    <w:basedOn w:val="Normal"/>
    <w:next w:val="BodyText"/>
    <w:qFormat/>
    <w:pPr>
      <w:keepNext/>
      <w:keepLines/>
      <w:spacing w:after="0" w:before="180" w:line="200" w:lineRule="exact"/>
      <w:ind w:firstLine="200"/>
      <w:jc w:val="both"/>
      <w:outlineLvl w:val="1"/>
    </w:pPr>
    <w:rPr>
      <w:b/>
      <w:bCs/>
      <w:color w:val="000000"/>
      <w:sz w:val="18"/>
      <w:szCs w:val="18"/>
    </w:rPr>
  </w:style>
  <w:style xmlns:m="http://schemas.openxmlformats.org/officeDocument/2006/math" w:styleId="Heading3" w:type="paragraph">
    <w:name w:val="heading 3"/>
    <w:basedOn w:val="Normal"/>
    <w:next w:val="BodyText"/>
    <w:qFormat/>
    <w:pPr>
      <w:keepNext/>
      <w:spacing w:after="0" w:before="180" w:line="200" w:lineRule="exact"/>
      <w:ind w:firstLine="200"/>
      <w:outlineLvl w:val="2"/>
    </w:pPr>
    <w:rPr>
      <w:i/>
      <w:iCs/>
      <w:color w:val="000000"/>
      <w:sz w:val="18"/>
      <w:szCs w:val="18"/>
    </w:rPr>
  </w:style>
  <w:style xmlns:m="http://schemas.openxmlformats.org/officeDocument/2006/math" w:styleId="Heading4" w:type="paragraph">
    <w:name w:val="heading 4"/>
    <w:basedOn w:val="Normal"/>
    <w:next w:val="BodyText"/>
    <w:qFormat/>
    <w:pPr>
      <w:keepNext/>
      <w:spacing w:after="0" w:before="180" w:line="200" w:lineRule="exact"/>
      <w:ind w:firstLine="200"/>
      <w:outlineLvl w:val="2"/>
    </w:pPr>
    <w:rPr>
      <w:b w:val="0"/>
      <w:i/>
      <w:iCs/>
      <w:color w:val="000000"/>
      <w:sz w:val="18"/>
      <w:szCs w:val="18"/>
    </w:rPr>
  </w:style>
  <w:style w:styleId="Heading5" w:type="paragraph">
    <w:name w:val="Heading 5"/>
    <w:basedOn w:val="Normal"/>
    <w:next w:val="BodyText"/>
    <w:uiPriority w:val="9"/>
    <w:unhideWhenUsed/>
    <w:qFormat/>
    <w:pPr>
      <w:keepNext/>
      <w:keepLines/>
      <w:spacing w:after="0" w:before="200"/>
      <w:outlineLvl w:val="4"/>
    </w:pPr>
    <w:rP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xmlns:m="http://schemas.openxmlformats.org/officeDocument/2006/math" w:styleId="FootnoteText" w:type="paragraph">
    <w:name w:val="footnote text"/>
    <w:basedOn w:val="Normal"/>
    <w:qFormat/>
    <w:pPr>
      <w:spacing w:after="0" w:before="0" w:line="160" w:lineRule="exact"/>
    </w:pPr>
    <w:rPr>
      <w:sz w:val="14"/>
      <w:szCs w:val="14"/>
    </w:rPr>
  </w:style>
  <w:style w:default="1" w:styleId="DefaultParagraphFont" w:type="character">
    <w:name w:val="Default Paragraph Font"/>
    <w:semiHidden/>
    <w:unhideWhenUsed/>
  </w:style>
  <w:style xmlns:m="http://schemas.openxmlformats.org/officeDocument/2006/math" w:default="1" w:styleId="Table" w:type="table">
    <w:name w:val="Table"/>
    <w:basedOn w:val="TableNormal"/>
    <w:qFormat/>
    <w:pPr>
      <w:spacing w:after="0" w:before="0" w:line="200" w:lineRule="exact"/>
    </w:pPr>
    <w:rPr>
      <w:sz w:val="16"/>
      <w:szCs w:val="16"/>
    </w:rPr>
    <w:tblPr>
      <w:jc w:val="center"/>
      <w:tblInd w:type="dxa" w:w="0"/>
      <w:tblBorders>
        <w:top w:color="000000" w:space="0" w:sz="8" w:val="single"/>
        <w:bottom w:color="000000" w:space="0" w:sz="8" w:val="single"/>
      </w:tblBorders>
      <w:tblCellMar>
        <w:top w:type="dxa" w:w="10"/>
        <w:left w:type="dxa" w:w="80"/>
        <w:bottom w:type="dxa" w:w="10"/>
        <w:right w:type="dxa" w:w="80"/>
      </w:tblCellMar>
    </w:tblPr>
    <w:tblStylePr w:type="firstRow">
      <w:tcPr>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xmlns:m="http://schemas.openxmlformats.org/officeDocument/2006/math" w:styleId="Caption" w:type="paragraph">
    <w:name w:val="caption"/>
    <w:basedOn w:val="Normal"/>
    <w:qFormat/>
    <w:pPr>
      <w:spacing w:after="200" w:before="100" w:line="200" w:lineRule="exact"/>
      <w:jc w:val="both"/>
    </w:pPr>
    <w:rPr>
      <w:rFonts w:ascii="Arial" w:cs="Arial" w:eastAsia="Arial" w:hAnsi="Arial"/>
      <w:b/>
      <w:bCs/>
      <w:i w:val="0"/>
      <w:color w:val="000000"/>
      <w:sz w:val="16"/>
      <w:szCs w:val="16"/>
    </w:rPr>
  </w:style>
  <w:style xmlns:m="http://schemas.openxmlformats.org/officeDocument/2006/math" w:customStyle="1" w:styleId="TableCaption" w:type="paragraph">
    <w:name w:val="Table Caption"/>
    <w:basedOn w:val="Caption"/>
    <w:qFormat/>
    <w:pPr>
      <w:keepNext/>
      <w:spacing w:after="120" w:before="120" w:line="200" w:lineRule="exact"/>
    </w:pPr>
    <w:rPr/>
  </w:style>
  <w:style xmlns:m="http://schemas.openxmlformats.org/officeDocument/2006/math" w:customStyle="1" w:styleId="ImageCaption" w:type="paragraph">
    <w:name w:val="Image Caption"/>
    <w:basedOn w:val="Caption"/>
    <w:qFormat/>
    <w:pPr/>
    <w:rPr/>
  </w:style>
  <w:style xmlns:m="http://schemas.openxmlformats.org/officeDocument/2006/math" w:customStyle="1" w:styleId="Figure" w:type="paragraph">
    <w:name w:val="Figure"/>
    <w:basedOn w:val="Normal"/>
    <w:qFormat/>
    <w:pPr>
      <w:spacing w:after="0" w:before="120" w:line="240" w:lineRule="auto"/>
      <w:jc w:val="center"/>
    </w:pPr>
    <w:rPr/>
  </w:style>
  <w:style xmlns:m="http://schemas.openxmlformats.org/officeDocument/2006/math" w:customStyle="1" w:styleId="CaptionedFigure" w:type="paragraph">
    <w:name w:val="Captioned Figure"/>
    <w:basedOn w:val="Figure"/>
    <w:qFormat/>
    <w:pPr>
      <w:keepNext/>
    </w:pPr>
    <w:rPr/>
  </w:style>
  <w:style w:customStyle="1" w:styleId="BodyTextChar" w:type="character">
    <w:name w:val="Body Text Char"/>
    <w:basedOn w:val="DefaultParagraphFont"/>
    <w:link w:val="BodyText"/>
  </w:style>
  <w:style xmlns:m="http://schemas.openxmlformats.org/officeDocument/2006/math" w:customStyle="1" w:styleId="VerbatimChar" w:type="character">
    <w:name w:val="Verbatim Char"/>
    <w:rPr>
      <w:rFonts w:ascii="Consolas" w:cs="Consolas" w:eastAsia="Consolas" w:hAnsi="Consolas"/>
    </w:rPr>
  </w:style>
  <w:style w:customStyle="1" w:styleId="SectionNumber" w:type="character">
    <w:name w:val="Section Number"/>
    <w:basedOn w:val="BodyTextChar"/>
  </w:style>
  <w:style xmlns:m="http://schemas.openxmlformats.org/officeDocument/2006/math" w:styleId="FootnoteReference" w:type="character">
    <w:name w:val="footnote reference"/>
    <w:rPr>
      <w:vertAlign w:val="superscript"/>
    </w:rPr>
  </w:style>
  <w:style xmlns:m="http://schemas.openxmlformats.org/officeDocument/2006/math" w:styleId="Hyperlink" w:type="character">
    <w:name w:val="Hyperlink"/>
    <w:rPr>
      <w:color w:val="0000FF"/>
      <w:u w:val="none"/>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xmlns:m="http://schemas.openxmlformats.org/officeDocument/2006/math" w:customStyle="1" w:styleId="BodyTextContinued" w:type="paragraph">
    <w:name w:val="Body Text Continued"/>
    <w:basedOn w:val="BodyText"/>
    <w:qFormat/>
    <w:pPr>
      <w:ind w:firstLine="0"/>
    </w:pPr>
    <w:rPr/>
  </w:style>
  <w:style xmlns:m="http://schemas.openxmlformats.org/officeDocument/2006/math" w:customStyle="1" w:styleId="RuninHeading2" w:type="paragraph">
    <w:name w:val="Run-in Heading 2"/>
    <w:basedOn w:val="BodyText"/>
    <w:next w:val="BodyText"/>
    <w:qFormat/>
    <w:pPr>
      <w:spacing w:after="0" w:before="180" w:line="200" w:lineRule="exact"/>
    </w:pPr>
    <w:rPr/>
  </w:style>
  <w:style xmlns:m="http://schemas.openxmlformats.org/officeDocument/2006/math" w:customStyle="1" w:styleId="RuninHeading4" w:type="paragraph">
    <w:name w:val="Run-in Heading 4"/>
    <w:basedOn w:val="BodyText"/>
    <w:next w:val="BodyText"/>
    <w:qFormat/>
    <w:pPr>
      <w:spacing w:after="0" w:before="180" w:line="200" w:lineRule="exact"/>
    </w:pPr>
    <w:rPr/>
  </w:style>
  <w:style xmlns:m="http://schemas.openxmlformats.org/officeDocument/2006/math" w:customStyle="1" w:styleId="DraftNote" w:type="paragraph">
    <w:name w:val="Draft Note"/>
    <w:basedOn w:val="Normal"/>
    <w:qFormat/>
    <w:pPr>
      <w:pBdr>
        <w:top w:color="8E44AD" w:space="3" w:sz="4" w:val="single"/>
        <w:left w:color="8E44AD" w:space="3" w:sz="4" w:val="single"/>
        <w:bottom w:color="8E44AD" w:space="3" w:sz="4" w:val="single"/>
        <w:right w:color="8E44AD" w:space="3" w:sz="4" w:val="single"/>
      </w:pBdr>
      <w:shd w:color="auto" w:fill="F8F4FA" w:val="clear"/>
      <w:spacing w:after="280" w:before="120" w:line="190" w:lineRule="exact"/>
      <w:ind w:left="160" w:right="160"/>
      <w:jc w:val="both"/>
    </w:pPr>
    <w:rPr>
      <w:color w:val="8E44AD"/>
      <w:sz w:val="16"/>
      <w:szCs w:val="16"/>
    </w:rPr>
  </w:style>
  <w:style xmlns:m="http://schemas.openxmlformats.org/officeDocument/2006/math" w:customStyle="1" w:styleId="FigurePlaceholder" w:type="paragraph">
    <w:name w:val="Figure Placeholder"/>
    <w:basedOn w:val="Normal"/>
    <w:qFormat/>
    <w:pPr>
      <w:keepNext/>
      <w:pBdr>
        <w:top w:color="000000" w:space="12" w:sz="4" w:val="single"/>
        <w:left w:color="000000" w:space="4" w:sz="4" w:val="single"/>
        <w:bottom w:color="000000" w:space="12" w:sz="4" w:val="single"/>
        <w:right w:color="000000" w:space="4" w:sz="4" w:val="single"/>
      </w:pBdr>
      <w:spacing w:after="240" w:before="240" w:line="240" w:lineRule="auto"/>
      <w:ind w:left="240" w:right="240"/>
      <w:jc w:val="center"/>
    </w:pPr>
    <w:rPr>
      <w:i/>
      <w:iCs/>
    </w:rPr>
  </w:style>
  <w:style xmlns:m="http://schemas.openxmlformats.org/officeDocument/2006/math" w:customStyle="1" w:styleId="TableNote" w:type="paragraph">
    <w:name w:val="Table Note"/>
    <w:basedOn w:val="Normal"/>
    <w:qFormat/>
    <w:pPr>
      <w:spacing w:after="200" w:before="40" w:line="160" w:lineRule="exact"/>
      <w:jc w:val="center"/>
    </w:pPr>
    <w:rPr>
      <w:sz w:val="14"/>
      <w:szCs w:val="14"/>
    </w:rPr>
  </w:style>
  <w:style xmlns:m="http://schemas.openxmlformats.org/officeDocument/2006/math" w:customStyle="1" w:styleId="TableText" w:type="paragraph">
    <w:name w:val="Table Text"/>
    <w:basedOn w:val="Normal"/>
    <w:qFormat/>
    <w:pPr>
      <w:spacing w:after="0" w:before="0" w:line="200" w:lineRule="exact"/>
    </w:pPr>
    <w:rPr>
      <w:sz w:val="16"/>
      <w:szCs w:val="16"/>
    </w:rPr>
  </w:style>
  <w:style xmlns:m="http://schemas.openxmlformats.org/officeDocument/2006/math" w:customStyle="1" w:styleId="EquationCell" w:type="paragraph">
    <w:name w:val="Equation"/>
    <w:basedOn w:val="Normal"/>
    <w:qFormat/>
    <w:pPr>
      <w:spacing w:after="60" w:before="60" w:line="240" w:lineRule="auto"/>
      <w:jc w:val="center"/>
    </w:pPr>
    <w:rPr/>
  </w:style>
  <w:style xmlns:m="http://schemas.openxmlformats.org/officeDocument/2006/math" w:customStyle="1" w:styleId="Keywords" w:type="paragraph">
    <w:name w:val="Keywords"/>
    <w:basedOn w:val="Normal"/>
    <w:qFormat/>
    <w:pPr>
      <w:spacing w:after="0" w:before="200" w:line="200" w:lineRule="exact"/>
      <w:ind w:left="380"/>
      <w:jc w:val="both"/>
    </w:pPr>
    <w:rPr>
      <w:i/>
      <w:iCs/>
      <w:sz w:val="18"/>
      <w:szCs w:val="18"/>
    </w:rPr>
  </w:style>
  <w:style xmlns:m="http://schemas.openxmlformats.org/officeDocument/2006/math" w:customStyle="1" w:styleId="AuthorName" w:type="paragraph">
    <w:name w:val="Author Name"/>
    <w:basedOn w:val="Normal"/>
    <w:qFormat/>
    <w:pPr>
      <w:keepNext/>
      <w:spacing w:after="20" w:before="0" w:line="260" w:lineRule="exact"/>
      <w:jc w:val="right"/>
    </w:pPr>
    <w:rPr>
      <w:rFonts w:ascii="Arial Narrow" w:cs="Arial Narrow" w:eastAsia="Arial Narrow" w:hAnsi="Arial Narrow"/>
      <w:b/>
      <w:bCs/>
      <w:sz w:val="25"/>
      <w:szCs w:val="25"/>
    </w:rPr>
  </w:style>
  <w:style xmlns:m="http://schemas.openxmlformats.org/officeDocument/2006/math" w:customStyle="1" w:styleId="AuthorAffiliation" w:type="paragraph">
    <w:name w:val="Author Affiliation"/>
    <w:basedOn w:val="Normal"/>
    <w:qFormat/>
    <w:pPr>
      <w:spacing w:after="320" w:before="0" w:line="200" w:lineRule="exact"/>
      <w:jc w:val="right"/>
    </w:pPr>
    <w:rPr>
      <w:rFonts w:ascii="Arial Narrow" w:cs="Arial Narrow" w:eastAsia="Arial Narrow" w:hAnsi="Arial Narrow"/>
      <w:sz w:val="16"/>
      <w:szCs w:val="16"/>
    </w:rPr>
  </w:style>
  <w:style xmlns:m="http://schemas.openxmlformats.org/officeDocument/2006/math" w:styleId="Footer" w:type="paragraph">
    <w:name w:val="footer"/>
    <w:basedOn w:val="Normal"/>
    <w:qFormat/>
    <w:pPr>
      <w:tabs>
        <w:tab w:pos="9840" w:val="right"/>
      </w:tabs>
    </w:pPr>
    <w:rPr>
      <w:rFonts w:ascii="Arial" w:cs="Arial" w:eastAsia="Arial" w:hAnsi="Arial"/>
      <w:sz w:val="18"/>
      <w:szCs w:val="18"/>
    </w:rPr>
  </w:style>
  <w:style xmlns:m="http://schemas.openxmlformats.org/officeDocument/2006/math" w:customStyle="1" w:styleId="ListHeading" w:type="paragraph">
    <w:name w:val="List of Figures Heading"/>
    <w:basedOn w:val="Heading1"/>
    <w:qFormat/>
    <w:pPr>
      <w:spacing w:after="160" w:before="240"/>
      <w:outlineLvl w:val="9"/>
    </w:pPr>
    <w:rPr/>
  </w:style>
  <w:style xmlns:m="http://schemas.openxmlformats.org/officeDocument/2006/math" w:styleId="TableofFigures" w:type="paragraph">
    <w:name w:val="table of figures"/>
    <w:basedOn w:val="Normal"/>
    <w:qFormat/>
    <w:pPr>
      <w:tabs>
        <w:tab w:pos="560" w:val="left"/>
        <w:tab w:leader="dot" w:pos="9840" w:val="right"/>
      </w:tabs>
      <w:spacing w:after="60" w:before="0" w:line="220" w:lineRule="exact"/>
      <w:ind w:hanging="400" w:left="560" w:right="400"/>
      <w:jc w:val="both"/>
    </w:pPr>
    <w:rPr>
      <w:sz w:val="18"/>
      <w:szCs w:val="18"/>
    </w:rPr>
  </w:style>
  <w:style xmlns:m="http://schemas.openxmlformats.org/officeDocument/2006/math" w:customStyle="1" w:styleId="SectionBreak" w:type="paragraph">
    <w:name w:val="Section Break"/>
    <w:basedOn w:val="Normal"/>
    <w:qFormat/>
    <w:pPr>
      <w:spacing w:after="0" w:before="0" w:line="20" w:lineRule="exact"/>
    </w:pPr>
    <w:rPr>
      <w:sz w:val="2"/>
      <w:szCs w:val="2"/>
    </w:rPr>
  </w:style>
  <w:style xmlns:m="http://schemas.openxmlformats.org/officeDocument/2006/math" w:customStyle="1" w:styleId="PlaceholderText" w:type="character">
    <w:name w:val="Placeholder Text"/>
    <w:rPr>
      <w:color w:val="8E44AD"/>
    </w:rPr>
  </w:style>
  <w:style xmlns:m="http://schemas.openxmlformats.org/officeDocument/2006/math" w:styleId="LineNumber" w:type="character">
    <w:name w:val="line number"/>
    <w:rPr>
      <w:rFonts w:ascii="Times New Roman" w:cs="Times New Roman" w:eastAsia="Times New Roman" w:hAnsi="Times New Roman"/>
      <w:color w:val="FF0000"/>
      <w:sz w:val="14"/>
      <w:szCs w:val="1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image" Target="media/rId61.png"/><Relationship Id="rId48" Type="http://schemas.openxmlformats.org/officeDocument/2006/relationships/image" Target="media/rId48.png"/><Relationship Id="rId54" Type="http://schemas.openxmlformats.org/officeDocument/2006/relationships/image" Target="media/rId54.png"/><Relationship Id="rId65" Type="http://schemas.openxmlformats.org/officeDocument/2006/relationships/image" Target="media/rId65.png"/><Relationship Id="rId57" Type="http://schemas.openxmlformats.org/officeDocument/2006/relationships/image" Target="media/rId57.png"/><Relationship Id="rId68" Type="http://schemas.openxmlformats.org/officeDocument/2006/relationships/image" Target="media/rId68.png"/><Relationship Id="rId20" Type="http://schemas.openxmlformats.org/officeDocument/2006/relationships/image" Target="media/rId20.png"/><Relationship Id="rId28" Type="http://schemas.openxmlformats.org/officeDocument/2006/relationships/image" Target="media/rId28.png"/><Relationship Id="rId36" Type="http://schemas.openxmlformats.org/officeDocument/2006/relationships/image" Target="media/rId36.png"/><Relationship Id="rId31" Type="http://schemas.openxmlformats.org/officeDocument/2006/relationships/image" Target="media/rId31.png"/><Relationship Id="rId150" Type="http://schemas.openxmlformats.org/officeDocument/2006/relationships/hyperlink" Target="https://arxiv.org/abs/1807.02811" TargetMode="External"/><Relationship Id="rId96" Type="http://schemas.openxmlformats.org/officeDocument/2006/relationships/hyperlink" Target="https://arxiv.org/abs/1812.06855" TargetMode="External"/><Relationship Id="rId183" Type="http://schemas.openxmlformats.org/officeDocument/2006/relationships/hyperlink" Target="https://arxiv.org/abs/1910.01739" TargetMode="External"/><Relationship Id="rId107" Type="http://schemas.openxmlformats.org/officeDocument/2006/relationships/hyperlink" Target="https://arxiv.org/abs/1910.06403" TargetMode="External"/><Relationship Id="rId153" Type="http://schemas.openxmlformats.org/officeDocument/2006/relationships/hyperlink" Target="https://arxiv.org/abs/2105.08195" TargetMode="External"/><Relationship Id="rId155" Type="http://schemas.openxmlformats.org/officeDocument/2006/relationships/hyperlink" Target="https://arxiv.org/abs/2202.07549" TargetMode="External"/><Relationship Id="rId98" Type="http://schemas.openxmlformats.org/officeDocument/2006/relationships/hyperlink" Target="https://arxiv.org/abs/2310.18288" TargetMode="External"/><Relationship Id="rId130" Type="http://schemas.openxmlformats.org/officeDocument/2006/relationships/hyperlink" Target="https://doi.org/10.1002/adma.202005647" TargetMode="External"/><Relationship Id="rId113" Type="http://schemas.openxmlformats.org/officeDocument/2006/relationships/hyperlink" Target="https://doi.org/10.1002/adma.202300639" TargetMode="External"/><Relationship Id="rId189" Type="http://schemas.openxmlformats.org/officeDocument/2006/relationships/hyperlink" Target="https://doi.org/10.1002/pmrj.12514" TargetMode="External"/><Relationship Id="rId181" Type="http://schemas.openxmlformats.org/officeDocument/2006/relationships/hyperlink" Target="https://doi.org/10.1006/jcom.1998.0487" TargetMode="External"/><Relationship Id="rId74" Type="http://schemas.openxmlformats.org/officeDocument/2006/relationships/hyperlink" Target="https://doi.org/10.1007/978-0-387-74242-7" TargetMode="External"/><Relationship Id="rId136" Type="http://schemas.openxmlformats.org/officeDocument/2006/relationships/hyperlink" Target="https://doi.org/10.1007/s40964-022-00295-6" TargetMode="External"/><Relationship Id="rId179" Type="http://schemas.openxmlformats.org/officeDocument/2006/relationships/hyperlink" Target="https://doi.org/10.1016/0041-5553(67)90144-9" TargetMode="External"/><Relationship Id="rId76" Type="http://schemas.openxmlformats.org/officeDocument/2006/relationships/hyperlink" Target="https://doi.org/10.1016/S0065-2156(09)43002-3" TargetMode="External"/><Relationship Id="rId171" Type="http://schemas.openxmlformats.org/officeDocument/2006/relationships/hyperlink" Target="https://doi.org/10.1016/S0734-743X(00)00060-9" TargetMode="External"/><Relationship Id="rId122" Type="http://schemas.openxmlformats.org/officeDocument/2006/relationships/hyperlink" Target="https://doi.org/10.1016/j.addma.2022.102946" TargetMode="External"/><Relationship Id="rId128" Type="http://schemas.openxmlformats.org/officeDocument/2006/relationships/hyperlink" Target="https://doi.org/10.1016/j.addma.2026.105107" TargetMode="External"/><Relationship Id="rId195" Type="http://schemas.openxmlformats.org/officeDocument/2006/relationships/hyperlink" Target="https://doi.org/10.1016/j.apmr.2007.05.026" TargetMode="External"/><Relationship Id="rId167" Type="http://schemas.openxmlformats.org/officeDocument/2006/relationships/hyperlink" Target="https://doi.org/10.1016/j.compstruc.2014.01.020" TargetMode="External"/><Relationship Id="rId78" Type="http://schemas.openxmlformats.org/officeDocument/2006/relationships/hyperlink" Target="https://doi.org/10.1016/j.compstruct.2014.06.022" TargetMode="External"/><Relationship Id="rId132" Type="http://schemas.openxmlformats.org/officeDocument/2006/relationships/hyperlink" Target="https://doi.org/10.1016/j.eml.2021.101236" TargetMode="External"/><Relationship Id="rId126" Type="http://schemas.openxmlformats.org/officeDocument/2006/relationships/hyperlink" Target="https://doi.org/10.1016/j.ijimpeng.2024.105208" TargetMode="External"/><Relationship Id="rId82" Type="http://schemas.openxmlformats.org/officeDocument/2006/relationships/hyperlink" Target="https://doi.org/10.1016/j.ijsolstr.2015.03.024" TargetMode="External"/><Relationship Id="rId124" Type="http://schemas.openxmlformats.org/officeDocument/2006/relationships/hyperlink" Target="https://doi.org/10.1016/j.ijsolstr.2025.113590" TargetMode="External"/><Relationship Id="rId187" Type="http://schemas.openxmlformats.org/officeDocument/2006/relationships/hyperlink" Target="https://doi.org/10.1016/j.jbiomech.2019.109489" TargetMode="External"/><Relationship Id="rId173" Type="http://schemas.openxmlformats.org/officeDocument/2006/relationships/hyperlink" Target="https://doi.org/10.1016/j.jmps.2005.05.007" TargetMode="External"/><Relationship Id="rId193" Type="http://schemas.openxmlformats.org/officeDocument/2006/relationships/hyperlink" Target="https://doi.org/10.1016/j.jstrokecerebrovasdis.2015.04.022" TargetMode="External"/><Relationship Id="rId90" Type="http://schemas.openxmlformats.org/officeDocument/2006/relationships/hyperlink" Target="https://doi.org/10.1016/j.matdes.2019.107966" TargetMode="External"/><Relationship Id="rId142" Type="http://schemas.openxmlformats.org/officeDocument/2006/relationships/hyperlink" Target="https://doi.org/10.1016/j.matdes.2022.110613" TargetMode="External"/><Relationship Id="rId185" Type="http://schemas.openxmlformats.org/officeDocument/2006/relationships/hyperlink" Target="https://doi.org/10.1016/j.medengphy.2004.08.008" TargetMode="External"/><Relationship Id="rId199" Type="http://schemas.openxmlformats.org/officeDocument/2006/relationships/hyperlink" Target="https://doi.org/10.1016/j.medengphy.2015.12.010" TargetMode="External"/><Relationship Id="rId175" Type="http://schemas.openxmlformats.org/officeDocument/2006/relationships/hyperlink" Target="https://doi.org/10.1016/j.mseb.2010.08.006" TargetMode="External"/><Relationship Id="rId161" Type="http://schemas.openxmlformats.org/officeDocument/2006/relationships/hyperlink" Target="https://doi.org/10.1016/j.neucom.2019.11.004" TargetMode="External"/><Relationship Id="rId138" Type="http://schemas.openxmlformats.org/officeDocument/2006/relationships/hyperlink" Target="https://doi.org/10.1016/j.prostr.2018.06.007" TargetMode="External"/><Relationship Id="rId169" Type="http://schemas.openxmlformats.org/officeDocument/2006/relationships/hyperlink" Target="https://doi.org/10.1017/CBO9781139878326" TargetMode="External"/><Relationship Id="rId92" Type="http://schemas.openxmlformats.org/officeDocument/2006/relationships/hyperlink" Target="https://doi.org/10.1038/s41467-023-37343-w" TargetMode="External"/><Relationship Id="rId157" Type="http://schemas.openxmlformats.org/officeDocument/2006/relationships/hyperlink" Target="https://doi.org/10.1038/s41524-024-01274-x" TargetMode="External"/><Relationship Id="rId118" Type="http://schemas.openxmlformats.org/officeDocument/2006/relationships/hyperlink" Target="https://doi.org/10.1061/(ASCE)AS.1943-5525.0000357" TargetMode="External"/><Relationship Id="rId102" Type="http://schemas.openxmlformats.org/officeDocument/2006/relationships/hyperlink" Target="https://doi.org/10.1061/JENMDT.EMENG-7033" TargetMode="External"/><Relationship Id="rId80" Type="http://schemas.openxmlformats.org/officeDocument/2006/relationships/hyperlink" Target="https://doi.org/10.1063/1.5040850" TargetMode="External"/><Relationship Id="rId197" Type="http://schemas.openxmlformats.org/officeDocument/2006/relationships/hyperlink" Target="https://doi.org/10.1080/10400435.2011.614676" TargetMode="External"/><Relationship Id="rId191" Type="http://schemas.openxmlformats.org/officeDocument/2006/relationships/hyperlink" Target="https://doi.org/10.1080/10400435.2020.1819914" TargetMode="External"/><Relationship Id="rId120" Type="http://schemas.openxmlformats.org/officeDocument/2006/relationships/hyperlink" Target="https://doi.org/10.1088/2053-1591/aaf78c" TargetMode="External"/><Relationship Id="rId94" Type="http://schemas.openxmlformats.org/officeDocument/2006/relationships/hyperlink" Target="https://doi.org/10.1089/3dp.2022.0196" TargetMode="External"/><Relationship Id="rId163" Type="http://schemas.openxmlformats.org/officeDocument/2006/relationships/hyperlink" Target="https://doi.org/10.1098/rspa.2016.0751" TargetMode="External"/><Relationship Id="rId140" Type="http://schemas.openxmlformats.org/officeDocument/2006/relationships/hyperlink" Target="https://doi.org/10.1108/rpj-11-2019-0300" TargetMode="External"/><Relationship Id="rId148" Type="http://schemas.openxmlformats.org/officeDocument/2006/relationships/hyperlink" Target="https://doi.org/10.1109/JPROC.2015.2494218" TargetMode="External"/><Relationship Id="rId165" Type="http://schemas.openxmlformats.org/officeDocument/2006/relationships/hyperlink" Target="https://doi.org/10.1119/1.10904" TargetMode="External"/><Relationship Id="rId100" Type="http://schemas.openxmlformats.org/officeDocument/2006/relationships/hyperlink" Target="https://doi.org/10.1126/science.adk9227" TargetMode="External"/><Relationship Id="rId146" Type="http://schemas.openxmlformats.org/officeDocument/2006/relationships/hyperlink" Target="https://doi.org/10.1186/s40691-026-00466-x" TargetMode="External"/><Relationship Id="rId202" Type="http://schemas.openxmlformats.org/officeDocument/2006/relationships/hyperlink" Target="https://doi.org/10.1371/journal.pone.0318987" TargetMode="External"/><Relationship Id="rId134" Type="http://schemas.openxmlformats.org/officeDocument/2006/relationships/hyperlink" Target="https://doi.org/10.24425/ace.2024.150987" TargetMode="External"/><Relationship Id="rId115" Type="http://schemas.openxmlformats.org/officeDocument/2006/relationships/hyperlink" Target="https://doi.org/10.2514/3.28743" TargetMode="External"/><Relationship Id="rId206" Type="http://schemas.openxmlformats.org/officeDocument/2006/relationships/hyperlink" Target="https://doi.org/10.3390/app14125291" TargetMode="External"/><Relationship Id="rId208" Type="http://schemas.openxmlformats.org/officeDocument/2006/relationships/hyperlink" Target="https://doi.org/10.3390/mi16010030" TargetMode="External"/><Relationship Id="rId144" Type="http://schemas.openxmlformats.org/officeDocument/2006/relationships/hyperlink" Target="https://doi.org/10.3390/polym18091019" TargetMode="External"/><Relationship Id="rId204" Type="http://schemas.openxmlformats.org/officeDocument/2006/relationships/hyperlink" Target="https://doi.org/10.3993/jfbim03231" TargetMode="External"/><Relationship Id="rId104" Type="http://schemas.openxmlformats.org/officeDocument/2006/relationships/hyperlink" Target="https://doi.org/10.48550/arXiv.2107.12809" TargetMode="External"/><Relationship Id="rId111" Type="http://schemas.openxmlformats.org/officeDocument/2006/relationships/hyperlink" Target="https://proceedings.mlr.press/v161/eriksson21a.html" TargetMode="External"/><Relationship Id="rId109" Type="http://schemas.openxmlformats.org/officeDocument/2006/relationships/hyperlink" Target="https://proceedings.mlr.press/v293/olson25a.html" TargetMode="External"/><Relationship Id="rId159" Type="http://schemas.openxmlformats.org/officeDocument/2006/relationships/hyperlink" Target="https://proceedings.mlr.press/v80/baptista18a.html" TargetMode="External"/><Relationship Id="rId177" Type="http://schemas.openxmlformats.org/officeDocument/2006/relationships/hyperlink" Target="https://www.iso.org/standard/27298.html" TargetMode="External"/><Relationship Id="rId84" Type="http://schemas.openxmlformats.org/officeDocument/2006/relationships/hyperlink" Target="https://www.nasa.gov/general/super-ball-bot/" TargetMode="External"/><Relationship Id="rId9" Type="http://schemas.openxmlformats.org/officeDocument/2006/relationships/footer" Target="footer1.xml"/><Relationship Id="rId10" Type="http://schemas.openxmlformats.org/officeDocument/2006/relationships/footer" Target="footer2.xml"/></Relationships>
</file>

<file path=word/_rels/footnotes.xml.rels><?xml version='1.0' encoding='UTF-8' standalone='yes'?>
<Relationships xmlns="http://schemas.openxmlformats.org/package/2006/relationships"><Relationship Id="rId150" Type="http://schemas.openxmlformats.org/officeDocument/2006/relationships/hyperlink" Target="https://arxiv.org/abs/1807.02811" TargetMode="External"/><Relationship Id="rId96" Type="http://schemas.openxmlformats.org/officeDocument/2006/relationships/hyperlink" Target="https://arxiv.org/abs/1812.06855" TargetMode="External"/><Relationship Id="rId183" Type="http://schemas.openxmlformats.org/officeDocument/2006/relationships/hyperlink" Target="https://arxiv.org/abs/1910.01739" TargetMode="External"/><Relationship Id="rId107" Type="http://schemas.openxmlformats.org/officeDocument/2006/relationships/hyperlink" Target="https://arxiv.org/abs/1910.06403" TargetMode="External"/><Relationship Id="rId153" Type="http://schemas.openxmlformats.org/officeDocument/2006/relationships/hyperlink" Target="https://arxiv.org/abs/2105.08195" TargetMode="External"/><Relationship Id="rId155" Type="http://schemas.openxmlformats.org/officeDocument/2006/relationships/hyperlink" Target="https://arxiv.org/abs/2202.07549" TargetMode="External"/><Relationship Id="rId98" Type="http://schemas.openxmlformats.org/officeDocument/2006/relationships/hyperlink" Target="https://arxiv.org/abs/2310.18288" TargetMode="External"/><Relationship Id="rId130" Type="http://schemas.openxmlformats.org/officeDocument/2006/relationships/hyperlink" Target="https://doi.org/10.1002/adma.202005647" TargetMode="External"/><Relationship Id="rId113" Type="http://schemas.openxmlformats.org/officeDocument/2006/relationships/hyperlink" Target="https://doi.org/10.1002/adma.202300639" TargetMode="External"/><Relationship Id="rId189" Type="http://schemas.openxmlformats.org/officeDocument/2006/relationships/hyperlink" Target="https://doi.org/10.1002/pmrj.12514" TargetMode="External"/><Relationship Id="rId181" Type="http://schemas.openxmlformats.org/officeDocument/2006/relationships/hyperlink" Target="https://doi.org/10.1006/jcom.1998.0487" TargetMode="External"/><Relationship Id="rId74" Type="http://schemas.openxmlformats.org/officeDocument/2006/relationships/hyperlink" Target="https://doi.org/10.1007/978-0-387-74242-7" TargetMode="External"/><Relationship Id="rId136" Type="http://schemas.openxmlformats.org/officeDocument/2006/relationships/hyperlink" Target="https://doi.org/10.1007/s40964-022-00295-6" TargetMode="External"/><Relationship Id="rId179" Type="http://schemas.openxmlformats.org/officeDocument/2006/relationships/hyperlink" Target="https://doi.org/10.1016/0041-5553(67)90144-9" TargetMode="External"/><Relationship Id="rId76" Type="http://schemas.openxmlformats.org/officeDocument/2006/relationships/hyperlink" Target="https://doi.org/10.1016/S0065-2156(09)43002-3" TargetMode="External"/><Relationship Id="rId171" Type="http://schemas.openxmlformats.org/officeDocument/2006/relationships/hyperlink" Target="https://doi.org/10.1016/S0734-743X(00)00060-9" TargetMode="External"/><Relationship Id="rId122" Type="http://schemas.openxmlformats.org/officeDocument/2006/relationships/hyperlink" Target="https://doi.org/10.1016/j.addma.2022.102946" TargetMode="External"/><Relationship Id="rId128" Type="http://schemas.openxmlformats.org/officeDocument/2006/relationships/hyperlink" Target="https://doi.org/10.1016/j.addma.2026.105107" TargetMode="External"/><Relationship Id="rId195" Type="http://schemas.openxmlformats.org/officeDocument/2006/relationships/hyperlink" Target="https://doi.org/10.1016/j.apmr.2007.05.026" TargetMode="External"/><Relationship Id="rId167" Type="http://schemas.openxmlformats.org/officeDocument/2006/relationships/hyperlink" Target="https://doi.org/10.1016/j.compstruc.2014.01.020" TargetMode="External"/><Relationship Id="rId78" Type="http://schemas.openxmlformats.org/officeDocument/2006/relationships/hyperlink" Target="https://doi.org/10.1016/j.compstruct.2014.06.022" TargetMode="External"/><Relationship Id="rId132" Type="http://schemas.openxmlformats.org/officeDocument/2006/relationships/hyperlink" Target="https://doi.org/10.1016/j.eml.2021.101236" TargetMode="External"/><Relationship Id="rId126" Type="http://schemas.openxmlformats.org/officeDocument/2006/relationships/hyperlink" Target="https://doi.org/10.1016/j.ijimpeng.2024.105208" TargetMode="External"/><Relationship Id="rId82" Type="http://schemas.openxmlformats.org/officeDocument/2006/relationships/hyperlink" Target="https://doi.org/10.1016/j.ijsolstr.2015.03.024" TargetMode="External"/><Relationship Id="rId124" Type="http://schemas.openxmlformats.org/officeDocument/2006/relationships/hyperlink" Target="https://doi.org/10.1016/j.ijsolstr.2025.113590" TargetMode="External"/><Relationship Id="rId187" Type="http://schemas.openxmlformats.org/officeDocument/2006/relationships/hyperlink" Target="https://doi.org/10.1016/j.jbiomech.2019.109489" TargetMode="External"/><Relationship Id="rId173" Type="http://schemas.openxmlformats.org/officeDocument/2006/relationships/hyperlink" Target="https://doi.org/10.1016/j.jmps.2005.05.007" TargetMode="External"/><Relationship Id="rId193" Type="http://schemas.openxmlformats.org/officeDocument/2006/relationships/hyperlink" Target="https://doi.org/10.1016/j.jstrokecerebrovasdis.2015.04.022" TargetMode="External"/><Relationship Id="rId90" Type="http://schemas.openxmlformats.org/officeDocument/2006/relationships/hyperlink" Target="https://doi.org/10.1016/j.matdes.2019.107966" TargetMode="External"/><Relationship Id="rId142" Type="http://schemas.openxmlformats.org/officeDocument/2006/relationships/hyperlink" Target="https://doi.org/10.1016/j.matdes.2022.110613" TargetMode="External"/><Relationship Id="rId185" Type="http://schemas.openxmlformats.org/officeDocument/2006/relationships/hyperlink" Target="https://doi.org/10.1016/j.medengphy.2004.08.008" TargetMode="External"/><Relationship Id="rId199" Type="http://schemas.openxmlformats.org/officeDocument/2006/relationships/hyperlink" Target="https://doi.org/10.1016/j.medengphy.2015.12.010" TargetMode="External"/><Relationship Id="rId175" Type="http://schemas.openxmlformats.org/officeDocument/2006/relationships/hyperlink" Target="https://doi.org/10.1016/j.mseb.2010.08.006" TargetMode="External"/><Relationship Id="rId161" Type="http://schemas.openxmlformats.org/officeDocument/2006/relationships/hyperlink" Target="https://doi.org/10.1016/j.neucom.2019.11.004" TargetMode="External"/><Relationship Id="rId138" Type="http://schemas.openxmlformats.org/officeDocument/2006/relationships/hyperlink" Target="https://doi.org/10.1016/j.prostr.2018.06.007" TargetMode="External"/><Relationship Id="rId169" Type="http://schemas.openxmlformats.org/officeDocument/2006/relationships/hyperlink" Target="https://doi.org/10.1017/CBO9781139878326" TargetMode="External"/><Relationship Id="rId92" Type="http://schemas.openxmlformats.org/officeDocument/2006/relationships/hyperlink" Target="https://doi.org/10.1038/s41467-023-37343-w" TargetMode="External"/><Relationship Id="rId157" Type="http://schemas.openxmlformats.org/officeDocument/2006/relationships/hyperlink" Target="https://doi.org/10.1038/s41524-024-01274-x" TargetMode="External"/><Relationship Id="rId118" Type="http://schemas.openxmlformats.org/officeDocument/2006/relationships/hyperlink" Target="https://doi.org/10.1061/(ASCE)AS.1943-5525.0000357" TargetMode="External"/><Relationship Id="rId102" Type="http://schemas.openxmlformats.org/officeDocument/2006/relationships/hyperlink" Target="https://doi.org/10.1061/JENMDT.EMENG-7033" TargetMode="External"/><Relationship Id="rId80" Type="http://schemas.openxmlformats.org/officeDocument/2006/relationships/hyperlink" Target="https://doi.org/10.1063/1.5040850" TargetMode="External"/><Relationship Id="rId197" Type="http://schemas.openxmlformats.org/officeDocument/2006/relationships/hyperlink" Target="https://doi.org/10.1080/10400435.2011.614676" TargetMode="External"/><Relationship Id="rId191" Type="http://schemas.openxmlformats.org/officeDocument/2006/relationships/hyperlink" Target="https://doi.org/10.1080/10400435.2020.1819914" TargetMode="External"/><Relationship Id="rId120" Type="http://schemas.openxmlformats.org/officeDocument/2006/relationships/hyperlink" Target="https://doi.org/10.1088/2053-1591/aaf78c" TargetMode="External"/><Relationship Id="rId94" Type="http://schemas.openxmlformats.org/officeDocument/2006/relationships/hyperlink" Target="https://doi.org/10.1089/3dp.2022.0196" TargetMode="External"/><Relationship Id="rId163" Type="http://schemas.openxmlformats.org/officeDocument/2006/relationships/hyperlink" Target="https://doi.org/10.1098/rspa.2016.0751" TargetMode="External"/><Relationship Id="rId140" Type="http://schemas.openxmlformats.org/officeDocument/2006/relationships/hyperlink" Target="https://doi.org/10.1108/rpj-11-2019-0300" TargetMode="External"/><Relationship Id="rId148" Type="http://schemas.openxmlformats.org/officeDocument/2006/relationships/hyperlink" Target="https://doi.org/10.1109/JPROC.2015.2494218" TargetMode="External"/><Relationship Id="rId165" Type="http://schemas.openxmlformats.org/officeDocument/2006/relationships/hyperlink" Target="https://doi.org/10.1119/1.10904" TargetMode="External"/><Relationship Id="rId100" Type="http://schemas.openxmlformats.org/officeDocument/2006/relationships/hyperlink" Target="https://doi.org/10.1126/science.adk9227" TargetMode="External"/><Relationship Id="rId146" Type="http://schemas.openxmlformats.org/officeDocument/2006/relationships/hyperlink" Target="https://doi.org/10.1186/s40691-026-00466-x" TargetMode="External"/><Relationship Id="rId202" Type="http://schemas.openxmlformats.org/officeDocument/2006/relationships/hyperlink" Target="https://doi.org/10.1371/journal.pone.0318987" TargetMode="External"/><Relationship Id="rId134" Type="http://schemas.openxmlformats.org/officeDocument/2006/relationships/hyperlink" Target="https://doi.org/10.24425/ace.2024.150987" TargetMode="External"/><Relationship Id="rId115" Type="http://schemas.openxmlformats.org/officeDocument/2006/relationships/hyperlink" Target="https://doi.org/10.2514/3.28743" TargetMode="External"/><Relationship Id="rId206" Type="http://schemas.openxmlformats.org/officeDocument/2006/relationships/hyperlink" Target="https://doi.org/10.3390/app14125291" TargetMode="External"/><Relationship Id="rId208" Type="http://schemas.openxmlformats.org/officeDocument/2006/relationships/hyperlink" Target="https://doi.org/10.3390/mi16010030" TargetMode="External"/><Relationship Id="rId144" Type="http://schemas.openxmlformats.org/officeDocument/2006/relationships/hyperlink" Target="https://doi.org/10.3390/polym18091019" TargetMode="External"/><Relationship Id="rId204" Type="http://schemas.openxmlformats.org/officeDocument/2006/relationships/hyperlink" Target="https://doi.org/10.3993/jfbim03231" TargetMode="External"/><Relationship Id="rId104" Type="http://schemas.openxmlformats.org/officeDocument/2006/relationships/hyperlink" Target="https://doi.org/10.48550/arXiv.2107.12809" TargetMode="External"/><Relationship Id="rId111" Type="http://schemas.openxmlformats.org/officeDocument/2006/relationships/hyperlink" Target="https://proceedings.mlr.press/v161/eriksson21a.html" TargetMode="External"/><Relationship Id="rId109" Type="http://schemas.openxmlformats.org/officeDocument/2006/relationships/hyperlink" Target="https://proceedings.mlr.press/v293/olson25a.html" TargetMode="External"/><Relationship Id="rId159" Type="http://schemas.openxmlformats.org/officeDocument/2006/relationships/hyperlink" Target="https://proceedings.mlr.press/v80/baptista18a.html" TargetMode="External"/><Relationship Id="rId177" Type="http://schemas.openxmlformats.org/officeDocument/2006/relationships/hyperlink" Target="https://www.iso.org/standard/27298.html" TargetMode="External"/><Relationship Id="rId84" Type="http://schemas.openxmlformats.org/officeDocument/2006/relationships/hyperlink" Target="https://www.nasa.gov/general/super-ball-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Experiment-Driven Bayesian Optimization of the Impact Response of Multi-Material 3D-Printed Tensegrity-Inspired Structures</dc:title>
  <dc:creator>Marcus E. Madsen; Audrey K. Christiansen; Jinkwan Han; Jeffrey R. Hill; Sterling G. Baird</dc:creator>
  <cp:keywords>tensegrity, multi-material 3D printing, Bayesian optimization, impact mitigation, design of experiments</cp:keywords>
  <dcterms:created xsi:type="dcterms:W3CDTF">2026-10-24T20:02:11Z</dcterms:created>
  <dcterms:modified xsi:type="dcterms:W3CDTF">2026-10-24T20:02:11Z</dcterms:modified>
  <dc:subject>Manuscript draft for ASME Journal of Mechanical Design</dc:subject>
  <dc:description>Generated from manuscript.tex by scripts/docx/build_manuscript_docx.py</dc:description>
</cp:coreProperties>
</file>

<file path=docProps/custom.xml><?xml version="1.0" encoding="utf-8"?>
<Properties xmlns="http://schemas.openxmlformats.org/officeDocument/2006/custom-properties" xmlns:vt="http://schemas.openxmlformats.org/officeDocument/2006/docPropsVTypes"/>
</file>