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E49ED" w14:textId="77777777" w:rsidR="007D4FA4" w:rsidRPr="007D4FA4" w:rsidRDefault="007D4FA4" w:rsidP="007D4FA4">
      <w:pPr>
        <w:rPr>
          <w:b/>
          <w:bCs/>
        </w:rPr>
      </w:pPr>
      <w:r w:rsidRPr="007D4FA4">
        <w:rPr>
          <w:b/>
          <w:bCs/>
        </w:rPr>
        <w:t>Introducción:</w:t>
      </w:r>
    </w:p>
    <w:p w14:paraId="48A6E6D5" w14:textId="77777777" w:rsidR="007D4FA4" w:rsidRPr="007D4FA4" w:rsidRDefault="007D4FA4" w:rsidP="007D4FA4">
      <w:r w:rsidRPr="007D4FA4">
        <w:t>El punto de ebullición del agua disminuye a medida que aumenta la altitud debido a la menor presión atmosférica. Esta relación puede modelarse mediante ecuaciones y aproximaciones numéricas, como las diferencias divididas, que ayudan a predecir valores intermedios en experimentos de interpolación. Este informe combina estos dos conceptos y proporciona un análisis detallado de los datos obtenidos.</w:t>
      </w:r>
    </w:p>
    <w:p w14:paraId="45F25C22" w14:textId="77777777" w:rsidR="007D4FA4" w:rsidRPr="007D4FA4" w:rsidRDefault="00642720" w:rsidP="007D4FA4">
      <w:r>
        <w:pict w14:anchorId="60C9C959">
          <v:rect id="_x0000_i1025" style="width:0;height:1.5pt" o:hralign="center" o:hrstd="t" o:hr="t" fillcolor="#a0a0a0" stroked="f"/>
        </w:pict>
      </w:r>
    </w:p>
    <w:p w14:paraId="7DC56D9F" w14:textId="77777777" w:rsidR="007D4FA4" w:rsidRPr="007D4FA4" w:rsidRDefault="007D4FA4" w:rsidP="007D4FA4">
      <w:pPr>
        <w:rPr>
          <w:b/>
          <w:bCs/>
        </w:rPr>
      </w:pPr>
      <w:r w:rsidRPr="007D4FA4">
        <w:rPr>
          <w:b/>
          <w:bCs/>
        </w:rPr>
        <w:t>Métodos:</w:t>
      </w:r>
    </w:p>
    <w:p w14:paraId="1A0B74D6" w14:textId="77777777" w:rsidR="007D4FA4" w:rsidRPr="007D4FA4" w:rsidRDefault="007D4FA4" w:rsidP="007D4FA4">
      <w:pPr>
        <w:rPr>
          <w:b/>
          <w:bCs/>
        </w:rPr>
      </w:pPr>
      <w:r w:rsidRPr="007D4FA4">
        <w:rPr>
          <w:b/>
          <w:bCs/>
        </w:rPr>
        <w:t>1. Datos Experimentales de Altitud y Temperatura:</w:t>
      </w:r>
    </w:p>
    <w:p w14:paraId="448DE3D3" w14:textId="77777777" w:rsidR="007D4FA4" w:rsidRPr="007D4FA4" w:rsidRDefault="007D4FA4" w:rsidP="007D4FA4">
      <w:r w:rsidRPr="007D4FA4">
        <w:t>Se han recogido datos de temperatura del punto de ebullición del agua a diferentes altitudes, tanto en pies como en metros. Las temperaturas están registradas en grados Fahrenheit (°F) y Celsius (°C).</w:t>
      </w:r>
    </w:p>
    <w:p w14:paraId="1269E455" w14:textId="77777777" w:rsidR="007D4FA4" w:rsidRDefault="007D4FA4" w:rsidP="007D4FA4">
      <w:pPr>
        <w:rPr>
          <w:b/>
          <w:bCs/>
        </w:rPr>
      </w:pPr>
      <w:r w:rsidRPr="007D4FA4">
        <w:rPr>
          <w:b/>
          <w:bCs/>
        </w:rPr>
        <w:t>2. Análisis de Diferencias Divididas:</w:t>
      </w:r>
    </w:p>
    <w:p w14:paraId="7FB59588" w14:textId="77777777" w:rsidR="007D4FA4" w:rsidRPr="007D4FA4" w:rsidRDefault="007D4FA4" w:rsidP="007D4FA4">
      <w:pPr>
        <w:rPr>
          <w:b/>
          <w:bCs/>
        </w:rPr>
      </w:pPr>
    </w:p>
    <w:p w14:paraId="036939B8" w14:textId="77777777" w:rsidR="007D4FA4" w:rsidRPr="007D4FA4" w:rsidRDefault="007D4FA4" w:rsidP="007D4FA4">
      <w:r w:rsidRPr="007D4FA4">
        <w:t xml:space="preserve">Se han realizado cálculos de diferencias divididas hasta el tercer nivel para entender cómo cambian las funciones respecto a variables como </w:t>
      </w:r>
      <w:proofErr w:type="spellStart"/>
      <w:r w:rsidRPr="007D4FA4">
        <w:t>xxx</w:t>
      </w:r>
      <w:proofErr w:type="spellEnd"/>
      <w:r w:rsidRPr="007D4FA4">
        <w:t xml:space="preserve"> (altura) e </w:t>
      </w:r>
      <w:proofErr w:type="spellStart"/>
      <w:r w:rsidRPr="007D4FA4">
        <w:t>yyy</w:t>
      </w:r>
      <w:proofErr w:type="spellEnd"/>
      <w:r w:rsidRPr="007D4FA4">
        <w:t xml:space="preserve"> (temperatura). Se han calculado diferencias de primer y segundo nivel en diferentes conjuntos de datos.</w:t>
      </w:r>
    </w:p>
    <w:p w14:paraId="20ECABE7" w14:textId="77777777" w:rsidR="003509E1" w:rsidRDefault="003509E1"/>
    <w:tbl>
      <w:tblPr>
        <w:tblW w:w="5080" w:type="dxa"/>
        <w:tblCellMar>
          <w:left w:w="70" w:type="dxa"/>
          <w:right w:w="70" w:type="dxa"/>
        </w:tblCellMar>
        <w:tblLook w:val="04A0" w:firstRow="1" w:lastRow="0" w:firstColumn="1" w:lastColumn="0" w:noHBand="0" w:noVBand="1"/>
      </w:tblPr>
      <w:tblGrid>
        <w:gridCol w:w="1200"/>
        <w:gridCol w:w="1340"/>
        <w:gridCol w:w="1200"/>
        <w:gridCol w:w="1340"/>
      </w:tblGrid>
      <w:tr w:rsidR="007D4FA4" w:rsidRPr="007D4FA4" w14:paraId="2485A2A2" w14:textId="77777777" w:rsidTr="007D4FA4">
        <w:trPr>
          <w:trHeight w:val="300"/>
        </w:trPr>
        <w:tc>
          <w:tcPr>
            <w:tcW w:w="1200" w:type="dxa"/>
            <w:tcBorders>
              <w:top w:val="nil"/>
              <w:left w:val="nil"/>
              <w:bottom w:val="nil"/>
              <w:right w:val="nil"/>
            </w:tcBorders>
            <w:shd w:val="clear" w:color="auto" w:fill="auto"/>
            <w:noWrap/>
            <w:vAlign w:val="bottom"/>
            <w:hideMark/>
          </w:tcPr>
          <w:p w14:paraId="78AAD959" w14:textId="77777777" w:rsidR="007D4FA4" w:rsidRPr="007D4FA4" w:rsidRDefault="007D4FA4" w:rsidP="007D4FA4">
            <w:pPr>
              <w:spacing w:after="0" w:line="240" w:lineRule="auto"/>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H(ft)</w:t>
            </w:r>
          </w:p>
        </w:tc>
        <w:tc>
          <w:tcPr>
            <w:tcW w:w="1340" w:type="dxa"/>
            <w:tcBorders>
              <w:top w:val="nil"/>
              <w:left w:val="nil"/>
              <w:bottom w:val="nil"/>
              <w:right w:val="nil"/>
            </w:tcBorders>
            <w:shd w:val="clear" w:color="auto" w:fill="auto"/>
            <w:noWrap/>
            <w:vAlign w:val="bottom"/>
            <w:hideMark/>
          </w:tcPr>
          <w:p w14:paraId="4D611235" w14:textId="77777777" w:rsidR="007D4FA4" w:rsidRPr="007D4FA4" w:rsidRDefault="007D4FA4" w:rsidP="007D4FA4">
            <w:pPr>
              <w:spacing w:after="0" w:line="240" w:lineRule="auto"/>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T(°F)</w:t>
            </w:r>
          </w:p>
        </w:tc>
        <w:tc>
          <w:tcPr>
            <w:tcW w:w="1200" w:type="dxa"/>
            <w:tcBorders>
              <w:top w:val="nil"/>
              <w:left w:val="nil"/>
              <w:bottom w:val="nil"/>
              <w:right w:val="nil"/>
            </w:tcBorders>
            <w:shd w:val="clear" w:color="auto" w:fill="auto"/>
            <w:noWrap/>
            <w:vAlign w:val="bottom"/>
            <w:hideMark/>
          </w:tcPr>
          <w:p w14:paraId="2004643B" w14:textId="77777777" w:rsidR="007D4FA4" w:rsidRPr="007D4FA4" w:rsidRDefault="007D4FA4" w:rsidP="007D4FA4">
            <w:pPr>
              <w:spacing w:after="0" w:line="240" w:lineRule="auto"/>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T(°C)</w:t>
            </w:r>
          </w:p>
        </w:tc>
        <w:tc>
          <w:tcPr>
            <w:tcW w:w="1340" w:type="dxa"/>
            <w:tcBorders>
              <w:top w:val="nil"/>
              <w:left w:val="nil"/>
              <w:bottom w:val="nil"/>
              <w:right w:val="nil"/>
            </w:tcBorders>
            <w:shd w:val="clear" w:color="auto" w:fill="auto"/>
            <w:noWrap/>
            <w:vAlign w:val="bottom"/>
            <w:hideMark/>
          </w:tcPr>
          <w:p w14:paraId="6385F144" w14:textId="77777777" w:rsidR="007D4FA4" w:rsidRPr="007D4FA4" w:rsidRDefault="007D4FA4" w:rsidP="007D4FA4">
            <w:pPr>
              <w:spacing w:after="0" w:line="240" w:lineRule="auto"/>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H(m)</w:t>
            </w:r>
          </w:p>
        </w:tc>
      </w:tr>
      <w:tr w:rsidR="007D4FA4" w:rsidRPr="007D4FA4" w14:paraId="6EEC02D7" w14:textId="77777777" w:rsidTr="007D4FA4">
        <w:trPr>
          <w:trHeight w:val="300"/>
        </w:trPr>
        <w:tc>
          <w:tcPr>
            <w:tcW w:w="1200" w:type="dxa"/>
            <w:tcBorders>
              <w:top w:val="nil"/>
              <w:left w:val="nil"/>
              <w:bottom w:val="nil"/>
              <w:right w:val="nil"/>
            </w:tcBorders>
            <w:shd w:val="clear" w:color="auto" w:fill="auto"/>
            <w:noWrap/>
            <w:vAlign w:val="bottom"/>
            <w:hideMark/>
          </w:tcPr>
          <w:p w14:paraId="35BCEE07"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-1.000</w:t>
            </w:r>
          </w:p>
        </w:tc>
        <w:tc>
          <w:tcPr>
            <w:tcW w:w="1340" w:type="dxa"/>
            <w:tcBorders>
              <w:top w:val="nil"/>
              <w:left w:val="nil"/>
              <w:bottom w:val="nil"/>
              <w:right w:val="nil"/>
            </w:tcBorders>
            <w:shd w:val="clear" w:color="auto" w:fill="auto"/>
            <w:noWrap/>
            <w:vAlign w:val="bottom"/>
            <w:hideMark/>
          </w:tcPr>
          <w:p w14:paraId="2C045FD5"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213,9</w:t>
            </w:r>
          </w:p>
        </w:tc>
        <w:tc>
          <w:tcPr>
            <w:tcW w:w="1200" w:type="dxa"/>
            <w:tcBorders>
              <w:top w:val="nil"/>
              <w:left w:val="nil"/>
              <w:bottom w:val="nil"/>
              <w:right w:val="nil"/>
            </w:tcBorders>
            <w:shd w:val="clear" w:color="auto" w:fill="auto"/>
            <w:noWrap/>
            <w:vAlign w:val="bottom"/>
            <w:hideMark/>
          </w:tcPr>
          <w:p w14:paraId="3EDD2753"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101,06</w:t>
            </w:r>
          </w:p>
        </w:tc>
        <w:tc>
          <w:tcPr>
            <w:tcW w:w="1340" w:type="dxa"/>
            <w:tcBorders>
              <w:top w:val="nil"/>
              <w:left w:val="nil"/>
              <w:bottom w:val="nil"/>
              <w:right w:val="nil"/>
            </w:tcBorders>
            <w:shd w:val="clear" w:color="auto" w:fill="auto"/>
            <w:noWrap/>
            <w:vAlign w:val="bottom"/>
            <w:hideMark/>
          </w:tcPr>
          <w:p w14:paraId="453A76CA"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-305</w:t>
            </w:r>
          </w:p>
        </w:tc>
      </w:tr>
      <w:tr w:rsidR="007D4FA4" w:rsidRPr="007D4FA4" w14:paraId="1911A13D" w14:textId="77777777" w:rsidTr="007D4FA4">
        <w:trPr>
          <w:trHeight w:val="300"/>
        </w:trPr>
        <w:tc>
          <w:tcPr>
            <w:tcW w:w="1200" w:type="dxa"/>
            <w:tcBorders>
              <w:top w:val="nil"/>
              <w:left w:val="nil"/>
              <w:bottom w:val="nil"/>
              <w:right w:val="nil"/>
            </w:tcBorders>
            <w:shd w:val="clear" w:color="auto" w:fill="auto"/>
            <w:noWrap/>
            <w:vAlign w:val="bottom"/>
            <w:hideMark/>
          </w:tcPr>
          <w:p w14:paraId="6F35DBAD"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0</w:t>
            </w:r>
          </w:p>
        </w:tc>
        <w:tc>
          <w:tcPr>
            <w:tcW w:w="1340" w:type="dxa"/>
            <w:tcBorders>
              <w:top w:val="nil"/>
              <w:left w:val="nil"/>
              <w:bottom w:val="nil"/>
              <w:right w:val="nil"/>
            </w:tcBorders>
            <w:shd w:val="clear" w:color="auto" w:fill="auto"/>
            <w:noWrap/>
            <w:vAlign w:val="bottom"/>
            <w:hideMark/>
          </w:tcPr>
          <w:p w14:paraId="00397982"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212,0</w:t>
            </w:r>
          </w:p>
        </w:tc>
        <w:tc>
          <w:tcPr>
            <w:tcW w:w="1200" w:type="dxa"/>
            <w:tcBorders>
              <w:top w:val="nil"/>
              <w:left w:val="nil"/>
              <w:bottom w:val="nil"/>
              <w:right w:val="nil"/>
            </w:tcBorders>
            <w:shd w:val="clear" w:color="auto" w:fill="auto"/>
            <w:noWrap/>
            <w:vAlign w:val="bottom"/>
            <w:hideMark/>
          </w:tcPr>
          <w:p w14:paraId="37F714DE"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100,00</w:t>
            </w:r>
          </w:p>
        </w:tc>
        <w:tc>
          <w:tcPr>
            <w:tcW w:w="1340" w:type="dxa"/>
            <w:tcBorders>
              <w:top w:val="nil"/>
              <w:left w:val="nil"/>
              <w:bottom w:val="nil"/>
              <w:right w:val="nil"/>
            </w:tcBorders>
            <w:shd w:val="clear" w:color="auto" w:fill="auto"/>
            <w:noWrap/>
            <w:vAlign w:val="bottom"/>
            <w:hideMark/>
          </w:tcPr>
          <w:p w14:paraId="1CE85BAC"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0</w:t>
            </w:r>
          </w:p>
        </w:tc>
      </w:tr>
      <w:tr w:rsidR="007D4FA4" w:rsidRPr="007D4FA4" w14:paraId="21CD1670" w14:textId="77777777" w:rsidTr="007D4FA4">
        <w:trPr>
          <w:trHeight w:val="300"/>
        </w:trPr>
        <w:tc>
          <w:tcPr>
            <w:tcW w:w="1200" w:type="dxa"/>
            <w:tcBorders>
              <w:top w:val="nil"/>
              <w:left w:val="nil"/>
              <w:bottom w:val="nil"/>
              <w:right w:val="nil"/>
            </w:tcBorders>
            <w:shd w:val="clear" w:color="auto" w:fill="auto"/>
            <w:noWrap/>
            <w:vAlign w:val="bottom"/>
            <w:hideMark/>
          </w:tcPr>
          <w:p w14:paraId="54636D23"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3.000</w:t>
            </w:r>
          </w:p>
        </w:tc>
        <w:tc>
          <w:tcPr>
            <w:tcW w:w="1340" w:type="dxa"/>
            <w:tcBorders>
              <w:top w:val="nil"/>
              <w:left w:val="nil"/>
              <w:bottom w:val="nil"/>
              <w:right w:val="nil"/>
            </w:tcBorders>
            <w:shd w:val="clear" w:color="auto" w:fill="auto"/>
            <w:noWrap/>
            <w:vAlign w:val="bottom"/>
            <w:hideMark/>
          </w:tcPr>
          <w:p w14:paraId="055EB89A"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206,2</w:t>
            </w:r>
          </w:p>
        </w:tc>
        <w:tc>
          <w:tcPr>
            <w:tcW w:w="1200" w:type="dxa"/>
            <w:tcBorders>
              <w:top w:val="nil"/>
              <w:left w:val="nil"/>
              <w:bottom w:val="nil"/>
              <w:right w:val="nil"/>
            </w:tcBorders>
            <w:shd w:val="clear" w:color="auto" w:fill="auto"/>
            <w:noWrap/>
            <w:vAlign w:val="bottom"/>
            <w:hideMark/>
          </w:tcPr>
          <w:p w14:paraId="1DDC9A1B"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96,78</w:t>
            </w:r>
          </w:p>
        </w:tc>
        <w:tc>
          <w:tcPr>
            <w:tcW w:w="1340" w:type="dxa"/>
            <w:tcBorders>
              <w:top w:val="nil"/>
              <w:left w:val="nil"/>
              <w:bottom w:val="nil"/>
              <w:right w:val="nil"/>
            </w:tcBorders>
            <w:shd w:val="clear" w:color="auto" w:fill="auto"/>
            <w:noWrap/>
            <w:vAlign w:val="bottom"/>
            <w:hideMark/>
          </w:tcPr>
          <w:p w14:paraId="3310AD17"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914</w:t>
            </w:r>
          </w:p>
        </w:tc>
      </w:tr>
      <w:tr w:rsidR="007D4FA4" w:rsidRPr="007D4FA4" w14:paraId="12E29FBA" w14:textId="77777777" w:rsidTr="007D4FA4">
        <w:trPr>
          <w:trHeight w:val="300"/>
        </w:trPr>
        <w:tc>
          <w:tcPr>
            <w:tcW w:w="1200" w:type="dxa"/>
            <w:tcBorders>
              <w:top w:val="nil"/>
              <w:left w:val="nil"/>
              <w:bottom w:val="nil"/>
              <w:right w:val="nil"/>
            </w:tcBorders>
            <w:shd w:val="clear" w:color="auto" w:fill="auto"/>
            <w:noWrap/>
            <w:vAlign w:val="bottom"/>
            <w:hideMark/>
          </w:tcPr>
          <w:p w14:paraId="53E27A50"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8.000</w:t>
            </w:r>
          </w:p>
        </w:tc>
        <w:tc>
          <w:tcPr>
            <w:tcW w:w="1340" w:type="dxa"/>
            <w:tcBorders>
              <w:top w:val="nil"/>
              <w:left w:val="nil"/>
              <w:bottom w:val="nil"/>
              <w:right w:val="nil"/>
            </w:tcBorders>
            <w:shd w:val="clear" w:color="auto" w:fill="auto"/>
            <w:noWrap/>
            <w:vAlign w:val="bottom"/>
            <w:hideMark/>
          </w:tcPr>
          <w:p w14:paraId="327B2EAC"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196,2</w:t>
            </w:r>
          </w:p>
        </w:tc>
        <w:tc>
          <w:tcPr>
            <w:tcW w:w="1200" w:type="dxa"/>
            <w:tcBorders>
              <w:top w:val="nil"/>
              <w:left w:val="nil"/>
              <w:bottom w:val="nil"/>
              <w:right w:val="nil"/>
            </w:tcBorders>
            <w:shd w:val="clear" w:color="auto" w:fill="auto"/>
            <w:noWrap/>
            <w:vAlign w:val="bottom"/>
            <w:hideMark/>
          </w:tcPr>
          <w:p w14:paraId="3ABA4DA2"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91,22</w:t>
            </w:r>
          </w:p>
        </w:tc>
        <w:tc>
          <w:tcPr>
            <w:tcW w:w="1340" w:type="dxa"/>
            <w:tcBorders>
              <w:top w:val="nil"/>
              <w:left w:val="nil"/>
              <w:bottom w:val="nil"/>
              <w:right w:val="nil"/>
            </w:tcBorders>
            <w:shd w:val="clear" w:color="auto" w:fill="auto"/>
            <w:noWrap/>
            <w:vAlign w:val="bottom"/>
            <w:hideMark/>
          </w:tcPr>
          <w:p w14:paraId="18410ED4"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2.438</w:t>
            </w:r>
          </w:p>
        </w:tc>
      </w:tr>
      <w:tr w:rsidR="007D4FA4" w:rsidRPr="007D4FA4" w14:paraId="1D428423" w14:textId="77777777" w:rsidTr="007D4FA4">
        <w:trPr>
          <w:trHeight w:val="300"/>
        </w:trPr>
        <w:tc>
          <w:tcPr>
            <w:tcW w:w="1200" w:type="dxa"/>
            <w:tcBorders>
              <w:top w:val="nil"/>
              <w:left w:val="nil"/>
              <w:bottom w:val="nil"/>
              <w:right w:val="nil"/>
            </w:tcBorders>
            <w:shd w:val="clear" w:color="auto" w:fill="auto"/>
            <w:noWrap/>
            <w:vAlign w:val="bottom"/>
            <w:hideMark/>
          </w:tcPr>
          <w:p w14:paraId="1B166BB4"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15.000</w:t>
            </w:r>
          </w:p>
        </w:tc>
        <w:tc>
          <w:tcPr>
            <w:tcW w:w="1340" w:type="dxa"/>
            <w:tcBorders>
              <w:top w:val="nil"/>
              <w:left w:val="nil"/>
              <w:bottom w:val="nil"/>
              <w:right w:val="nil"/>
            </w:tcBorders>
            <w:shd w:val="clear" w:color="auto" w:fill="auto"/>
            <w:noWrap/>
            <w:vAlign w:val="bottom"/>
            <w:hideMark/>
          </w:tcPr>
          <w:p w14:paraId="462E96A8"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184,4</w:t>
            </w:r>
          </w:p>
        </w:tc>
        <w:tc>
          <w:tcPr>
            <w:tcW w:w="1200" w:type="dxa"/>
            <w:tcBorders>
              <w:top w:val="nil"/>
              <w:left w:val="nil"/>
              <w:bottom w:val="nil"/>
              <w:right w:val="nil"/>
            </w:tcBorders>
            <w:shd w:val="clear" w:color="auto" w:fill="auto"/>
            <w:noWrap/>
            <w:vAlign w:val="bottom"/>
            <w:hideMark/>
          </w:tcPr>
          <w:p w14:paraId="045682B4"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84,67</w:t>
            </w:r>
          </w:p>
        </w:tc>
        <w:tc>
          <w:tcPr>
            <w:tcW w:w="1340" w:type="dxa"/>
            <w:tcBorders>
              <w:top w:val="nil"/>
              <w:left w:val="nil"/>
              <w:bottom w:val="nil"/>
              <w:right w:val="nil"/>
            </w:tcBorders>
            <w:shd w:val="clear" w:color="auto" w:fill="auto"/>
            <w:noWrap/>
            <w:vAlign w:val="bottom"/>
            <w:hideMark/>
          </w:tcPr>
          <w:p w14:paraId="05E0D470"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4.572</w:t>
            </w:r>
          </w:p>
        </w:tc>
      </w:tr>
      <w:tr w:rsidR="007D4FA4" w:rsidRPr="007D4FA4" w14:paraId="0DC34DEF" w14:textId="77777777" w:rsidTr="007D4FA4">
        <w:trPr>
          <w:trHeight w:val="300"/>
        </w:trPr>
        <w:tc>
          <w:tcPr>
            <w:tcW w:w="1200" w:type="dxa"/>
            <w:tcBorders>
              <w:top w:val="nil"/>
              <w:left w:val="nil"/>
              <w:bottom w:val="nil"/>
              <w:right w:val="nil"/>
            </w:tcBorders>
            <w:shd w:val="clear" w:color="auto" w:fill="auto"/>
            <w:noWrap/>
            <w:vAlign w:val="bottom"/>
            <w:hideMark/>
          </w:tcPr>
          <w:p w14:paraId="1BD3F614"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22.000</w:t>
            </w:r>
          </w:p>
        </w:tc>
        <w:tc>
          <w:tcPr>
            <w:tcW w:w="1340" w:type="dxa"/>
            <w:tcBorders>
              <w:top w:val="nil"/>
              <w:left w:val="nil"/>
              <w:bottom w:val="nil"/>
              <w:right w:val="nil"/>
            </w:tcBorders>
            <w:shd w:val="clear" w:color="auto" w:fill="auto"/>
            <w:noWrap/>
            <w:vAlign w:val="bottom"/>
            <w:hideMark/>
          </w:tcPr>
          <w:p w14:paraId="2D941C0F"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172,6</w:t>
            </w:r>
          </w:p>
        </w:tc>
        <w:tc>
          <w:tcPr>
            <w:tcW w:w="1200" w:type="dxa"/>
            <w:tcBorders>
              <w:top w:val="nil"/>
              <w:left w:val="nil"/>
              <w:bottom w:val="nil"/>
              <w:right w:val="nil"/>
            </w:tcBorders>
            <w:shd w:val="clear" w:color="auto" w:fill="auto"/>
            <w:noWrap/>
            <w:vAlign w:val="bottom"/>
            <w:hideMark/>
          </w:tcPr>
          <w:p w14:paraId="2605272B"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78,11</w:t>
            </w:r>
          </w:p>
        </w:tc>
        <w:tc>
          <w:tcPr>
            <w:tcW w:w="1340" w:type="dxa"/>
            <w:tcBorders>
              <w:top w:val="nil"/>
              <w:left w:val="nil"/>
              <w:bottom w:val="nil"/>
              <w:right w:val="nil"/>
            </w:tcBorders>
            <w:shd w:val="clear" w:color="auto" w:fill="auto"/>
            <w:noWrap/>
            <w:vAlign w:val="bottom"/>
            <w:hideMark/>
          </w:tcPr>
          <w:p w14:paraId="2EBC6D8C"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6.706</w:t>
            </w:r>
          </w:p>
        </w:tc>
      </w:tr>
      <w:tr w:rsidR="007D4FA4" w:rsidRPr="007D4FA4" w14:paraId="39232764" w14:textId="77777777" w:rsidTr="007D4FA4">
        <w:trPr>
          <w:trHeight w:val="300"/>
        </w:trPr>
        <w:tc>
          <w:tcPr>
            <w:tcW w:w="1200" w:type="dxa"/>
            <w:tcBorders>
              <w:top w:val="nil"/>
              <w:left w:val="nil"/>
              <w:bottom w:val="nil"/>
              <w:right w:val="nil"/>
            </w:tcBorders>
            <w:shd w:val="clear" w:color="auto" w:fill="auto"/>
            <w:noWrap/>
            <w:vAlign w:val="bottom"/>
            <w:hideMark/>
          </w:tcPr>
          <w:p w14:paraId="18917489"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28.000</w:t>
            </w:r>
          </w:p>
        </w:tc>
        <w:tc>
          <w:tcPr>
            <w:tcW w:w="1340" w:type="dxa"/>
            <w:tcBorders>
              <w:top w:val="nil"/>
              <w:left w:val="nil"/>
              <w:bottom w:val="nil"/>
              <w:right w:val="nil"/>
            </w:tcBorders>
            <w:shd w:val="clear" w:color="auto" w:fill="auto"/>
            <w:noWrap/>
            <w:vAlign w:val="bottom"/>
            <w:hideMark/>
          </w:tcPr>
          <w:p w14:paraId="1F3073C7"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163,1</w:t>
            </w:r>
          </w:p>
        </w:tc>
        <w:tc>
          <w:tcPr>
            <w:tcW w:w="1200" w:type="dxa"/>
            <w:tcBorders>
              <w:top w:val="nil"/>
              <w:left w:val="nil"/>
              <w:bottom w:val="nil"/>
              <w:right w:val="nil"/>
            </w:tcBorders>
            <w:shd w:val="clear" w:color="auto" w:fill="auto"/>
            <w:noWrap/>
            <w:vAlign w:val="bottom"/>
            <w:hideMark/>
          </w:tcPr>
          <w:p w14:paraId="20D66220"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72,83</w:t>
            </w:r>
          </w:p>
        </w:tc>
        <w:tc>
          <w:tcPr>
            <w:tcW w:w="1340" w:type="dxa"/>
            <w:tcBorders>
              <w:top w:val="nil"/>
              <w:left w:val="nil"/>
              <w:bottom w:val="nil"/>
              <w:right w:val="nil"/>
            </w:tcBorders>
            <w:shd w:val="clear" w:color="auto" w:fill="auto"/>
            <w:noWrap/>
            <w:vAlign w:val="bottom"/>
            <w:hideMark/>
          </w:tcPr>
          <w:p w14:paraId="5B7F2E61"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r w:rsidRPr="007D4FA4">
              <w:rPr>
                <w:rFonts w:ascii="Calibri" w:eastAsia="Times New Roman" w:hAnsi="Calibri" w:cs="Calibri"/>
                <w:color w:val="000000"/>
                <w:kern w:val="0"/>
                <w:lang w:eastAsia="es-BO"/>
                <w14:ligatures w14:val="none"/>
              </w:rPr>
              <w:t>8.534</w:t>
            </w:r>
          </w:p>
        </w:tc>
      </w:tr>
      <w:tr w:rsidR="007D4FA4" w:rsidRPr="007D4FA4" w14:paraId="440AA475" w14:textId="77777777" w:rsidTr="007D4FA4">
        <w:trPr>
          <w:trHeight w:val="300"/>
        </w:trPr>
        <w:tc>
          <w:tcPr>
            <w:tcW w:w="1200" w:type="dxa"/>
            <w:tcBorders>
              <w:top w:val="nil"/>
              <w:left w:val="nil"/>
              <w:bottom w:val="nil"/>
              <w:right w:val="nil"/>
            </w:tcBorders>
            <w:shd w:val="clear" w:color="auto" w:fill="auto"/>
            <w:noWrap/>
            <w:vAlign w:val="bottom"/>
          </w:tcPr>
          <w:p w14:paraId="4A77E822" w14:textId="77777777" w:rsidR="007D4FA4" w:rsidRPr="007D4FA4" w:rsidRDefault="007D4FA4" w:rsidP="007D4FA4">
            <w:pPr>
              <w:spacing w:after="0" w:line="240" w:lineRule="auto"/>
              <w:rPr>
                <w:rFonts w:ascii="Calibri" w:eastAsia="Times New Roman" w:hAnsi="Calibri" w:cs="Calibri"/>
                <w:color w:val="000000"/>
                <w:kern w:val="0"/>
                <w:lang w:eastAsia="es-BO"/>
                <w14:ligatures w14:val="none"/>
              </w:rPr>
            </w:pPr>
          </w:p>
        </w:tc>
        <w:tc>
          <w:tcPr>
            <w:tcW w:w="1340" w:type="dxa"/>
            <w:tcBorders>
              <w:top w:val="nil"/>
              <w:left w:val="nil"/>
              <w:bottom w:val="nil"/>
              <w:right w:val="nil"/>
            </w:tcBorders>
            <w:shd w:val="clear" w:color="auto" w:fill="auto"/>
            <w:noWrap/>
            <w:vAlign w:val="bottom"/>
          </w:tcPr>
          <w:p w14:paraId="75114B32"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p>
        </w:tc>
        <w:tc>
          <w:tcPr>
            <w:tcW w:w="1200" w:type="dxa"/>
            <w:tcBorders>
              <w:top w:val="nil"/>
              <w:left w:val="nil"/>
              <w:bottom w:val="nil"/>
              <w:right w:val="nil"/>
            </w:tcBorders>
            <w:shd w:val="clear" w:color="auto" w:fill="auto"/>
            <w:noWrap/>
            <w:vAlign w:val="bottom"/>
          </w:tcPr>
          <w:p w14:paraId="337EBE1E"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p>
        </w:tc>
        <w:tc>
          <w:tcPr>
            <w:tcW w:w="1340" w:type="dxa"/>
            <w:tcBorders>
              <w:top w:val="nil"/>
              <w:left w:val="nil"/>
              <w:bottom w:val="nil"/>
              <w:right w:val="nil"/>
            </w:tcBorders>
            <w:shd w:val="clear" w:color="auto" w:fill="auto"/>
            <w:noWrap/>
            <w:vAlign w:val="bottom"/>
          </w:tcPr>
          <w:p w14:paraId="20504F9B" w14:textId="77777777" w:rsidR="007D4FA4" w:rsidRPr="007D4FA4" w:rsidRDefault="007D4FA4" w:rsidP="007D4FA4">
            <w:pPr>
              <w:spacing w:after="0" w:line="240" w:lineRule="auto"/>
              <w:jc w:val="right"/>
              <w:rPr>
                <w:rFonts w:ascii="Calibri" w:eastAsia="Times New Roman" w:hAnsi="Calibri" w:cs="Calibri"/>
                <w:color w:val="000000"/>
                <w:kern w:val="0"/>
                <w:lang w:eastAsia="es-BO"/>
                <w14:ligatures w14:val="none"/>
              </w:rPr>
            </w:pPr>
          </w:p>
        </w:tc>
      </w:tr>
    </w:tbl>
    <w:p w14:paraId="543DB4F1" w14:textId="258984EF" w:rsidR="007D4FA4" w:rsidRDefault="007D4FA4">
      <w:r w:rsidRPr="007D4FA4">
        <w:t>Se observa una reducción en el punto de ebullición a medida que se asciende desde 0 hasta 15,000 pies, lo que refleja la disminución de la presión atmosférica.</w:t>
      </w:r>
    </w:p>
    <w:p w14:paraId="44B93C26" w14:textId="77777777" w:rsidR="00696FD4" w:rsidRDefault="00696FD4"/>
    <w:p w14:paraId="1D113BF3" w14:textId="77777777" w:rsidR="007D4FA4" w:rsidRDefault="007D4FA4" w:rsidP="007D4FA4">
      <w:pPr>
        <w:rPr>
          <w:b/>
          <w:bCs/>
        </w:rPr>
      </w:pPr>
      <w:r w:rsidRPr="007D4FA4">
        <w:rPr>
          <w:b/>
          <w:bCs/>
        </w:rPr>
        <w:t>2. Cálculo de Diferencias Divididas:</w:t>
      </w:r>
    </w:p>
    <w:p w14:paraId="64894B39" w14:textId="77777777" w:rsidR="00696FD4" w:rsidRDefault="00696FD4" w:rsidP="00696FD4">
      <w:r w:rsidRPr="007D4FA4">
        <w:t xml:space="preserve">Para realizar el análisis numérico de los datos y aproximar las funciones desconocidas, utilizamos los </w:t>
      </w:r>
      <w:r w:rsidRPr="007D4FA4">
        <w:rPr>
          <w:b/>
          <w:bCs/>
        </w:rPr>
        <w:t>polinomios interpoladores de Newton</w:t>
      </w:r>
      <w:r w:rsidRPr="007D4FA4">
        <w:t>. Estos polinomios permiten construir una función que pasa por todos los puntos conocidos, a partir de las diferencias divididas calculadas en los diferentes niveles. El método de interpolación de Newton es especialmente útil cuando los puntos de datos no están equidistantes, como en este caso. Mediante este enfoque, hemos generado aproximaciones precisas de los valores de temperatura a distintas altitudes, permitiendo interpolar y extrapolar con mayor exactitud los puntos de ebullición a alturas no incluidas directamente en los datos experimentales.</w:t>
      </w:r>
    </w:p>
    <w:p w14:paraId="3048664C" w14:textId="77777777" w:rsidR="00696FD4" w:rsidRPr="007D4FA4" w:rsidRDefault="00696FD4" w:rsidP="007D4FA4">
      <w:pPr>
        <w:rPr>
          <w:b/>
          <w:bCs/>
        </w:rPr>
      </w:pPr>
    </w:p>
    <w:p w14:paraId="3935A34F" w14:textId="77777777" w:rsidR="007D4FA4" w:rsidRPr="007D4FA4" w:rsidRDefault="007D4FA4" w:rsidP="007D4FA4">
      <w:r w:rsidRPr="007D4FA4">
        <w:lastRenderedPageBreak/>
        <w:t xml:space="preserve">En las </w:t>
      </w:r>
      <w:r w:rsidRPr="007D4FA4">
        <w:rPr>
          <w:b/>
          <w:bCs/>
        </w:rPr>
        <w:t>Hojas 1-3</w:t>
      </w:r>
      <w:r w:rsidRPr="007D4FA4">
        <w:t xml:space="preserve">, se calculan diferencias divididas en tres niveles para distintas series de valores. Estas diferencias ayudan a aproximar funciones desconocidas o difíciles de resolver directamente. Por ejemplo, en la </w:t>
      </w:r>
      <w:r w:rsidRPr="007D4FA4">
        <w:rPr>
          <w:b/>
          <w:bCs/>
        </w:rPr>
        <w:t>Hoja 2</w:t>
      </w:r>
      <w:r w:rsidRPr="007D4FA4">
        <w:t>, los valores calculados incluyen:</w:t>
      </w:r>
    </w:p>
    <w:p w14:paraId="19527456" w14:textId="66597D50" w:rsidR="007D4FA4" w:rsidRDefault="007D4FA4">
      <w:r w:rsidRPr="007D4FA4">
        <w:rPr>
          <w:noProof/>
        </w:rPr>
        <w:drawing>
          <wp:inline distT="0" distB="0" distL="0" distR="0" wp14:anchorId="122958B5" wp14:editId="370DE26D">
            <wp:extent cx="5400040" cy="2999105"/>
            <wp:effectExtent l="0" t="0" r="0" b="0"/>
            <wp:docPr id="1003099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9882" name=""/>
                    <pic:cNvPicPr/>
                  </pic:nvPicPr>
                  <pic:blipFill>
                    <a:blip r:embed="rId4"/>
                    <a:stretch>
                      <a:fillRect/>
                    </a:stretch>
                  </pic:blipFill>
                  <pic:spPr>
                    <a:xfrm>
                      <a:off x="0" y="0"/>
                      <a:ext cx="5400040" cy="2999105"/>
                    </a:xfrm>
                    <a:prstGeom prst="rect">
                      <a:avLst/>
                    </a:prstGeom>
                  </pic:spPr>
                </pic:pic>
              </a:graphicData>
            </a:graphic>
          </wp:inline>
        </w:drawing>
      </w:r>
    </w:p>
    <w:p w14:paraId="7FBA94F6" w14:textId="77777777" w:rsidR="00696FD4" w:rsidRDefault="00696FD4"/>
    <w:p w14:paraId="579C721D" w14:textId="41A14E5D" w:rsidR="00696FD4" w:rsidRPr="00456F57" w:rsidRDefault="00456F57">
      <w:pPr>
        <w:rPr>
          <w:b/>
          <w:bCs/>
        </w:rPr>
      </w:pPr>
      <w:proofErr w:type="gramStart"/>
      <w:r>
        <w:rPr>
          <w:b/>
          <w:bCs/>
        </w:rPr>
        <w:t>3 .</w:t>
      </w:r>
      <w:proofErr w:type="gramEnd"/>
      <w:r>
        <w:rPr>
          <w:b/>
          <w:bCs/>
        </w:rPr>
        <w:t xml:space="preserve"> </w:t>
      </w:r>
      <w:r w:rsidRPr="00456F57">
        <w:rPr>
          <w:b/>
          <w:bCs/>
        </w:rPr>
        <w:t>Gráficos</w:t>
      </w:r>
    </w:p>
    <w:p w14:paraId="6E77A49C" w14:textId="77777777" w:rsidR="007D4FA4" w:rsidRDefault="007D4FA4" w:rsidP="007D4FA4">
      <w:r w:rsidRPr="007D4FA4">
        <w:t>Los datos obtenidos muestran una clara relación entre la altitud y la temperatura de ebullición, lo que es consistente con la teoría física de la presión atmosférica y el punto de ebullición. Las diferencias divididas son útiles para calcular estimaciones de estas relaciones en puntos intermedios. Los valores de diferencias calculados permiten construir modelos de interpolación más precisos, lo que podría ser útil en campos como la meteorología y la ingeniería.</w:t>
      </w:r>
    </w:p>
    <w:p w14:paraId="614E737E" w14:textId="1440C2B1" w:rsidR="00696FD4" w:rsidRDefault="00696FD4" w:rsidP="007D4FA4">
      <w:r w:rsidRPr="00696FD4">
        <w:t xml:space="preserve">En cuanto a los gráficos, estos son una parte clave para visualizar las tendencias y relaciones presentes en los datos. En este informe, los gráficos podrían cumplir varias funciones, tales como representar visualmente la relación entre la altitud y el punto de ebullición, o bien ilustrar las diferencias divididas calculadas en los distintos niveles. </w:t>
      </w:r>
    </w:p>
    <w:p w14:paraId="4DC3BD7B" w14:textId="1121CA68" w:rsidR="00696FD4" w:rsidRDefault="00696FD4" w:rsidP="007D4FA4">
      <w:r w:rsidRPr="00696FD4">
        <w:rPr>
          <w:noProof/>
        </w:rPr>
        <w:lastRenderedPageBreak/>
        <w:drawing>
          <wp:inline distT="0" distB="0" distL="0" distR="0" wp14:anchorId="585EBF69" wp14:editId="45E211DC">
            <wp:extent cx="4477375" cy="5563376"/>
            <wp:effectExtent l="0" t="0" r="0" b="0"/>
            <wp:docPr id="106182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6897" name=""/>
                    <pic:cNvPicPr/>
                  </pic:nvPicPr>
                  <pic:blipFill>
                    <a:blip r:embed="rId5"/>
                    <a:stretch>
                      <a:fillRect/>
                    </a:stretch>
                  </pic:blipFill>
                  <pic:spPr>
                    <a:xfrm>
                      <a:off x="0" y="0"/>
                      <a:ext cx="4477375" cy="5563376"/>
                    </a:xfrm>
                    <a:prstGeom prst="rect">
                      <a:avLst/>
                    </a:prstGeom>
                  </pic:spPr>
                </pic:pic>
              </a:graphicData>
            </a:graphic>
          </wp:inline>
        </w:drawing>
      </w:r>
    </w:p>
    <w:p w14:paraId="21D4BC61" w14:textId="115BB23A" w:rsidR="00F52998" w:rsidRDefault="00F52998" w:rsidP="007D4FA4">
      <w:r w:rsidRPr="00F52998">
        <w:t>Este informe ha demostrado cómo el punto de ebullición del agua disminuye con el aumento de la altitud y cómo el análisis de diferencias divididas puede ayudar a estimar valores de funciones en varios niveles. Los resultados obtenidos son consistentes con la literatura científica y podrían aplicarse en experimentos futuros para mejorar la precisión de los modelos predictivos.</w:t>
      </w:r>
    </w:p>
    <w:p w14:paraId="628C1D5B" w14:textId="77777777" w:rsidR="00F52998" w:rsidRPr="007D4FA4" w:rsidRDefault="00F52998" w:rsidP="007D4FA4"/>
    <w:sectPr w:rsidR="00F52998" w:rsidRPr="007D4F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A4"/>
    <w:rsid w:val="003509E1"/>
    <w:rsid w:val="00390931"/>
    <w:rsid w:val="00456F57"/>
    <w:rsid w:val="004D7A68"/>
    <w:rsid w:val="00642720"/>
    <w:rsid w:val="00696FD4"/>
    <w:rsid w:val="007D4FA4"/>
    <w:rsid w:val="009865B7"/>
    <w:rsid w:val="00F5299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20B912"/>
  <w15:chartTrackingRefBased/>
  <w15:docId w15:val="{808D402A-647A-4897-A370-F2F8A18E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779438">
      <w:bodyDiv w:val="1"/>
      <w:marLeft w:val="0"/>
      <w:marRight w:val="0"/>
      <w:marTop w:val="0"/>
      <w:marBottom w:val="0"/>
      <w:divBdr>
        <w:top w:val="none" w:sz="0" w:space="0" w:color="auto"/>
        <w:left w:val="none" w:sz="0" w:space="0" w:color="auto"/>
        <w:bottom w:val="none" w:sz="0" w:space="0" w:color="auto"/>
        <w:right w:val="none" w:sz="0" w:space="0" w:color="auto"/>
      </w:divBdr>
    </w:div>
    <w:div w:id="963998590">
      <w:bodyDiv w:val="1"/>
      <w:marLeft w:val="0"/>
      <w:marRight w:val="0"/>
      <w:marTop w:val="0"/>
      <w:marBottom w:val="0"/>
      <w:divBdr>
        <w:top w:val="none" w:sz="0" w:space="0" w:color="auto"/>
        <w:left w:val="none" w:sz="0" w:space="0" w:color="auto"/>
        <w:bottom w:val="none" w:sz="0" w:space="0" w:color="auto"/>
        <w:right w:val="none" w:sz="0" w:space="0" w:color="auto"/>
      </w:divBdr>
    </w:div>
    <w:div w:id="1029380737">
      <w:bodyDiv w:val="1"/>
      <w:marLeft w:val="0"/>
      <w:marRight w:val="0"/>
      <w:marTop w:val="0"/>
      <w:marBottom w:val="0"/>
      <w:divBdr>
        <w:top w:val="none" w:sz="0" w:space="0" w:color="auto"/>
        <w:left w:val="none" w:sz="0" w:space="0" w:color="auto"/>
        <w:bottom w:val="none" w:sz="0" w:space="0" w:color="auto"/>
        <w:right w:val="none" w:sz="0" w:space="0" w:color="auto"/>
      </w:divBdr>
    </w:div>
    <w:div w:id="145058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3004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Vera Garcia</dc:creator>
  <cp:keywords/>
  <dc:description/>
  <cp:lastModifiedBy>Marcelo Vera Garcia</cp:lastModifiedBy>
  <cp:revision>2</cp:revision>
  <dcterms:created xsi:type="dcterms:W3CDTF">2024-10-11T02:54:00Z</dcterms:created>
  <dcterms:modified xsi:type="dcterms:W3CDTF">2024-10-11T02:54:00Z</dcterms:modified>
</cp:coreProperties>
</file>