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Kicker"/>
        <w:jc w:val="left"/>
      </w:pPr>
      <w:r>
        <w:t>CONCEFOR PODCAST · ROTEIRO DO HOST</w:t>
      </w:r>
    </w:p>
    <w:p>
      <w:pPr>
        <w:pStyle w:val="Title"/>
        <w:jc w:val="left"/>
      </w:pPr>
      <w:r>
        <w:t>EP. 2 · Dra. Jaqueline Sanz</w:t>
      </w:r>
    </w:p>
    <w:p>
      <w:pPr>
        <w:pStyle w:val="Subtitle"/>
        <w:jc w:val="left"/>
      </w:pPr>
      <w:r>
        <w:t>Versão editável para condução e impressão</w:t>
      </w:r>
    </w:p>
    <w:tbl>
      <w:tblPr>
        <w:tblW w:type="dxa" w:w="10206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9E0E8"/>
          <w:left w:val="single" w:sz="4" w:space="0" w:color="D9E0E8"/>
          <w:bottom w:val="single" w:sz="4" w:space="0" w:color="D9E0E8"/>
          <w:right w:val="single" w:sz="4" w:space="0" w:color="D9E0E8"/>
          <w:insideH w:val="single" w:sz="4" w:space="0" w:color="D9E0E8"/>
          <w:insideV w:val="single" w:sz="4" w:space="0" w:color="D9E0E8"/>
        </w:tblBorders>
      </w:tblPr>
      <w:tblGrid>
        <w:gridCol w:w="2417"/>
        <w:gridCol w:w="1791"/>
        <w:gridCol w:w="5998"/>
      </w:tblGrid>
      <w:tr>
        <w:trPr>
          <w:tblHeader w:val="true"/>
        </w:trPr>
        <w:tc>
          <w:tcPr>
            <w:tcW w:type="dxa" w:w="2417"/>
            <w:tcMar>
              <w:top w:w="85" w:type="dxa"/>
              <w:bottom w:w="85" w:type="dxa"/>
              <w:start w:w="120" w:type="dxa"/>
              <w:end w:w="120" w:type="dxa"/>
            </w:tcMar>
            <w:shd w:fill="F7F9FB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color w:val="008EA3"/>
                <w:sz w:val="14"/>
              </w:rPr>
              <w:t>GRAVAÇÃO</w:t>
            </w:r>
            <w:r>
              <w:rPr>
                <w:rFonts w:ascii="Calibri" w:hAnsi="Calibri" w:eastAsia="Calibri"/>
                <w:b/>
                <w:color w:val="20242B"/>
                <w:sz w:val="17"/>
              </w:rPr>
              <w:br/>
              <w:t>18/08, 11h30 · agendamento a confirmar · depois da mesa</w:t>
            </w:r>
          </w:p>
        </w:tc>
        <w:tc>
          <w:tcPr>
            <w:tcW w:type="dxa" w:w="1791"/>
            <w:tcMar>
              <w:top w:w="85" w:type="dxa"/>
              <w:bottom w:w="85" w:type="dxa"/>
              <w:start w:w="120" w:type="dxa"/>
              <w:end w:w="120" w:type="dxa"/>
            </w:tcMar>
            <w:shd w:fill="F7F9FB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color w:val="008EA3"/>
                <w:sz w:val="14"/>
              </w:rPr>
              <w:t>HOST</w:t>
            </w:r>
            <w:r>
              <w:rPr>
                <w:rFonts w:ascii="Calibri" w:hAnsi="Calibri" w:eastAsia="Calibri"/>
                <w:b/>
                <w:color w:val="20242B"/>
                <w:sz w:val="17"/>
              </w:rPr>
              <w:br/>
              <w:t>A confirmar</w:t>
            </w:r>
          </w:p>
        </w:tc>
        <w:tc>
          <w:tcPr>
            <w:tcW w:type="dxa" w:w="5998"/>
            <w:tcMar>
              <w:top w:w="85" w:type="dxa"/>
              <w:bottom w:w="85" w:type="dxa"/>
              <w:start w:w="120" w:type="dxa"/>
              <w:end w:w="120" w:type="dxa"/>
            </w:tcMar>
            <w:shd w:fill="F7F9FB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color w:val="008EA3"/>
                <w:sz w:val="14"/>
              </w:rPr>
              <w:t>FALA NO EVENTO</w:t>
            </w:r>
            <w:r>
              <w:rPr>
                <w:rFonts w:ascii="Calibri" w:hAnsi="Calibri" w:eastAsia="Calibri"/>
                <w:b/>
                <w:color w:val="20242B"/>
                <w:sz w:val="17"/>
              </w:rPr>
              <w:br/>
              <w:t>18/08, 9h30 · mesa “Tecnologia Delas”</w:t>
            </w:r>
          </w:p>
        </w:tc>
      </w:tr>
    </w:tbl>
    <w:p>
      <w:pPr>
        <w:spacing w:before="0" w:after="20"/>
      </w:pPr>
      <w:r/>
    </w:p>
    <w:p>
      <w:pPr>
        <w:shd w:fill="FFF7E3"/>
        <w:keepLines/>
        <w:pBdr>
          <w:left w:val="single" w:sz="18" w:space="6" w:color="D89900"/>
        </w:pBdr>
        <w:spacing w:before="20" w:after="80" w:line="240" w:lineRule="auto"/>
        <w:ind w:left="120" w:right="100"/>
      </w:pPr>
      <w:r>
        <w:rPr>
          <w:rFonts w:ascii="Calibri" w:hAnsi="Calibri" w:eastAsia="Calibri"/>
          <w:b/>
          <w:color w:val="D89900"/>
          <w:sz w:val="15"/>
        </w:rPr>
        <w:t>REGRA EDITORIAL · TRANSCRIÇÃO PRIMEIRO</w:t>
        <w:br/>
      </w:r>
      <w:r>
        <w:rPr>
          <w:rFonts w:ascii="Calibri" w:hAnsi="Calibri" w:eastAsia="Calibri"/>
          <w:i w:val="0"/>
          <w:color w:val="20242B"/>
          <w:sz w:val="17"/>
        </w:rPr>
        <w:t>Se houver transcrição, reescreva de 4 a 6 perguntas principais a partir de afirmações, exemplos e tensões da fala. O roteiro deve partir principalmente da palestra, não apenas do currículo do convidado. Mova as perguntas substituídas para 'Carta na manga'; esse banco não tem limite. Em vez de pedir repetição, peça explicação, consequência, exemplo, contraponto ou decisão. Situação deste episódio: ainda não há transcrição no repositório. A pergunta marcada deve ser substituída por uma retomada concreta da palestra ou mesa assim que o texto estiver disponível.</w:t>
      </w:r>
    </w:p>
    <w:p>
      <w:pPr>
        <w:pStyle w:val="Heading2"/>
      </w:pPr>
      <w:r>
        <w:t>ABERTURA</w:t>
      </w:r>
    </w:p>
    <w:p>
      <w:pPr>
        <w:shd w:fill="FFF7E3"/>
        <w:keepLines/>
        <w:pBdr>
          <w:left w:val="single" w:sz="18" w:space="6" w:color="D89900"/>
        </w:pBdr>
        <w:spacing w:before="20" w:after="80" w:line="252" w:lineRule="auto"/>
        <w:ind w:left="120" w:right="100"/>
      </w:pPr>
      <w:r>
        <w:rPr>
          <w:rFonts w:ascii="Calibri" w:hAnsi="Calibri" w:eastAsia="Calibri"/>
          <w:b/>
          <w:color w:val="D89900"/>
          <w:sz w:val="15"/>
        </w:rPr>
        <w:t>FALA DO HOST</w:t>
        <w:br/>
      </w:r>
      <w:r>
        <w:rPr>
          <w:rFonts w:ascii="Calibri" w:hAnsi="Calibri" w:eastAsia="Calibri"/>
          <w:i w:val="0"/>
          <w:color w:val="20242B"/>
          <w:sz w:val="19"/>
        </w:rPr>
        <w:t>“Tecnologia não é neutra quando parte das mulheres sequer aparece no desenho.”</w:t>
      </w:r>
    </w:p>
    <w:p>
      <w:pPr>
        <w:pStyle w:val="Heading2"/>
      </w:pPr>
      <w:r>
        <w:t>INTRODUÇÃO DO CONVIDADO</w:t>
      </w:r>
    </w:p>
    <w:p>
      <w:pPr>
        <w:shd w:fill="EAF7F8"/>
        <w:keepLines/>
        <w:pBdr>
          <w:left w:val="single" w:sz="18" w:space="6" w:color="008EA3"/>
        </w:pBdr>
        <w:spacing w:before="20" w:after="80" w:line="252" w:lineRule="auto"/>
        <w:ind w:left="120" w:right="100"/>
      </w:pPr>
      <w:r>
        <w:rPr>
          <w:rFonts w:ascii="Calibri" w:hAnsi="Calibri" w:eastAsia="Calibri"/>
          <w:b/>
          <w:color w:val="008EA3"/>
          <w:sz w:val="15"/>
        </w:rPr>
        <w:t>FALA DO HOST</w:t>
        <w:br/>
      </w:r>
      <w:r>
        <w:rPr>
          <w:rFonts w:ascii="Calibri" w:hAnsi="Calibri" w:eastAsia="Calibri"/>
          <w:i w:val="0"/>
          <w:color w:val="20242B"/>
          <w:sz w:val="19"/>
        </w:rPr>
        <w:t>“Este é o Concefor Podcast. Eu converso agora com a Dra. Jaqueline Sanz, titular da Assessoria Estratégica Institucional da Secretaria Estadual das Mulheres e coordenadora do Atlas das Mulheres do Espírito Santo. Ela acaba de participar da mesa ‘Tecnologia Delas’.”</w:t>
      </w:r>
    </w:p>
    <w:p>
      <w:pPr>
        <w:pStyle w:val="Heading2"/>
      </w:pPr>
      <w:r>
        <w:t>CONVERSA PRINCIPAL · VERSÃO ATUAL SEM TRANSCRIÇÃO</w:t>
      </w:r>
    </w:p>
    <w:p>
      <w:pPr>
        <w:pStyle w:val="Question"/>
        <w:keepNext/>
        <w:numPr>
          <w:ilvl w:val="0"/>
          <w:numId w:val="10"/>
        </w:numPr>
      </w:pPr>
      <w:r>
        <w:rPr>
          <w:rFonts w:ascii="Calibri" w:hAnsi="Calibri" w:eastAsia="Calibri"/>
          <w:b/>
          <w:color w:val="D89900"/>
          <w:sz w:val="17"/>
        </w:rPr>
        <w:t xml:space="preserve">PRIORIZAR TRANSCRIÇÃO - </w:t>
      </w:r>
      <w:r>
        <w:rPr>
          <w:rFonts w:ascii="Calibri" w:hAnsi="Calibri" w:eastAsia="Calibri"/>
          <w:color w:val="20242B"/>
          <w:sz w:val="20"/>
        </w:rPr>
        <w:t>Na mesa “Tecnologia Delas”, qual afirmação ou divergência não pode ficar apenas no palco e precisa entrar na prática das instituições?</w:t>
      </w:r>
    </w:p>
    <w:p>
      <w:pPr>
        <w:shd w:fill="FFF7E3"/>
        <w:keepLines/>
        <w:pBdr>
          <w:left w:val="single" w:sz="18" w:space="6" w:color="D89900"/>
        </w:pBdr>
        <w:spacing w:before="20" w:after="80" w:line="240" w:lineRule="auto"/>
        <w:ind w:left="120" w:right="100"/>
      </w:pPr>
      <w:r>
        <w:rPr>
          <w:rFonts w:ascii="Calibri" w:hAnsi="Calibri" w:eastAsia="Calibri"/>
          <w:b/>
          <w:color w:val="D89900"/>
          <w:sz w:val="15"/>
        </w:rPr>
        <w:t>GANCHO · FALA DO HOST</w:t>
        <w:br/>
      </w:r>
      <w:r>
        <w:rPr>
          <w:rFonts w:ascii="Calibri" w:hAnsi="Calibri" w:eastAsia="Calibri"/>
          <w:i/>
          <w:color w:val="20242B"/>
          <w:sz w:val="17"/>
        </w:rPr>
        <w:t>“Para sair do palco e chegar à política pública, a discussão precisa virar evidência, prioridade e ação com responsável definido.”</w:t>
      </w:r>
    </w:p>
    <w:p>
      <w:pPr>
        <w:pStyle w:val="Question"/>
        <w:keepNext w:val="0"/>
        <w:numPr>
          <w:ilvl w:val="0"/>
          <w:numId w:val="10"/>
        </w:numPr>
      </w:pPr>
      <w:r>
        <w:rPr>
          <w:rFonts w:ascii="Calibri" w:hAnsi="Calibri" w:eastAsia="Calibri"/>
          <w:color w:val="20242B"/>
          <w:sz w:val="20"/>
        </w:rPr>
        <w:t>O Atlas ouviu mais de 1,4 mil mulheres e encerra os capítulos com ações prioritárias. Qual recomendação já está madura para virar política, e o que ainda impede essa passagem?</w:t>
      </w:r>
    </w:p>
    <w:p>
      <w:pPr>
        <w:pStyle w:val="Question"/>
        <w:keepNext/>
        <w:numPr>
          <w:ilvl w:val="0"/>
          <w:numId w:val="10"/>
        </w:numPr>
      </w:pPr>
      <w:r>
        <w:rPr>
          <w:rFonts w:ascii="Calibri" w:hAnsi="Calibri" w:eastAsia="Calibri"/>
          <w:color w:val="20242B"/>
          <w:sz w:val="20"/>
        </w:rPr>
        <w:t>Seu estudo sobre Ater Digital ouviu 137 extensionistas dos 78 municípios. Que erro a EaD e os serviços públicos cometem quando digitalizam antes de garantir infraestrutura, formação e adequação ao território?</w:t>
      </w:r>
    </w:p>
    <w:p>
      <w:pPr>
        <w:shd w:fill="FFF7E3"/>
        <w:keepLines/>
        <w:pBdr>
          <w:left w:val="single" w:sz="18" w:space="6" w:color="D89900"/>
        </w:pBdr>
        <w:spacing w:before="20" w:after="80" w:line="240" w:lineRule="auto"/>
        <w:ind w:left="120" w:right="100"/>
      </w:pPr>
      <w:r>
        <w:rPr>
          <w:rFonts w:ascii="Calibri" w:hAnsi="Calibri" w:eastAsia="Calibri"/>
          <w:b/>
          <w:color w:val="D89900"/>
          <w:sz w:val="15"/>
        </w:rPr>
        <w:t>GANCHO · FALA DO HOST</w:t>
        <w:br/>
      </w:r>
      <w:r>
        <w:rPr>
          <w:rFonts w:ascii="Calibri" w:hAnsi="Calibri" w:eastAsia="Calibri"/>
          <w:i/>
          <w:color w:val="20242B"/>
          <w:sz w:val="17"/>
        </w:rPr>
        <w:t>“O acesso é uma parte do problema; permanecer e avançar dentro das instituições é outra.”</w:t>
      </w:r>
    </w:p>
    <w:p>
      <w:pPr>
        <w:pStyle w:val="Question"/>
        <w:keepNext w:val="0"/>
        <w:numPr>
          <w:ilvl w:val="0"/>
          <w:numId w:val="10"/>
        </w:numPr>
      </w:pPr>
      <w:r>
        <w:rPr>
          <w:rFonts w:ascii="Calibri" w:hAnsi="Calibri" w:eastAsia="Calibri"/>
          <w:color w:val="20242B"/>
          <w:sz w:val="20"/>
        </w:rPr>
        <w:t>O Atlas registra que as mulheres são 27% entre pesquisadores com mais de 21 anos de atuação. Que hipótese sobre as instituições esse dado faz você querer testar, e o que ainda precisa ser investigado antes de propor uma política?</w:t>
      </w:r>
    </w:p>
    <w:p>
      <w:pPr>
        <w:pStyle w:val="Question"/>
        <w:keepNext w:val="0"/>
        <w:numPr>
          <w:ilvl w:val="0"/>
          <w:numId w:val="10"/>
        </w:numPr>
      </w:pPr>
      <w:r>
        <w:rPr>
          <w:rFonts w:ascii="Calibri" w:hAnsi="Calibri" w:eastAsia="Calibri"/>
          <w:color w:val="20242B"/>
          <w:sz w:val="20"/>
        </w:rPr>
        <w:t>Agora que o Atlas também virou exposição e podcast, como devolver o conhecimento às comunidades para que elas possam contestar e atualizar o retrato, em vez de serem apenas fonte de dados?</w:t>
      </w:r>
    </w:p>
    <w:p>
      <w:pPr>
        <w:pStyle w:val="Heading2"/>
      </w:pPr>
      <w:r>
        <w:t>ENCERRAMENTO</w:t>
      </w:r>
    </w:p>
    <w:p>
      <w:pPr>
        <w:shd w:fill="EEF3F9"/>
        <w:keepLines/>
        <w:pBdr>
          <w:left w:val="single" w:sz="18" w:space="6" w:color="173A6B"/>
        </w:pBdr>
        <w:spacing w:before="20" w:after="0" w:line="252" w:lineRule="auto"/>
        <w:ind w:left="120" w:right="100"/>
      </w:pPr>
      <w:r>
        <w:rPr>
          <w:rFonts w:ascii="Calibri" w:hAnsi="Calibri" w:eastAsia="Calibri"/>
          <w:b/>
          <w:color w:val="173A6B"/>
          <w:sz w:val="15"/>
        </w:rPr>
        <w:t>FALA DO HOST</w:t>
        <w:br/>
      </w:r>
      <w:r>
        <w:rPr>
          <w:rFonts w:ascii="Calibri" w:hAnsi="Calibri" w:eastAsia="Calibri"/>
          <w:i w:val="0"/>
          <w:color w:val="20242B"/>
          <w:sz w:val="19"/>
        </w:rPr>
        <w:t>“Jaqueline, agradeço por mostrar que tecnologia inclusiva começa por enxergar pessoas, territórios e relações de poder. O Atlas das Mulheres do Espírito Santo está disponível para consulta pública. Até o próximo episódio.”</w:t>
      </w:r>
    </w:p>
    <w:p>
      <w:pPr>
        <w:spacing w:before="0" w:after="0"/>
      </w:pPr>
      <w:r>
        <w:br w:type="page"/>
      </w:r>
    </w:p>
    <w:p>
      <w:pPr>
        <w:pStyle w:val="Kicker"/>
      </w:pPr>
      <w:r>
        <w:t>CARTA NA MANGA</w:t>
      </w:r>
    </w:p>
    <w:p>
      <w:pPr>
        <w:pStyle w:val="Heading1"/>
      </w:pPr>
      <w:r>
        <w:t>Perguntas extras · Dra. Jaqueline Sanz</w:t>
      </w:r>
    </w:p>
    <w:p>
      <w:pPr>
        <w:spacing w:before="0" w:after="140" w:line="252" w:lineRule="auto"/>
      </w:pPr>
      <w:r>
        <w:rPr>
          <w:rFonts w:ascii="Calibri" w:hAnsi="Calibri" w:eastAsia="Calibri"/>
          <w:b/>
          <w:color w:val="008EA3"/>
          <w:sz w:val="18"/>
        </w:rPr>
        <w:t xml:space="preserve">Como usar: </w:t>
      </w:r>
      <w:r>
        <w:rPr>
          <w:rFonts w:ascii="Calibri" w:hAnsi="Calibri" w:eastAsia="Calibri"/>
          <w:color w:val="5E6875"/>
          <w:sz w:val="18"/>
        </w:rPr>
        <w:t>escolha uma ou duas conforme o rumo da conversa. Se a transcrição substituir perguntas da página 1, mova-as para esta lista. O banco pode crescer sem limite.</w:t>
      </w:r>
    </w:p>
    <w:p>
      <w:pPr>
        <w:pStyle w:val="ExtraQuestion"/>
        <w:keepNext w:val="0"/>
        <w:numPr>
          <w:ilvl w:val="0"/>
          <w:numId w:val="11"/>
        </w:numPr>
      </w:pPr>
      <w:r>
        <w:rPr>
          <w:rFonts w:ascii="Calibri" w:hAnsi="Calibri" w:eastAsia="Calibri"/>
          <w:color w:val="20242B"/>
          <w:sz w:val="20"/>
        </w:rPr>
        <w:t>Quando os números e a escuta das mulheres apontam prioridades diferentes, como uma equipe pública deve decidir o que pesa mais?</w:t>
      </w:r>
    </w:p>
    <w:p>
      <w:pPr>
        <w:pStyle w:val="ExtraQuestion"/>
        <w:keepNext w:val="0"/>
        <w:numPr>
          <w:ilvl w:val="0"/>
          <w:numId w:val="11"/>
        </w:numPr>
      </w:pPr>
      <w:r>
        <w:rPr>
          <w:rFonts w:ascii="Calibri" w:hAnsi="Calibri" w:eastAsia="Calibri"/>
          <w:color w:val="20242B"/>
          <w:sz w:val="20"/>
        </w:rPr>
        <w:t>O Atlas reúne mulheres de 19 segmentos. Você pode dar um exemplo de solução que parece inclusiva quando pensamos numa usuária abstrata, mas falha diante de um território concreto?</w:t>
      </w:r>
    </w:p>
    <w:p>
      <w:pPr>
        <w:pStyle w:val="ExtraQuestion"/>
        <w:keepNext w:val="0"/>
        <w:numPr>
          <w:ilvl w:val="0"/>
          <w:numId w:val="11"/>
        </w:numPr>
      </w:pPr>
      <w:r>
        <w:rPr>
          <w:rFonts w:ascii="Calibri" w:hAnsi="Calibri" w:eastAsia="Calibri"/>
          <w:color w:val="20242B"/>
          <w:sz w:val="20"/>
        </w:rPr>
        <w:t>O que uma planilha não consegue mostrar e precisa ser preservado quando um relato vira diagnóstico ou política pública?</w:t>
      </w:r>
    </w:p>
    <w:p>
      <w:pPr>
        <w:pStyle w:val="ExtraQuestion"/>
        <w:keepNext w:val="0"/>
        <w:numPr>
          <w:ilvl w:val="0"/>
          <w:numId w:val="11"/>
        </w:numPr>
      </w:pPr>
      <w:r>
        <w:rPr>
          <w:rFonts w:ascii="Calibri" w:hAnsi="Calibri" w:eastAsia="Calibri"/>
          <w:color w:val="20242B"/>
          <w:sz w:val="20"/>
        </w:rPr>
        <w:t>Dados mais detalhados aumentam a visibilidade, mas também podem expor grupos pequenos. Como equilibrar precisão, proteção e participação?</w:t>
      </w:r>
    </w:p>
    <w:p>
      <w:pPr>
        <w:pStyle w:val="ExtraQuestion"/>
        <w:keepNext w:val="0"/>
        <w:numPr>
          <w:ilvl w:val="0"/>
          <w:numId w:val="11"/>
        </w:numPr>
      </w:pPr>
      <w:r>
        <w:rPr>
          <w:rFonts w:ascii="Calibri" w:hAnsi="Calibri" w:eastAsia="Calibri"/>
          <w:color w:val="20242B"/>
          <w:sz w:val="20"/>
        </w:rPr>
        <w:t>Quase metade das participantes do Atlas são as principais provedoras de suas famílias. O que muda no desenho de um serviço quando trabalho remunerado e cuidado precisam ser considerados juntos?</w:t>
      </w:r>
    </w:p>
    <w:p>
      <w:pPr>
        <w:pStyle w:val="ExtraQuestion"/>
        <w:keepNext w:val="0"/>
        <w:numPr>
          <w:ilvl w:val="0"/>
          <w:numId w:val="11"/>
        </w:numPr>
      </w:pPr>
      <w:r>
        <w:rPr>
          <w:rFonts w:ascii="Calibri" w:hAnsi="Calibri" w:eastAsia="Calibri"/>
          <w:color w:val="20242B"/>
          <w:sz w:val="20"/>
        </w:rPr>
        <w:t>Em 'Conexões Quilombolas', memória, território e tecnologias tradicionais aparecem lado a lado. O que muda quando a inovação começa reconhecendo o conhecimento que já existe na comunidade?</w:t>
      </w:r>
    </w:p>
    <w:p>
      <w:pPr>
        <w:pStyle w:val="ExtraQuestion"/>
        <w:keepNext w:val="0"/>
        <w:numPr>
          <w:ilvl w:val="0"/>
          <w:numId w:val="11"/>
        </w:numPr>
      </w:pPr>
      <w:r>
        <w:rPr>
          <w:rFonts w:ascii="Calibri" w:hAnsi="Calibri" w:eastAsia="Calibri"/>
          <w:color w:val="20242B"/>
          <w:sz w:val="20"/>
        </w:rPr>
        <w:t>Antes de substituir um atendimento presencial por um aplicativo, qual pergunta uma instituição deveria ser obrigada a responder?</w:t>
      </w:r>
    </w:p>
    <w:p>
      <w:pPr>
        <w:pStyle w:val="ExtraQuestion"/>
        <w:keepNext w:val="0"/>
        <w:numPr>
          <w:ilvl w:val="0"/>
          <w:numId w:val="11"/>
        </w:numPr>
      </w:pPr>
      <w:r>
        <w:rPr>
          <w:rFonts w:ascii="Calibri" w:hAnsi="Calibri" w:eastAsia="Calibri"/>
          <w:color w:val="20242B"/>
          <w:sz w:val="20"/>
        </w:rPr>
        <w:t>Ao transformar pesquisa em exposição e podcast, como evitar que histórias complexas virem apenas ilustrações emocionais?</w:t>
      </w:r>
    </w:p>
    <w:p>
      <w:pPr>
        <w:pStyle w:val="ExtraQuestion"/>
        <w:keepNext w:val="0"/>
        <w:numPr>
          <w:ilvl w:val="0"/>
          <w:numId w:val="11"/>
        </w:numPr>
      </w:pPr>
      <w:r>
        <w:rPr>
          <w:rFonts w:ascii="Calibri" w:hAnsi="Calibri" w:eastAsia="Calibri"/>
          <w:color w:val="20242B"/>
          <w:sz w:val="20"/>
        </w:rPr>
        <w:t>Além de acessos, inscrições ou downloads, que sinal mostraria que uma tecnologia pública realmente melhorou a vida das mulheres?</w:t>
      </w:r>
    </w:p>
    <w:p>
      <w:pPr>
        <w:pStyle w:val="ExtraQuestion"/>
        <w:keepNext w:val="0"/>
        <w:numPr>
          <w:ilvl w:val="0"/>
          <w:numId w:val="11"/>
        </w:numPr>
      </w:pPr>
      <w:r>
        <w:rPr>
          <w:rFonts w:ascii="Calibri" w:hAnsi="Calibri" w:eastAsia="Calibri"/>
          <w:color w:val="20242B"/>
          <w:sz w:val="20"/>
        </w:rPr>
        <w:t>Daqui a dois anos, que mudança concreta faria você dizer que os dados e as conversas do Atlas produziram consequência real?</w:t>
      </w:r>
    </w:p>
    <w:p>
      <w:pPr>
        <w:spacing w:before="80" w:after="0"/>
      </w:pPr>
      <w:r>
        <w:rPr>
          <w:rFonts w:ascii="Calibri" w:hAnsi="Calibri" w:eastAsia="Calibri"/>
          <w:b/>
          <w:color w:val="5E6875"/>
          <w:sz w:val="17"/>
        </w:rPr>
        <w:t>NOTAS DO HOST:  ________________________________________________________________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794" w:right="850" w:bottom="794" w:left="850" w:header="34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10206" w:val="right"/>
      </w:tabs>
      <w:spacing w:before="0" w:after="0" w:line="240" w:lineRule="auto"/>
    </w:pPr>
    <w:r>
      <w:rPr>
        <w:rFonts w:ascii="Calibri" w:hAnsi="Calibri" w:eastAsia="Calibri"/>
        <w:color w:val="5E6875"/>
        <w:sz w:val="15"/>
      </w:rPr>
      <w:t>Roteiro editável · priorizar a transcrição quando disponível</w:t>
    </w:r>
    <w:r>
      <w:rPr>
        <w:rFonts w:ascii="Calibri" w:hAnsi="Calibri" w:eastAsia="Calibri"/>
        <w:color w:val="5E6875"/>
        <w:sz w:val="15"/>
      </w:rPr>
      <w:tab/>
      <w:t xml:space="preserve">Página </w:t>
    </w:r>
    <w:r>
      <w:rPr>
        <w:rFonts w:ascii="Calibri" w:hAnsi="Calibri" w:eastAsia="Calibri"/>
        <w:color w:val="5E6875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Calibri" w:hAnsi="Calibri" w:eastAsia="Calibri"/>
        <w:color w:val="5E6875"/>
        <w:sz w:val="15"/>
      </w:rPr>
      <w:t xml:space="preserve"> de </w:t>
    </w:r>
    <w:r>
      <w:rPr>
        <w:rFonts w:ascii="Calibri" w:hAnsi="Calibri" w:eastAsia="Calibri"/>
        <w:color w:val="5E6875"/>
        <w:sz w:val="16"/>
      </w:rPr>
      <w:fldChar w:fldCharType="begin"/>
      <w:instrText xml:space="preserve">NUMPAGES</w:instrText>
      <w:fldChar w:fldCharType="separate"/>
      <w:t>2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10206" w:val="right"/>
      </w:tabs>
      <w:spacing w:before="0" w:after="0" w:line="240" w:lineRule="auto"/>
    </w:pPr>
    <w:r>
      <w:rPr>
        <w:rFonts w:ascii="Calibri" w:hAnsi="Calibri" w:eastAsia="Calibri"/>
        <w:b/>
        <w:color w:val="008EA3"/>
        <w:sz w:val="15"/>
      </w:rPr>
      <w:t>CONCEFOR PODCAST</w:t>
    </w:r>
    <w:r>
      <w:rPr>
        <w:rFonts w:ascii="Calibri" w:hAnsi="Calibri" w:eastAsia="Calibri"/>
        <w:color w:val="5E6875"/>
        <w:sz w:val="15"/>
      </w:rPr>
      <w:tab/>
      <w:t>EP. 2 · Dra. Jaqueline Sanz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650"/>
        </w:tabs>
        <w:ind w:left="650" w:hanging="380"/>
      </w:pPr>
      <w:rPr>
        <w:color w:val="173A6B"/>
        <w:b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650"/>
        </w:tabs>
        <w:ind w:left="650" w:hanging="380"/>
      </w:pPr>
      <w:rPr>
        <w:color w:val="173A6B"/>
        <w:b/>
      </w:r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 w:line="252" w:lineRule="auto"/>
    </w:pPr>
    <w:rPr>
      <w:rFonts w:ascii="Calibri" w:hAnsi="Calibri"/>
      <w:color w:val="20242B"/>
      <w:sz w:val="20"/>
      <w:lang w:val="pt-B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173A6B"/>
      <w:sz w:val="34"/>
      <w:szCs w:val="28"/>
      <w:lang w:val="pt-BR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 w:ascii="Calibri" w:hAnsi="Calibri"/>
      <w:b/>
      <w:bCs/>
      <w:color w:val="008EA3"/>
      <w:sz w:val="20"/>
      <w:szCs w:val="26"/>
      <w:lang w:val="pt-BR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6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73A6B"/>
      <w:spacing w:val="5"/>
      <w:kern w:val="28"/>
      <w:sz w:val="42"/>
      <w:szCs w:val="52"/>
      <w:lang w:val="pt-BR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20"/>
    </w:pPr>
    <w:rPr>
      <w:rFonts w:asciiTheme="majorHAnsi" w:eastAsiaTheme="majorEastAsia" w:hAnsiTheme="majorHAnsi" w:cstheme="majorBidi" w:ascii="Calibri" w:hAnsi="Calibri"/>
      <w:i/>
      <w:iCs/>
      <w:color w:val="5E6875"/>
      <w:spacing w:val="15"/>
      <w:sz w:val="19"/>
      <w:szCs w:val="24"/>
      <w:lang w:val="pt-BR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icker">
    <w:name w:val="Kicker"/>
    <w:pPr>
      <w:keepNext/>
      <w:spacing w:before="0" w:after="20"/>
    </w:pPr>
    <w:rPr>
      <w:rFonts w:ascii="Calibri" w:hAnsi="Calibri"/>
      <w:b/>
      <w:color w:val="008EA3"/>
      <w:sz w:val="17"/>
      <w:lang w:val="pt-BR"/>
    </w:rPr>
  </w:style>
  <w:style w:type="paragraph" w:customStyle="1" w:styleId="Question">
    <w:name w:val="Question"/>
    <w:basedOn w:val="Normal"/>
    <w:pPr>
      <w:keepLines/>
      <w:spacing w:before="0" w:after="80" w:line="247" w:lineRule="auto"/>
    </w:pPr>
    <w:rPr>
      <w:rFonts w:ascii="Calibri" w:hAnsi="Calibri"/>
      <w:color w:val="20242B"/>
      <w:sz w:val="20"/>
      <w:lang w:val="pt-BR"/>
    </w:rPr>
  </w:style>
  <w:style w:type="paragraph" w:customStyle="1" w:styleId="ExtraQuestion">
    <w:name w:val="Extra Question"/>
    <w:basedOn w:val="Normal"/>
    <w:pPr>
      <w:keepLines/>
      <w:spacing w:before="0" w:after="100" w:line="254" w:lineRule="auto"/>
    </w:pPr>
    <w:rPr>
      <w:rFonts w:ascii="Calibri" w:hAnsi="Calibri"/>
      <w:color w:val="20242B"/>
      <w:sz w:val="20"/>
      <w:lang w:val="pt-BR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Concefor Podcast - Ep. 2 - Dra. Jaqueline Sanz</dc:title>
  <dc:subject>Roteiro editável do host</dc:subject>
  <dc:creator>Concefor Podcast</dc:creator>
  <cp:keywords>Concefor, podcast, roteiro, entrevista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