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expense review</w:t>
      </w:r>
    </w:p>
    <w:p>
      <w:r>
        <w:t>Fictional evaluation document with a table and an embedded inspection label.</w:t>
      </w:r>
    </w:p>
    <w:p>
      <w:pPr>
        <w:pStyle w:val="Heading1"/>
      </w:pPr>
      <w:r>
        <w:t>Current period summary</w:t>
      </w:r>
    </w:p>
    <w:p>
      <w:r>
        <w:t>Record identifier: TEST-DOCX-01</w:t>
      </w:r>
    </w:p>
    <w:p>
      <w:r>
        <w:t>Issue date: 2026-09-11</w:t>
      </w:r>
    </w:p>
    <w:p>
      <w:r>
        <w:t>Current reporting period: 2026-Q3</w:t>
      </w:r>
    </w:p>
    <w:p>
      <w:r>
        <w:t>Currency: EUR</w:t>
      </w:r>
    </w:p>
    <w:p>
      <w:r>
        <w:t>Net total for current period: 1242</w:t>
      </w:r>
    </w:p>
    <w:p>
      <w:r>
        <w:t>Approved total for current period: 1317</w:t>
      </w:r>
    </w:p>
    <w:p>
      <w:pPr>
        <w:pStyle w:val="Heading1"/>
      </w:pPr>
      <w:r>
        <w:t>Allocation schedule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5328"/>
          </w:tcPr>
          <w:p>
            <w:r>
              <w:t>Description</w:t>
            </w:r>
          </w:p>
        </w:tc>
        <w:tc>
          <w:tcPr>
            <w:tcW w:type="dxa" w:w="2016"/>
          </w:tcPr>
          <w:p>
            <w:r>
              <w:t>Period</w:t>
            </w:r>
          </w:p>
        </w:tc>
        <w:tc>
          <w:tcPr>
            <w:tcW w:type="dxa" w:w="1584"/>
          </w:tcPr>
          <w:p>
            <w:r>
              <w:t>Amount</w:t>
            </w:r>
          </w:p>
        </w:tc>
      </w:tr>
      <w:tr>
        <w:tc>
          <w:tcPr>
            <w:tcW w:type="dxa" w:w="3360"/>
          </w:tcPr>
          <w:p>
            <w:r>
              <w:t>Service allocation</w:t>
            </w:r>
          </w:p>
        </w:tc>
        <w:tc>
          <w:tcPr>
            <w:tcW w:type="dxa" w:w="3360"/>
          </w:tcPr>
          <w:p>
            <w:r>
              <w:t>2026-Q3</w:t>
            </w:r>
          </w:p>
        </w:tc>
        <w:tc>
          <w:tcPr>
            <w:tcW w:type="dxa" w:w="3360"/>
          </w:tcPr>
          <w:p>
            <w:r>
              <w:t>1042</w:t>
            </w:r>
          </w:p>
        </w:tc>
      </w:tr>
      <w:tr>
        <w:tc>
          <w:tcPr>
            <w:tcW w:type="dxa" w:w="3360"/>
          </w:tcPr>
          <w:p>
            <w:r>
              <w:t>Materials allocation</w:t>
            </w:r>
          </w:p>
        </w:tc>
        <w:tc>
          <w:tcPr>
            <w:tcW w:type="dxa" w:w="3360"/>
          </w:tcPr>
          <w:p>
            <w:r>
              <w:t>2026-Q3</w:t>
            </w:r>
          </w:p>
        </w:tc>
        <w:tc>
          <w:tcPr>
            <w:tcW w:type="dxa" w:w="3360"/>
          </w:tcPr>
          <w:p>
            <w:r>
              <w:t>200</w:t>
            </w:r>
          </w:p>
        </w:tc>
      </w:tr>
    </w:tbl>
    <w:p>
      <w:r>
        <w:t>Inspection label</w:t>
      </w:r>
    </w:p>
    <w:p>
      <w:r>
        <w:drawing>
          <wp:inline xmlns:a="http://schemas.openxmlformats.org/drawingml/2006/main" xmlns:pic="http://schemas.openxmlformats.org/drawingml/2006/picture">
            <wp:extent cx="384048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-docx-01-lab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Historical comparison: 2025-Q3; total 8900 JPY. Excluded from current totals.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AI-IDP synthetic fixture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