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Laboratory cost record</w:t>
      </w:r>
    </w:p>
    <w:p>
      <w:r>
        <w:t>Fictional evaluation document with a table and an embedded inspection label.</w:t>
      </w:r>
    </w:p>
    <w:p>
      <w:pPr>
        <w:pStyle w:val="Heading1"/>
      </w:pPr>
      <w:r>
        <w:t>Laboratory batch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Record identifier</w:t>
            </w:r>
          </w:p>
        </w:tc>
        <w:tc>
          <w:tcPr>
            <w:tcW w:type="dxa" w:w="5040"/>
          </w:tcPr>
          <w:p>
            <w:r>
              <w:t>TEST-DOCX-04</w:t>
            </w:r>
          </w:p>
        </w:tc>
      </w:tr>
      <w:tr>
        <w:tc>
          <w:tcPr>
            <w:tcW w:type="dxa" w:w="5040"/>
          </w:tcPr>
          <w:p>
            <w:r>
              <w:t>Issue date</w:t>
            </w:r>
          </w:p>
        </w:tc>
        <w:tc>
          <w:tcPr>
            <w:tcW w:type="dxa" w:w="5040"/>
          </w:tcPr>
          <w:p>
            <w:r>
              <w:t>2026-09-14</w:t>
            </w:r>
          </w:p>
        </w:tc>
      </w:tr>
      <w:tr>
        <w:tc>
          <w:tcPr>
            <w:tcW w:type="dxa" w:w="5040"/>
          </w:tcPr>
          <w:p>
            <w:r>
              <w:t>Current reporting period</w:t>
            </w:r>
          </w:p>
        </w:tc>
        <w:tc>
          <w:tcPr>
            <w:tcW w:type="dxa" w:w="5040"/>
          </w:tcPr>
          <w:p>
            <w:r>
              <w:t>2026-Q3</w:t>
            </w:r>
          </w:p>
        </w:tc>
      </w:tr>
      <w:tr>
        <w:tc>
          <w:tcPr>
            <w:tcW w:type="dxa" w:w="5040"/>
          </w:tcPr>
          <w:p>
            <w:r>
              <w:t>Currency</w:t>
            </w:r>
          </w:p>
        </w:tc>
        <w:tc>
          <w:tcPr>
            <w:tcW w:type="dxa" w:w="5040"/>
          </w:tcPr>
          <w:p>
            <w:r>
              <w:t>EUR</w:t>
            </w:r>
          </w:p>
        </w:tc>
      </w:tr>
      <w:tr>
        <w:tc>
          <w:tcPr>
            <w:tcW w:type="dxa" w:w="5040"/>
          </w:tcPr>
          <w:p>
            <w:r>
              <w:t>Net total for current period</w:t>
            </w:r>
          </w:p>
        </w:tc>
        <w:tc>
          <w:tcPr>
            <w:tcW w:type="dxa" w:w="5040"/>
          </w:tcPr>
          <w:p>
            <w:r>
              <w:t>1653</w:t>
            </w:r>
          </w:p>
        </w:tc>
      </w:tr>
      <w:tr>
        <w:tc>
          <w:tcPr>
            <w:tcW w:type="dxa" w:w="5040"/>
          </w:tcPr>
          <w:p>
            <w:r>
              <w:t>Approved total for current period</w:t>
            </w:r>
          </w:p>
        </w:tc>
        <w:tc>
          <w:tcPr>
            <w:tcW w:type="dxa" w:w="5040"/>
          </w:tcPr>
          <w:p>
            <w:r>
              <w:t>1728</w:t>
            </w:r>
          </w:p>
        </w:tc>
      </w:tr>
    </w:tbl>
    <w:p>
      <w:pPr>
        <w:pStyle w:val="Heading1"/>
      </w:pPr>
      <w:r>
        <w:t>Allocation schedule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5328"/>
          </w:tcPr>
          <w:p>
            <w:r>
              <w:t>Description</w:t>
            </w:r>
          </w:p>
        </w:tc>
        <w:tc>
          <w:tcPr>
            <w:tcW w:type="dxa" w:w="2016"/>
          </w:tcPr>
          <w:p>
            <w:r>
              <w:t>Period</w:t>
            </w:r>
          </w:p>
        </w:tc>
        <w:tc>
          <w:tcPr>
            <w:tcW w:type="dxa" w:w="1584"/>
          </w:tcPr>
          <w:p>
            <w:r>
              <w:t>Amount</w:t>
            </w:r>
          </w:p>
        </w:tc>
      </w:tr>
      <w:tr>
        <w:tc>
          <w:tcPr>
            <w:tcW w:type="dxa" w:w="3360"/>
          </w:tcPr>
          <w:p>
            <w:r>
              <w:t>Service allocation</w:t>
            </w:r>
          </w:p>
        </w:tc>
        <w:tc>
          <w:tcPr>
            <w:tcW w:type="dxa" w:w="3360"/>
          </w:tcPr>
          <w:p>
            <w:r>
              <w:t>2026-Q3</w:t>
            </w:r>
          </w:p>
        </w:tc>
        <w:tc>
          <w:tcPr>
            <w:tcW w:type="dxa" w:w="3360"/>
          </w:tcPr>
          <w:p>
            <w:r>
              <w:t>1453</w:t>
            </w:r>
          </w:p>
        </w:tc>
      </w:tr>
      <w:tr>
        <w:tc>
          <w:tcPr>
            <w:tcW w:type="dxa" w:w="3360"/>
          </w:tcPr>
          <w:p>
            <w:r>
              <w:t>Materials allocation</w:t>
            </w:r>
          </w:p>
        </w:tc>
        <w:tc>
          <w:tcPr>
            <w:tcW w:type="dxa" w:w="3360"/>
          </w:tcPr>
          <w:p>
            <w:r>
              <w:t>2026-Q3</w:t>
            </w:r>
          </w:p>
        </w:tc>
        <w:tc>
          <w:tcPr>
            <w:tcW w:type="dxa" w:w="3360"/>
          </w:tcPr>
          <w:p>
            <w:r>
              <w:t>200</w:t>
            </w:r>
          </w:p>
        </w:tc>
      </w:tr>
    </w:tbl>
    <w:p>
      <w:r>
        <w:t>Inspection label</w:t>
      </w:r>
    </w:p>
    <w:p>
      <w:r>
        <w:drawing>
          <wp:inline xmlns:a="http://schemas.openxmlformats.org/drawingml/2006/main" xmlns:pic="http://schemas.openxmlformats.org/drawingml/2006/picture">
            <wp:extent cx="3840480" cy="603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-docx-04-lab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Historical comparison: 2025-Q3; total 8900 JPY. Excluded from current totals.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AI-IDP synthetic fixture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