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Transport settlement statement</w:t>
      </w:r>
    </w:p>
    <w:p>
      <w:r>
        <w:t>Fictional evaluation document with a table and an embedded inspection label.</w:t>
      </w:r>
    </w:p>
    <w:p>
      <w:pPr>
        <w:pStyle w:val="Heading1"/>
      </w:pPr>
      <w:r>
        <w:t>Settlement authorisation</w:t>
      </w:r>
    </w:p>
    <w:p>
      <w:r>
        <w:t>The approved settlement for 2026-Q3 is 1865 GBP. The net total is 1790. Record identifier: TEST-DOCX-05. Issue date: 2026-09-15.</w:t>
      </w:r>
    </w:p>
    <w:p>
      <w:pPr>
        <w:pStyle w:val="Heading1"/>
      </w:pPr>
      <w:r>
        <w:t>Allocation schedule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5328"/>
          </w:tcPr>
          <w:p>
            <w:r>
              <w:t>Description</w:t>
            </w:r>
          </w:p>
        </w:tc>
        <w:tc>
          <w:tcPr>
            <w:tcW w:type="dxa" w:w="2016"/>
          </w:tcPr>
          <w:p>
            <w:r>
              <w:t>Period</w:t>
            </w:r>
          </w:p>
        </w:tc>
        <w:tc>
          <w:tcPr>
            <w:tcW w:type="dxa" w:w="1584"/>
          </w:tcPr>
          <w:p>
            <w:r>
              <w:t>Amount</w:t>
            </w:r>
          </w:p>
        </w:tc>
      </w:tr>
      <w:tr>
        <w:tc>
          <w:tcPr>
            <w:tcW w:type="dxa" w:w="3360"/>
          </w:tcPr>
          <w:p>
            <w:r>
              <w:t>Service allocation</w:t>
            </w:r>
          </w:p>
        </w:tc>
        <w:tc>
          <w:tcPr>
            <w:tcW w:type="dxa" w:w="3360"/>
          </w:tcPr>
          <w:p>
            <w:r>
              <w:t>2026-Q3</w:t>
            </w:r>
          </w:p>
        </w:tc>
        <w:tc>
          <w:tcPr>
            <w:tcW w:type="dxa" w:w="3360"/>
          </w:tcPr>
          <w:p>
            <w:r>
              <w:t>1590</w:t>
            </w:r>
          </w:p>
        </w:tc>
      </w:tr>
      <w:tr>
        <w:tc>
          <w:tcPr>
            <w:tcW w:type="dxa" w:w="3360"/>
          </w:tcPr>
          <w:p>
            <w:r>
              <w:t>Materials allocation</w:t>
            </w:r>
          </w:p>
        </w:tc>
        <w:tc>
          <w:tcPr>
            <w:tcW w:type="dxa" w:w="3360"/>
          </w:tcPr>
          <w:p>
            <w:r>
              <w:t>2026-Q3</w:t>
            </w:r>
          </w:p>
        </w:tc>
        <w:tc>
          <w:tcPr>
            <w:tcW w:type="dxa" w:w="3360"/>
          </w:tcPr>
          <w:p>
            <w:r>
              <w:t>200</w:t>
            </w:r>
          </w:p>
        </w:tc>
      </w:tr>
    </w:tbl>
    <w:p>
      <w:r>
        <w:t>Inspection label</w:t>
      </w:r>
    </w:p>
    <w:p>
      <w:r>
        <w:drawing>
          <wp:inline xmlns:a="http://schemas.openxmlformats.org/drawingml/2006/main" xmlns:pic="http://schemas.openxmlformats.org/drawingml/2006/picture">
            <wp:extent cx="3840480" cy="603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-docx-05-lab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Historical comparison: 2025-Q3; total 8900 JPY. Excluded from current totals.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AI-IDP synthetic fixture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