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1. 근로기준법 및 시행령 주요내용 게시문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법정 게시·비치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근로기준법 제14조에 따른 상시 열람용 게시·비치 문안입니다.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7"/>
              </w:rPr>
              <w:t>근로기준법 제14조에 따라 사용자는 근로기준법과 대통령령의 주요 내용 및 취업규칙을 근로자가 자유롭게 열람할 수 있는 장소에 항상 게시하거나 갖추어 두어야 합니다.</w:t>
            </w:r>
          </w:p>
        </w:tc>
      </w:tr>
    </w:tbl>
    <w:p>
      <w:pPr>
        <w:pStyle w:val="Heading2"/>
        <w:keepNext/>
      </w:pPr>
      <w:r>
        <w:t>근로자가 알아야 할 핵심 근로조건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항목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주요 내용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근로조건의 기준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법에서 정한 기준보다 낮은 근로조건을 정한 부분은 무효가 될 수 있으며, 관계 법령·단체협약·근로계약·취업규칙의 적용관계를 확인합니다.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근로계약 서면명시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임금, 소정근로시간, 휴일, 연차유급휴가 등 법정 사항은 서면 또는 전자문서로 명시·교부합니다.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임금 지급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임금은 원칙적으로 통화로 근로자에게 직접, 전액을 매월 1회 이상 일정한 날짜에 지급합니다. 법령·단체협약 등에 따른 공제는 예외입니다.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임금명세서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임금 지급 시 구성항목, 계산방법, 공제내역 등이 기재된 명세서를 서면 또는 전자문서로 교부합니다.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근로시간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원칙적으로 1주 40시간, 1일 8시간을 기준으로 하며 연장근로는 법정 요건과 한도 내에서 운영합니다.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휴게·휴일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근로시간 도중 법정 휴게시간을 부여하고, 요건을 충족하는 근로자에게 주휴일을 보장합니다.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연장·야간·휴일근로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법정 요건에 해당하는 연장·야간·휴일근로에는 법정 가산임금을 지급합니다.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연차유급휴가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출근율 및 계속근로기간에 따라 법정 연차유급휴가를 부여하며, 회사는 법이 허용하는 범위에서 연차사용촉진을 실시할 수 있습니다.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해고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정당한 이유 없는 해고는 제한되며, 해고사유와 해고시기는 원칙적으로 서면 통지합니다. 해고예고 또는 예고수당의 적용 여부는 법정 요건에 따릅니다.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모성보호·일가정양립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임신·출산 보호, 출산전후휴가, 임신기 근로시간 단축 등 근로기준법상 보호제도를 운영하고, 육아휴직·육아기 근로시간 단축 등은 관계 법령에 따릅니다.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직장 내 괴롭힘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지위 또는 관계의 우위를 이용하여 업무상 적정범위를 넘어 신체적·정신적 고통을 주거나 근무환경을 악화시키는 행위를 금지합니다.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불리한 처우 금지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직장 내 괴롭힘 신고자·피해근로자 등에게 법에서 금지하는 해고나 불리한 처우를 하지 않습니다.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취업규칙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상시 10명 이상 사업장은 법정 기재사항을 포함한 취업규칙을 작성·신고하고, 근로자가 자유롭게 열람할 수 있게 합니다.</w:t>
            </w:r>
          </w:p>
        </w:tc>
      </w:tr>
    </w:tbl>
    <w:p>
      <w:pPr>
        <w:pStyle w:val="Heading2"/>
        <w:keepNext/>
      </w:pPr>
      <w:r>
        <w:t>사내 열람 위치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오프라인: [본사/사업장 게시판 위치]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온라인: [사내 인트라넷 &gt; HR &gt; 법정 게시·비치]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취업규칙 원문: [링크 또는 문서번호]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문의: [HR 담당부서 / 연락처]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근로기준법 및 시행령 주요내용 게시문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