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  <w:jc w:val="center"/>
      </w:pPr>
      <w:r>
        <w:rPr>
          <w:rFonts w:ascii="NanumSquare" w:hAnsi="NanumSquare" w:eastAsia="NanumSquare"/>
          <w:b/>
          <w:color w:val="111827"/>
          <w:sz w:val="37"/>
        </w:rPr>
        <w:t>3. 임금명세서 교부 안내 및 표준 기재 예시</w:t>
      </w:r>
    </w:p>
    <w:p>
      <w:pPr>
        <w:spacing w:after="120"/>
        <w:jc w:val="center"/>
      </w:pPr>
      <w:r>
        <w:rPr>
          <w:rFonts w:ascii="NanumSquare" w:hAnsi="NanumSquare" w:eastAsia="NanumSquare"/>
          <w:b/>
          <w:color w:val="2563EB"/>
          <w:sz w:val="18"/>
        </w:rPr>
        <w:t>300인 이상 IT 사업장 모델 · 2026년 10월 기준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087"/>
      </w:tblGrid>
      <w:tr>
        <w:tc>
          <w:tcPr>
            <w:tcW w:type="dxa" w:w="5100"/>
            <w:shd w:fill="EFF6FF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1D4ED8"/>
                <w:sz w:val="16"/>
              </w:rPr>
              <w:t>임금 지급 시 교부 의무</w:t>
            </w:r>
          </w:p>
        </w:tc>
        <w:tc>
          <w:tcPr>
            <w:tcW w:type="dxa" w:w="5100"/>
            <w:shd w:fill="F9FAFB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74151"/>
                <w:sz w:val="16"/>
              </w:rPr>
              <w:t>게시만으로 교부 의무를 대신할 수 없으며 실제 급여 지급 시 명세서를 교부해야 합니다.</w:t>
            </w:r>
          </w:p>
        </w:tc>
      </w:tr>
    </w:tbl>
    <w:p>
      <w:pPr>
        <w:spacing w:before="80" w:after="80"/>
      </w:pPr>
      <w:r>
        <w:rPr>
          <w:rFonts w:ascii="NanumSquare" w:hAnsi="NanumSquare" w:eastAsia="NanumSquare"/>
          <w:b/>
          <w:color w:val="9A3412"/>
          <w:sz w:val="16"/>
        </w:rPr>
        <w:t>회사 확정사항: [회사명] [시행일] [담당부서/담당자] [사내 게시·열람 위치]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9972"/>
            <w:shd w:fill="F3F4F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74151"/>
                <w:sz w:val="17"/>
              </w:rPr>
              <w:t>근로기준법 제48조제2항에 따라 임금 지급 시마다 임금명세서를 서면 또는 전자문서로 교부해야 합니다. 이 안내문을 게시하는 것만으로 임금명세서 교부 의무를 대신할 수 없습니다.</w:t>
            </w:r>
          </w:p>
        </w:tc>
      </w:tr>
    </w:tbl>
    <w:p>
      <w:pPr>
        <w:pStyle w:val="Heading2"/>
        <w:keepNext/>
      </w:pPr>
      <w:r>
        <w:t>필수 기재사항</w:t>
      </w:r>
    </w:p>
    <w:p>
      <w:pPr>
        <w:pStyle w:val="ListNumber"/>
      </w:pPr>
      <w:r>
        <w:rPr>
          <w:rFonts w:ascii="NanumSquare" w:hAnsi="NanumSquare" w:eastAsia="NanumSquare"/>
          <w:sz w:val="18"/>
        </w:rPr>
        <w:t>근로자를 특정할 수 있는 정보(성명, 생년월일, 사원번호 등)</w:t>
      </w:r>
    </w:p>
    <w:p>
      <w:pPr>
        <w:pStyle w:val="ListNumber"/>
      </w:pPr>
      <w:r>
        <w:rPr>
          <w:rFonts w:ascii="NanumSquare" w:hAnsi="NanumSquare" w:eastAsia="NanumSquare"/>
          <w:sz w:val="18"/>
        </w:rPr>
        <w:t>임금지급일</w:t>
      </w:r>
    </w:p>
    <w:p>
      <w:pPr>
        <w:pStyle w:val="ListNumber"/>
      </w:pPr>
      <w:r>
        <w:rPr>
          <w:rFonts w:ascii="NanumSquare" w:hAnsi="NanumSquare" w:eastAsia="NanumSquare"/>
          <w:sz w:val="18"/>
        </w:rPr>
        <w:t>임금 총액</w:t>
      </w:r>
    </w:p>
    <w:p>
      <w:pPr>
        <w:pStyle w:val="ListNumber"/>
      </w:pPr>
      <w:r>
        <w:rPr>
          <w:rFonts w:ascii="NanumSquare" w:hAnsi="NanumSquare" w:eastAsia="NanumSquare"/>
          <w:sz w:val="18"/>
        </w:rPr>
        <w:t>기본급·수당·상여금·성과금 등 구성항목별 금액</w:t>
      </w:r>
    </w:p>
    <w:p>
      <w:pPr>
        <w:pStyle w:val="ListNumber"/>
      </w:pPr>
      <w:r>
        <w:rPr>
          <w:rFonts w:ascii="NanumSquare" w:hAnsi="NanumSquare" w:eastAsia="NanumSquare"/>
          <w:sz w:val="18"/>
        </w:rPr>
        <w:t>출근일수·시간 등에 따라 달라지는 항목의 계산방법(연장·야간·휴일근로 시간 수 포함)</w:t>
      </w:r>
    </w:p>
    <w:p>
      <w:pPr>
        <w:pStyle w:val="ListNumber"/>
      </w:pPr>
      <w:r>
        <w:rPr>
          <w:rFonts w:ascii="NanumSquare" w:hAnsi="NanumSquare" w:eastAsia="NanumSquare"/>
          <w:sz w:val="18"/>
        </w:rPr>
        <w:t>법령 등에 따라 임금 일부를 공제한 경우 공제항목별 금액과 총액 등 공제내역</w:t>
      </w:r>
    </w:p>
    <w:p>
      <w:pPr>
        <w:pStyle w:val="Heading2"/>
        <w:keepNext/>
      </w:pPr>
      <w:r>
        <w:t>전자교부 운영기준</w:t>
      </w:r>
    </w:p>
    <w:p>
      <w:pPr>
        <w:pStyle w:val="ListBullet"/>
        <w:ind w:left="227" w:hanging="113"/>
      </w:pPr>
      <w:r>
        <w:rPr>
          <w:rFonts w:ascii="NanumSquare" w:hAnsi="NanumSquare" w:eastAsia="NanumSquare"/>
          <w:sz w:val="18"/>
        </w:rPr>
        <w:t>급여일에 HRIS·이메일 등 근로자가 실제로 확인·보관할 수 있는 전자방식으로 교부</w:t>
      </w:r>
    </w:p>
    <w:p>
      <w:pPr>
        <w:pStyle w:val="ListBullet"/>
        <w:ind w:left="227" w:hanging="113"/>
      </w:pPr>
      <w:r>
        <w:rPr>
          <w:rFonts w:ascii="NanumSquare" w:hAnsi="NanumSquare" w:eastAsia="NanumSquare"/>
          <w:sz w:val="18"/>
        </w:rPr>
        <w:t>퇴직자 또는 계정회수 예정자도 마지막 임금명세서를 확인할 수 있는 별도 방법 마련</w:t>
      </w:r>
    </w:p>
    <w:p>
      <w:pPr>
        <w:pStyle w:val="ListBullet"/>
        <w:ind w:left="227" w:hanging="113"/>
      </w:pPr>
      <w:r>
        <w:rPr>
          <w:rFonts w:ascii="NanumSquare" w:hAnsi="NanumSquare" w:eastAsia="NanumSquare"/>
          <w:sz w:val="18"/>
        </w:rPr>
        <w:t>계산근거가 필요한 수당은 산식과 적용시간을 명확히 표시</w:t>
      </w:r>
    </w:p>
    <w:p>
      <w:pPr>
        <w:pStyle w:val="ListBullet"/>
        <w:ind w:left="227" w:hanging="113"/>
      </w:pPr>
      <w:r>
        <w:rPr>
          <w:rFonts w:ascii="NanumSquare" w:hAnsi="NanumSquare" w:eastAsia="NanumSquare"/>
          <w:sz w:val="18"/>
        </w:rPr>
        <w:t>정정이 발생하면 정정 사유와 변경 전후 내역이 추적되도록 이력 관리</w:t>
      </w:r>
    </w:p>
    <w:p>
      <w:pPr>
        <w:pStyle w:val="Heading2"/>
        <w:keepNext/>
      </w:pPr>
      <w:r>
        <w:t>임금명세서 예시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17"/>
        <w:gridCol w:w="2381"/>
        <w:gridCol w:w="1984"/>
        <w:gridCol w:w="3685"/>
      </w:tblGrid>
      <w:tr>
        <w:tc>
          <w:tcPr>
            <w:tcW w:type="dxa" w:w="2493"/>
            <w:shd w:fill="E5E7EB"/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111827"/>
                <w:sz w:val="15"/>
              </w:rPr>
              <w:t>구분</w:t>
            </w:r>
          </w:p>
        </w:tc>
        <w:tc>
          <w:tcPr>
            <w:tcW w:type="dxa" w:w="2493"/>
            <w:shd w:fill="E5E7EB"/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111827"/>
                <w:sz w:val="15"/>
              </w:rPr>
              <w:t>항목</w:t>
            </w:r>
          </w:p>
        </w:tc>
        <w:tc>
          <w:tcPr>
            <w:tcW w:type="dxa" w:w="2493"/>
            <w:shd w:fill="E5E7EB"/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111827"/>
                <w:sz w:val="15"/>
              </w:rPr>
              <w:t>금액/시간</w:t>
            </w:r>
          </w:p>
        </w:tc>
        <w:tc>
          <w:tcPr>
            <w:tcW w:type="dxa" w:w="2493"/>
            <w:shd w:fill="E5E7EB"/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111827"/>
                <w:sz w:val="15"/>
              </w:rPr>
              <w:t>계산방법 또는 비고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5"/>
              </w:rPr>
              <w:t>지급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5"/>
              </w:rPr>
              <w:t>기본급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5"/>
              </w:rPr>
              <w:t>3,500,000원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5"/>
              </w:rPr>
              <w:t>월 기본급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5"/>
              </w:rPr>
              <w:t>지급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5"/>
              </w:rPr>
              <w:t>연장근로수당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5"/>
              </w:rPr>
              <w:t>187,500원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5"/>
              </w:rPr>
              <w:t>통상시급 × 1.5 × 10시간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5"/>
              </w:rPr>
              <w:t>지급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5"/>
              </w:rPr>
              <w:t>식대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5"/>
              </w:rPr>
              <w:t>200,000원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5"/>
              </w:rPr>
              <w:t>사내 임금규정 기준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5"/>
              </w:rPr>
              <w:t>공제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5"/>
              </w:rPr>
              <w:t>근로소득세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5"/>
              </w:rPr>
              <w:t>[금액]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5"/>
              </w:rPr>
              <w:t>간이세액표 및 신고기준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5"/>
              </w:rPr>
              <w:t>공제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5"/>
              </w:rPr>
              <w:t>국민연금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5"/>
              </w:rPr>
              <w:t>[금액]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5"/>
              </w:rPr>
              <w:t>법정 보험료 기준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5"/>
              </w:rPr>
              <w:t>공제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5"/>
              </w:rPr>
              <w:t>건강보험/장기요양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5"/>
              </w:rPr>
              <w:t>[금액]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5"/>
              </w:rPr>
              <w:t>법정 보험료 기준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5"/>
              </w:rPr>
              <w:t>합계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5"/>
              </w:rPr>
              <w:t>지급총액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5"/>
              </w:rPr>
              <w:t>[금액]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5"/>
              </w:rPr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5"/>
              </w:rPr>
              <w:t>합계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5"/>
              </w:rPr>
              <w:t>공제총액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5"/>
              </w:rPr>
              <w:t>[금액]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5"/>
              </w:rPr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5"/>
              </w:rPr>
              <w:t>합계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5"/>
              </w:rPr>
              <w:t>실지급액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5"/>
              </w:rPr>
              <w:t>[금액]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5"/>
              </w:rPr>
              <w:t>지급총액 - 공제총액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94" w:right="1020" w:bottom="79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NanumSquare" w:hAnsi="NanumSquare" w:eastAsia="NanumSquare"/>
        <w:color w:val="8A8A8A"/>
        <w:sz w:val="15"/>
      </w:rPr>
      <w:t xml:space="preserve">[회사명]  |  2026.10.12 기준  |  </w:t>
    </w:r>
    <w:r>
      <w:rPr>
        <w:rFonts w:ascii="NanumSquare" w:hAnsi="NanumSquare" w:eastAsia="NanumSquare"/>
        <w:color w:val="7A7A7A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NanumSquare" w:hAnsi="NanumSquare" w:eastAsia="NanumSquare"/>
        <w:color w:val="8A8A8A"/>
        <w:sz w:val="15"/>
      </w:rPr>
      <w:t>임금명세서 교부 안내 및 표준 기재 예시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83" w:lineRule="auto"/>
    </w:pPr>
    <w:rPr>
      <w:rFonts w:ascii="NanumSquare" w:hAnsi="NanumSquare" w:eastAsia="NanumSquare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 w:ascii="NanumSquare" w:hAnsi="NanumSquare" w:eastAsia="NanumSquare"/>
      <w:b/>
      <w:bCs/>
      <w:color w:val="11182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NanumSquare" w:hAnsi="NanumSquare" w:eastAsia="NanumSquare"/>
      <w:b/>
      <w:bCs/>
      <w:color w:val="1F29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anumSquare" w:hAnsi="NanumSquare" w:eastAsia="NanumSquare"/>
      <w:b/>
      <w:bCs/>
      <w:color w:val="37415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anumSquare" w:hAnsi="NanumSquare" w:eastAsia="NanumSquare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