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NanumSquare" w:hAnsi="NanumSquare" w:eastAsia="NanumSquare"/>
          <w:b/>
          <w:color w:val="111827"/>
          <w:sz w:val="37"/>
        </w:rPr>
        <w:t>8. 임직원 개인정보 처리방침(인사·노무 영역)</w:t>
      </w:r>
    </w:p>
    <w:p>
      <w:pPr>
        <w:spacing w:after="120"/>
        <w:jc w:val="center"/>
      </w:pPr>
      <w:r>
        <w:rPr>
          <w:rFonts w:ascii="NanumSquare" w:hAnsi="NanumSquare" w:eastAsia="NanumSquare"/>
          <w:b/>
          <w:color w:val="2563EB"/>
          <w:sz w:val="18"/>
        </w:rPr>
        <w:t>300인 이상 IT 사업장 모델 · 2026년 10월 기준</w:t>
      </w:r>
    </w:p>
    <w:tbl>
      <w:tblPr>
        <w:tblW w:type="auto" w:w="0"/>
        <w:jc w:val="center"/>
        <w:tblLayout w:type="fixed"/>
        <w:tblLook w:firstColumn="1" w:firstRow="1" w:lastColumn="0" w:lastRow="0" w:noHBand="0" w:noVBand="1" w:val="04A0"/>
      </w:tblPr>
      <w:tblGrid>
        <w:gridCol w:w="2268"/>
        <w:gridCol w:w="7087"/>
      </w:tblGrid>
      <w:tr>
        <w:tc>
          <w:tcPr>
            <w:tcW w:type="dxa" w:w="5100"/>
            <w:shd w:fill="EFF6FF"/>
          </w:tcPr>
          <w:p>
            <w:pPr>
              <w:spacing w:after="0"/>
              <w:jc w:val="center"/>
            </w:pPr>
            <w:r>
              <w:rPr>
                <w:rFonts w:ascii="NanumSquare" w:hAnsi="NanumSquare" w:eastAsia="NanumSquare"/>
                <w:b/>
                <w:color w:val="1D4ED8"/>
                <w:sz w:val="16"/>
              </w:rPr>
              <w:t>개인정보 처리방침 수립·공개</w:t>
            </w:r>
          </w:p>
        </w:tc>
        <w:tc>
          <w:tcPr>
            <w:tcW w:type="dxa" w:w="5100"/>
            <w:shd w:fill="F9FAFB"/>
          </w:tcPr>
          <w:p>
            <w:pPr>
              <w:spacing w:after="0"/>
            </w:pPr>
            <w:r>
              <w:rPr>
                <w:rFonts w:ascii="NanumSquare" w:hAnsi="NanumSquare" w:eastAsia="NanumSquare"/>
                <w:color w:val="374151"/>
                <w:sz w:val="16"/>
              </w:rPr>
              <w:t>고객 개인정보 처리방침이 따로 있다면 회사 전체 처리방침과 정합성을 확인해야 합니다.</w:t>
            </w:r>
          </w:p>
        </w:tc>
      </w:tr>
    </w:tbl>
    <w:p>
      <w:pPr>
        <w:spacing w:before="80" w:after="80"/>
      </w:pPr>
      <w:r>
        <w:rPr>
          <w:rFonts w:ascii="NanumSquare" w:hAnsi="NanumSquare" w:eastAsia="NanumSquare"/>
          <w:b/>
          <w:color w:val="9A3412"/>
          <w:sz w:val="16"/>
        </w:rPr>
        <w:t>회사 확정사항: [회사명] [시행일] [담당부서/담당자] [사내 게시·열람 위치]</w:t>
      </w:r>
    </w:p>
    <w:tbl>
      <w:tblPr>
        <w:tblW w:type="auto" w:w="0"/>
        <w:jc w:val="center"/>
        <w:tblLayout w:type="fixed"/>
        <w:tblLook w:firstColumn="1" w:firstRow="1" w:lastColumn="0" w:lastRow="0" w:noHBand="0" w:noVBand="1" w:val="04A0"/>
      </w:tblPr>
      <w:tblGrid>
        <w:gridCol w:w="9411"/>
      </w:tblGrid>
      <w:tr>
        <w:tc>
          <w:tcPr>
            <w:tcW w:type="dxa" w:w="9972"/>
            <w:shd w:fill="F3F4F6"/>
            <w:tcBorders>
              <w:top w:val="single" w:sz="4" w:color="D1D5DB"/>
              <w:left w:val="single" w:sz="4" w:color="D1D5DB"/>
              <w:bottom w:val="single" w:sz="4" w:color="D1D5DB"/>
              <w:right w:val="single" w:sz="4" w:color="D1D5DB"/>
            </w:tcBorders>
          </w:tcPr>
          <w:p>
            <w:pPr>
              <w:spacing w:after="0"/>
            </w:pPr>
            <w:r>
              <w:rPr>
                <w:rFonts w:ascii="NanumSquare" w:hAnsi="NanumSquare" w:eastAsia="NanumSquare"/>
                <w:color w:val="374151"/>
                <w:sz w:val="17"/>
              </w:rPr>
              <w:t>이 문안은 “임직원 인사정보 영역”의 모델입니다. 회사가 고객·이용자 개인정보도 처리한다면 회사 전체 개인정보 처리방침과 반드시 통합·정합성을 확인해야 합니다. 인터넷 홈페이지를 운영하는 경우 원칙적으로 홈페이지를 통해 쉽게 공개하고, 홈페이지 게재가 곤란한 경우 법령이 정한 대체 공개방법을 사용합니다.</w:t>
            </w:r>
          </w:p>
        </w:tc>
      </w:tr>
    </w:tbl>
    <w:p>
      <w:pPr>
        <w:pStyle w:val="Heading2"/>
        <w:keepNext/>
      </w:pPr>
      <w:r>
        <w:t>1) 개인정보의 처리 목적</w:t>
      </w:r>
    </w:p>
    <w:p>
      <w:pPr>
        <w:pStyle w:val="ListBullet"/>
        <w:ind w:left="227" w:hanging="113"/>
      </w:pPr>
      <w:r>
        <w:rPr>
          <w:rFonts w:ascii="NanumSquare" w:hAnsi="NanumSquare" w:eastAsia="NanumSquare"/>
          <w:sz w:val="18"/>
        </w:rPr>
        <w:t>채용·근로계약 체결 및 인사기록 관리</w:t>
      </w:r>
    </w:p>
    <w:p>
      <w:pPr>
        <w:pStyle w:val="ListBullet"/>
        <w:ind w:left="227" w:hanging="113"/>
      </w:pPr>
      <w:r>
        <w:rPr>
          <w:rFonts w:ascii="NanumSquare" w:hAnsi="NanumSquare" w:eastAsia="NanumSquare"/>
          <w:sz w:val="18"/>
        </w:rPr>
        <w:t>근태·휴가·급여·상여·퇴직금·세금 및 4대보험 처리</w:t>
      </w:r>
    </w:p>
    <w:p>
      <w:pPr>
        <w:pStyle w:val="ListBullet"/>
        <w:ind w:left="227" w:hanging="113"/>
      </w:pPr>
      <w:r>
        <w:rPr>
          <w:rFonts w:ascii="NanumSquare" w:hAnsi="NanumSquare" w:eastAsia="NanumSquare"/>
          <w:sz w:val="18"/>
        </w:rPr>
        <w:t>평가·승진·교육·복리후생·조직운영</w:t>
      </w:r>
    </w:p>
    <w:p>
      <w:pPr>
        <w:pStyle w:val="ListBullet"/>
        <w:ind w:left="227" w:hanging="113"/>
      </w:pPr>
      <w:r>
        <w:rPr>
          <w:rFonts w:ascii="NanumSquare" w:hAnsi="NanumSquare" w:eastAsia="NanumSquare"/>
          <w:sz w:val="18"/>
        </w:rPr>
        <w:t>산업안전보건·건강진단·재해대응 및 법정 의무 이행</w:t>
      </w:r>
    </w:p>
    <w:p>
      <w:pPr>
        <w:pStyle w:val="ListBullet"/>
        <w:ind w:left="227" w:hanging="113"/>
      </w:pPr>
      <w:r>
        <w:rPr>
          <w:rFonts w:ascii="NanumSquare" w:hAnsi="NanumSquare" w:eastAsia="NanumSquare"/>
          <w:sz w:val="18"/>
        </w:rPr>
        <w:t>보안·출입·정보자산·계정 관리, 감사 및 사고대응</w:t>
      </w:r>
    </w:p>
    <w:p>
      <w:pPr>
        <w:pStyle w:val="ListBullet"/>
        <w:ind w:left="227" w:hanging="113"/>
      </w:pPr>
      <w:r>
        <w:rPr>
          <w:rFonts w:ascii="NanumSquare" w:hAnsi="NanumSquare" w:eastAsia="NanumSquare"/>
          <w:sz w:val="18"/>
        </w:rPr>
        <w:t>분쟁 대응, 법령상 보존·제출 의무 이행</w:t>
      </w:r>
    </w:p>
    <w:p>
      <w:pPr>
        <w:pStyle w:val="Heading2"/>
        <w:keepNext/>
      </w:pPr>
      <w:r>
        <w:t>2) 처리하는 개인정보의 항목과 보유기간(모델)</w:t>
      </w:r>
    </w:p>
    <w:tbl>
      <w:tblPr>
        <w:tblStyle w:val="TableGrid"/>
        <w:tblW w:type="auto" w:w="0"/>
        <w:jc w:val="center"/>
        <w:tblLook w:firstColumn="1" w:firstRow="1" w:lastColumn="0" w:lastRow="0" w:noHBand="0" w:noVBand="1" w:val="04A0"/>
      </w:tblPr>
      <w:tblGrid>
        <w:gridCol w:w="1701"/>
        <w:gridCol w:w="4252"/>
        <w:gridCol w:w="3515"/>
      </w:tblGrid>
      <w:tr>
        <w:tc>
          <w:tcPr>
            <w:tcW w:type="dxa" w:w="3324"/>
            <w:shd w:fill="E5E7EB"/>
            <w:vAlign w:val="center"/>
          </w:tcPr>
          <w:p>
            <w:pPr>
              <w:spacing w:after="0"/>
              <w:jc w:val="center"/>
            </w:pPr>
            <w:r>
              <w:rPr>
                <w:rFonts w:ascii="NanumSquare" w:hAnsi="NanumSquare" w:eastAsia="NanumSquare"/>
                <w:b/>
                <w:color w:val="111827"/>
                <w:sz w:val="15"/>
              </w:rPr>
              <w:t>구분</w:t>
            </w:r>
          </w:p>
        </w:tc>
        <w:tc>
          <w:tcPr>
            <w:tcW w:type="dxa" w:w="3324"/>
            <w:shd w:fill="E5E7EB"/>
            <w:vAlign w:val="center"/>
          </w:tcPr>
          <w:p>
            <w:pPr>
              <w:spacing w:after="0"/>
              <w:jc w:val="center"/>
            </w:pPr>
            <w:r>
              <w:rPr>
                <w:rFonts w:ascii="NanumSquare" w:hAnsi="NanumSquare" w:eastAsia="NanumSquare"/>
                <w:b/>
                <w:color w:val="111827"/>
                <w:sz w:val="15"/>
              </w:rPr>
              <w:t>주요 항목 예시</w:t>
            </w:r>
          </w:p>
        </w:tc>
        <w:tc>
          <w:tcPr>
            <w:tcW w:type="dxa" w:w="3324"/>
            <w:shd w:fill="E5E7EB"/>
            <w:vAlign w:val="center"/>
          </w:tcPr>
          <w:p>
            <w:pPr>
              <w:spacing w:after="0"/>
              <w:jc w:val="center"/>
            </w:pPr>
            <w:r>
              <w:rPr>
                <w:rFonts w:ascii="NanumSquare" w:hAnsi="NanumSquare" w:eastAsia="NanumSquare"/>
                <w:b/>
                <w:color w:val="111827"/>
                <w:sz w:val="15"/>
              </w:rPr>
              <w:t>보유기간 원칙</w:t>
            </w:r>
          </w:p>
        </w:tc>
      </w:tr>
      <w:tr>
        <w:tc>
          <w:tcPr>
            <w:tcW w:type="dxa" w:w="1701"/>
            <w:vAlign w:val="top"/>
          </w:tcPr>
          <w:p>
            <w:pPr>
              <w:spacing w:after="0"/>
            </w:pPr>
            <w:r>
              <w:rPr>
                <w:rFonts w:ascii="NanumSquare" w:hAnsi="NanumSquare" w:eastAsia="NanumSquare"/>
                <w:sz w:val="15"/>
              </w:rPr>
              <w:t>기본 인사정보</w:t>
            </w:r>
          </w:p>
        </w:tc>
        <w:tc>
          <w:tcPr>
            <w:tcW w:type="dxa" w:w="4252"/>
            <w:vAlign w:val="top"/>
          </w:tcPr>
          <w:p>
            <w:pPr>
              <w:spacing w:after="0"/>
            </w:pPr>
            <w:r>
              <w:rPr>
                <w:rFonts w:ascii="NanumSquare" w:hAnsi="NanumSquare" w:eastAsia="NanumSquare"/>
                <w:sz w:val="15"/>
              </w:rPr>
              <w:t>성명, 연락처, 주소, 생년월일, 사번, 입사일, 소속·직책</w:t>
            </w:r>
          </w:p>
        </w:tc>
        <w:tc>
          <w:tcPr>
            <w:tcW w:type="dxa" w:w="3515"/>
            <w:vAlign w:val="top"/>
          </w:tcPr>
          <w:p>
            <w:pPr>
              <w:spacing w:after="0"/>
            </w:pPr>
            <w:r>
              <w:rPr>
                <w:rFonts w:ascii="NanumSquare" w:hAnsi="NanumSquare" w:eastAsia="NanumSquare"/>
                <w:sz w:val="15"/>
              </w:rPr>
              <w:t>재직 중 + 퇴직 후 관계 법령·분쟁 대응에 필요한 기간</w:t>
            </w:r>
          </w:p>
        </w:tc>
      </w:tr>
      <w:tr>
        <w:tc>
          <w:tcPr>
            <w:tcW w:type="dxa" w:w="1701"/>
            <w:vAlign w:val="top"/>
          </w:tcPr>
          <w:p>
            <w:pPr>
              <w:spacing w:after="0"/>
            </w:pPr>
            <w:r>
              <w:rPr>
                <w:rFonts w:ascii="NanumSquare" w:hAnsi="NanumSquare" w:eastAsia="NanumSquare"/>
                <w:sz w:val="15"/>
              </w:rPr>
              <w:t>급여·세무·보험</w:t>
            </w:r>
          </w:p>
        </w:tc>
        <w:tc>
          <w:tcPr>
            <w:tcW w:type="dxa" w:w="4252"/>
            <w:vAlign w:val="top"/>
          </w:tcPr>
          <w:p>
            <w:pPr>
              <w:spacing w:after="0"/>
            </w:pPr>
            <w:r>
              <w:rPr>
                <w:rFonts w:ascii="NanumSquare" w:hAnsi="NanumSquare" w:eastAsia="NanumSquare"/>
                <w:sz w:val="15"/>
              </w:rPr>
              <w:t>계좌, 급여항목, 가족/부양정보, 주민등록번호 등 법정 처리정보</w:t>
            </w:r>
          </w:p>
        </w:tc>
        <w:tc>
          <w:tcPr>
            <w:tcW w:type="dxa" w:w="3515"/>
            <w:vAlign w:val="top"/>
          </w:tcPr>
          <w:p>
            <w:pPr>
              <w:spacing w:after="0"/>
            </w:pPr>
            <w:r>
              <w:rPr>
                <w:rFonts w:ascii="NanumSquare" w:hAnsi="NanumSquare" w:eastAsia="NanumSquare"/>
                <w:sz w:val="15"/>
              </w:rPr>
              <w:t>세법·사회보험·근로관계 법령의 법정 보존기간</w:t>
            </w:r>
          </w:p>
        </w:tc>
      </w:tr>
      <w:tr>
        <w:tc>
          <w:tcPr>
            <w:tcW w:type="dxa" w:w="1701"/>
            <w:vAlign w:val="top"/>
          </w:tcPr>
          <w:p>
            <w:pPr>
              <w:spacing w:after="0"/>
            </w:pPr>
            <w:r>
              <w:rPr>
                <w:rFonts w:ascii="NanumSquare" w:hAnsi="NanumSquare" w:eastAsia="NanumSquare"/>
                <w:sz w:val="15"/>
              </w:rPr>
              <w:t>근태·휴가</w:t>
            </w:r>
          </w:p>
        </w:tc>
        <w:tc>
          <w:tcPr>
            <w:tcW w:type="dxa" w:w="4252"/>
            <w:vAlign w:val="top"/>
          </w:tcPr>
          <w:p>
            <w:pPr>
              <w:spacing w:after="0"/>
            </w:pPr>
            <w:r>
              <w:rPr>
                <w:rFonts w:ascii="NanumSquare" w:hAnsi="NanumSquare" w:eastAsia="NanumSquare"/>
                <w:sz w:val="15"/>
              </w:rPr>
              <w:t>출퇴근, 휴가, 연장근로, 재택근무 기록</w:t>
            </w:r>
          </w:p>
        </w:tc>
        <w:tc>
          <w:tcPr>
            <w:tcW w:type="dxa" w:w="3515"/>
            <w:vAlign w:val="top"/>
          </w:tcPr>
          <w:p>
            <w:pPr>
              <w:spacing w:after="0"/>
            </w:pPr>
            <w:r>
              <w:rPr>
                <w:rFonts w:ascii="NanumSquare" w:hAnsi="NanumSquare" w:eastAsia="NanumSquare"/>
                <w:sz w:val="15"/>
              </w:rPr>
              <w:t>임금·근로시간 관련 법정 보존기간 및 분쟁대응 기간</w:t>
            </w:r>
          </w:p>
        </w:tc>
      </w:tr>
      <w:tr>
        <w:tc>
          <w:tcPr>
            <w:tcW w:type="dxa" w:w="1701"/>
            <w:vAlign w:val="top"/>
          </w:tcPr>
          <w:p>
            <w:pPr>
              <w:spacing w:after="0"/>
            </w:pPr>
            <w:r>
              <w:rPr>
                <w:rFonts w:ascii="NanumSquare" w:hAnsi="NanumSquare" w:eastAsia="NanumSquare"/>
                <w:sz w:val="15"/>
              </w:rPr>
              <w:t>평가·교육</w:t>
            </w:r>
          </w:p>
        </w:tc>
        <w:tc>
          <w:tcPr>
            <w:tcW w:type="dxa" w:w="4252"/>
            <w:vAlign w:val="top"/>
          </w:tcPr>
          <w:p>
            <w:pPr>
              <w:spacing w:after="0"/>
            </w:pPr>
            <w:r>
              <w:rPr>
                <w:rFonts w:ascii="NanumSquare" w:hAnsi="NanumSquare" w:eastAsia="NanumSquare"/>
                <w:sz w:val="15"/>
              </w:rPr>
              <w:t>평가 결과, 목표, 피드백, 교육이력, 자격</w:t>
            </w:r>
          </w:p>
        </w:tc>
        <w:tc>
          <w:tcPr>
            <w:tcW w:type="dxa" w:w="3515"/>
            <w:vAlign w:val="top"/>
          </w:tcPr>
          <w:p>
            <w:pPr>
              <w:spacing w:after="0"/>
            </w:pPr>
            <w:r>
              <w:rPr>
                <w:rFonts w:ascii="NanumSquare" w:hAnsi="NanumSquare" w:eastAsia="NanumSquare"/>
                <w:sz w:val="15"/>
              </w:rPr>
              <w:t>인사운영 목적 달성 시까지 + 필요한 보존기간</w:t>
            </w:r>
          </w:p>
        </w:tc>
      </w:tr>
      <w:tr>
        <w:tc>
          <w:tcPr>
            <w:tcW w:type="dxa" w:w="1701"/>
            <w:vAlign w:val="top"/>
          </w:tcPr>
          <w:p>
            <w:pPr>
              <w:spacing w:after="0"/>
            </w:pPr>
            <w:r>
              <w:rPr>
                <w:rFonts w:ascii="NanumSquare" w:hAnsi="NanumSquare" w:eastAsia="NanumSquare"/>
                <w:sz w:val="15"/>
              </w:rPr>
              <w:t>안전·보건</w:t>
            </w:r>
          </w:p>
        </w:tc>
        <w:tc>
          <w:tcPr>
            <w:tcW w:type="dxa" w:w="4252"/>
            <w:vAlign w:val="top"/>
          </w:tcPr>
          <w:p>
            <w:pPr>
              <w:spacing w:after="0"/>
            </w:pPr>
            <w:r>
              <w:rPr>
                <w:rFonts w:ascii="NanumSquare" w:hAnsi="NanumSquare" w:eastAsia="NanumSquare"/>
                <w:sz w:val="15"/>
              </w:rPr>
              <w:t>건강진단 관련 정보, 산업재해 기록 등 민감정보</w:t>
            </w:r>
          </w:p>
        </w:tc>
        <w:tc>
          <w:tcPr>
            <w:tcW w:type="dxa" w:w="3515"/>
            <w:vAlign w:val="top"/>
          </w:tcPr>
          <w:p>
            <w:pPr>
              <w:spacing w:after="0"/>
            </w:pPr>
            <w:r>
              <w:rPr>
                <w:rFonts w:ascii="NanumSquare" w:hAnsi="NanumSquare" w:eastAsia="NanumSquare"/>
                <w:sz w:val="15"/>
              </w:rPr>
              <w:t>관계 법령상 보존기간</w:t>
            </w:r>
          </w:p>
        </w:tc>
      </w:tr>
      <w:tr>
        <w:tc>
          <w:tcPr>
            <w:tcW w:type="dxa" w:w="1701"/>
            <w:vAlign w:val="top"/>
          </w:tcPr>
          <w:p>
            <w:pPr>
              <w:spacing w:after="0"/>
            </w:pPr>
            <w:r>
              <w:rPr>
                <w:rFonts w:ascii="NanumSquare" w:hAnsi="NanumSquare" w:eastAsia="NanumSquare"/>
                <w:sz w:val="15"/>
              </w:rPr>
              <w:t>보안·출입</w:t>
            </w:r>
          </w:p>
        </w:tc>
        <w:tc>
          <w:tcPr>
            <w:tcW w:type="dxa" w:w="4252"/>
            <w:vAlign w:val="top"/>
          </w:tcPr>
          <w:p>
            <w:pPr>
              <w:spacing w:after="0"/>
            </w:pPr>
            <w:r>
              <w:rPr>
                <w:rFonts w:ascii="NanumSquare" w:hAnsi="NanumSquare" w:eastAsia="NanumSquare"/>
                <w:sz w:val="15"/>
              </w:rPr>
              <w:t>출입기록, 시스템 로그, 보안사고 기록</w:t>
            </w:r>
          </w:p>
        </w:tc>
        <w:tc>
          <w:tcPr>
            <w:tcW w:type="dxa" w:w="3515"/>
            <w:vAlign w:val="top"/>
          </w:tcPr>
          <w:p>
            <w:pPr>
              <w:spacing w:after="0"/>
            </w:pPr>
            <w:r>
              <w:rPr>
                <w:rFonts w:ascii="NanumSquare" w:hAnsi="NanumSquare" w:eastAsia="NanumSquare"/>
                <w:sz w:val="15"/>
              </w:rPr>
              <w:t>목적·법령·보안정책에 따라 최소 기간</w:t>
            </w:r>
          </w:p>
        </w:tc>
      </w:tr>
    </w:tbl>
    <w:tbl>
      <w:tblPr>
        <w:tblW w:type="auto" w:w="0"/>
        <w:jc w:val="center"/>
        <w:tblLayout w:type="fixed"/>
        <w:tblLook w:firstColumn="1" w:firstRow="1" w:lastColumn="0" w:lastRow="0" w:noHBand="0" w:noVBand="1" w:val="04A0"/>
      </w:tblPr>
      <w:tblGrid>
        <w:gridCol w:w="9411"/>
      </w:tblGrid>
      <w:tr>
        <w:tc>
          <w:tcPr>
            <w:tcW w:type="dxa" w:w="9972"/>
            <w:shd w:fill="FFF7ED"/>
            <w:tcBorders>
              <w:top w:val="single" w:sz="4" w:color="D1D5DB"/>
              <w:left w:val="single" w:sz="4" w:color="D1D5DB"/>
              <w:bottom w:val="single" w:sz="4" w:color="D1D5DB"/>
              <w:right w:val="single" w:sz="4" w:color="D1D5DB"/>
            </w:tcBorders>
          </w:tcPr>
          <w:p>
            <w:pPr>
              <w:spacing w:after="0"/>
            </w:pPr>
            <w:r>
              <w:rPr>
                <w:rFonts w:ascii="NanumSquare" w:hAnsi="NanumSquare" w:eastAsia="NanumSquare"/>
                <w:color w:val="9A3412"/>
                <w:sz w:val="17"/>
              </w:rPr>
              <w:t>실제 보유기간은 회사의 법정 보존기간표와 일치시켜야 합니다. “퇴직 후 5년”처럼 근거 없이 일괄 설정하지 말고 정보항목별 법적 근거·분쟁 가능성·목적을 확인해 확정합니다.</w:t>
            </w:r>
          </w:p>
        </w:tc>
      </w:tr>
    </w:tbl>
    <w:p>
      <w:pPr>
        <w:pStyle w:val="Heading2"/>
        <w:keepNext/>
      </w:pPr>
      <w:r>
        <w:t>3) 제3자 제공 및 처리위탁</w:t>
      </w:r>
    </w:p>
    <w:p>
      <w:pPr>
        <w:pStyle w:val="ListBullet"/>
        <w:ind w:left="227" w:hanging="113"/>
      </w:pPr>
      <w:r>
        <w:rPr>
          <w:rFonts w:ascii="NanumSquare" w:hAnsi="NanumSquare" w:eastAsia="NanumSquare"/>
          <w:sz w:val="18"/>
        </w:rPr>
        <w:t>법적 근거 또는 정보주체 동의가 있는 경우에만 필요한 범위에서 제3자에게 제공합니다.</w:t>
      </w:r>
    </w:p>
    <w:p>
      <w:pPr>
        <w:pStyle w:val="ListBullet"/>
        <w:ind w:left="227" w:hanging="113"/>
      </w:pPr>
      <w:r>
        <w:rPr>
          <w:rFonts w:ascii="NanumSquare" w:hAnsi="NanumSquare" w:eastAsia="NanumSquare"/>
          <w:sz w:val="18"/>
        </w:rPr>
        <w:t>급여·복리후생·채용·교육·시스템 운영 등을 외부 업체에 위탁하는 경우 수탁자, 위탁업무, 재위탁·안전조치·감독 등을 관계 법령에 따라 관리합니다.</w:t>
      </w:r>
    </w:p>
    <w:p>
      <w:pPr>
        <w:pStyle w:val="ListBullet"/>
        <w:ind w:left="227" w:hanging="113"/>
      </w:pPr>
      <w:r>
        <w:rPr>
          <w:rFonts w:ascii="NanumSquare" w:hAnsi="NanumSquare" w:eastAsia="NanumSquare"/>
          <w:sz w:val="18"/>
        </w:rPr>
        <w:t>실제 제3자 제공처와 수탁업체 목록은 [회사 개인정보 처리방침/별도 현황]에 최신 상태로 공개합니다.</w:t>
      </w:r>
    </w:p>
    <w:p>
      <w:pPr>
        <w:pStyle w:val="Heading2"/>
        <w:keepNext/>
      </w:pPr>
      <w:r>
        <w:t>4) 개인정보의 파기</w:t>
      </w:r>
    </w:p>
    <w:p>
      <w:pPr>
        <w:pStyle w:val="ListBullet"/>
        <w:ind w:left="227" w:hanging="113"/>
      </w:pPr>
      <w:r>
        <w:rPr>
          <w:rFonts w:ascii="NanumSquare" w:hAnsi="NanumSquare" w:eastAsia="NanumSquare"/>
          <w:sz w:val="18"/>
        </w:rPr>
        <w:t>처리목적 달성 또는 보유기간 경과 시 지체 없이 파기</w:t>
      </w:r>
    </w:p>
    <w:p>
      <w:pPr>
        <w:pStyle w:val="ListBullet"/>
        <w:ind w:left="227" w:hanging="113"/>
      </w:pPr>
      <w:r>
        <w:rPr>
          <w:rFonts w:ascii="NanumSquare" w:hAnsi="NanumSquare" w:eastAsia="NanumSquare"/>
          <w:sz w:val="18"/>
        </w:rPr>
        <w:t>전자파일은 복구·재생이 어렵도록 삭제하고, 종이문서는 분쇄·소각 등 적절한 방법으로 파기</w:t>
      </w:r>
    </w:p>
    <w:p>
      <w:pPr>
        <w:pStyle w:val="ListBullet"/>
        <w:ind w:left="227" w:hanging="113"/>
      </w:pPr>
      <w:r>
        <w:rPr>
          <w:rFonts w:ascii="NanumSquare" w:hAnsi="NanumSquare" w:eastAsia="NanumSquare"/>
          <w:sz w:val="18"/>
        </w:rPr>
        <w:t>법령상 별도 보존이 필요한 정보는 다른 정보와 분리하여 보관</w:t>
      </w:r>
    </w:p>
    <w:p>
      <w:pPr>
        <w:pStyle w:val="Heading2"/>
        <w:keepNext/>
      </w:pPr>
      <w:r>
        <w:t>5) 정보주체의 권리 및 행사방법</w:t>
      </w:r>
    </w:p>
    <w:p>
      <w:pPr>
        <w:pStyle w:val="ListBullet"/>
        <w:ind w:left="227" w:hanging="113"/>
      </w:pPr>
      <w:r>
        <w:rPr>
          <w:rFonts w:ascii="NanumSquare" w:hAnsi="NanumSquare" w:eastAsia="NanumSquare"/>
          <w:sz w:val="18"/>
        </w:rPr>
        <w:t>임직원은 관계 법령에 따라 개인정보 열람·정정·삭제·처리정지 등을 요구할 수 있습니다.</w:t>
      </w:r>
    </w:p>
    <w:p>
      <w:pPr>
        <w:pStyle w:val="ListBullet"/>
        <w:ind w:left="227" w:hanging="113"/>
      </w:pPr>
      <w:r>
        <w:rPr>
          <w:rFonts w:ascii="NanumSquare" w:hAnsi="NanumSquare" w:eastAsia="NanumSquare"/>
          <w:sz w:val="18"/>
        </w:rPr>
        <w:t>법률상 보존의무나 사용자 인사권 행사에 필요한 정당한 처리 등 법이 정한 제한사유가 있는 경우 일부 요청이 제한될 수 있습니다.</w:t>
      </w:r>
    </w:p>
    <w:p>
      <w:pPr>
        <w:pStyle w:val="ListBullet"/>
        <w:ind w:left="227" w:hanging="113"/>
      </w:pPr>
      <w:r>
        <w:rPr>
          <w:rFonts w:ascii="NanumSquare" w:hAnsi="NanumSquare" w:eastAsia="NanumSquare"/>
          <w:sz w:val="18"/>
        </w:rPr>
        <w:t>요청창구: [개인정보 담당부서 / 이메일 / 전화]</w:t>
      </w:r>
    </w:p>
    <w:p>
      <w:pPr>
        <w:pStyle w:val="Heading2"/>
        <w:keepNext/>
      </w:pPr>
      <w:r>
        <w:t>6) 개인정보 보호책임자 및 고충처리</w:t>
      </w:r>
    </w:p>
    <w:tbl>
      <w:tblPr>
        <w:tblStyle w:val="TableGrid"/>
        <w:tblW w:type="auto" w:w="0"/>
        <w:jc w:val="center"/>
        <w:tblLook w:firstColumn="1" w:firstRow="1" w:lastColumn="0" w:lastRow="0" w:noHBand="0" w:noVBand="1" w:val="04A0"/>
      </w:tblPr>
      <w:tblGrid>
        <w:gridCol w:w="2835"/>
        <w:gridCol w:w="6633"/>
      </w:tblGrid>
      <w:tr>
        <w:tc>
          <w:tcPr>
            <w:tcW w:type="dxa" w:w="4986"/>
            <w:shd w:fill="E5E7EB"/>
            <w:vAlign w:val="center"/>
          </w:tcPr>
          <w:p>
            <w:pPr>
              <w:spacing w:after="0"/>
              <w:jc w:val="center"/>
            </w:pPr>
            <w:r>
              <w:rPr>
                <w:rFonts w:ascii="NanumSquare" w:hAnsi="NanumSquare" w:eastAsia="NanumSquare"/>
                <w:b/>
                <w:color w:val="111827"/>
                <w:sz w:val="16"/>
              </w:rPr>
              <w:t>구분</w:t>
            </w:r>
          </w:p>
        </w:tc>
        <w:tc>
          <w:tcPr>
            <w:tcW w:type="dxa" w:w="4986"/>
            <w:shd w:fill="E5E7EB"/>
            <w:vAlign w:val="center"/>
          </w:tcPr>
          <w:p>
            <w:pPr>
              <w:spacing w:after="0"/>
              <w:jc w:val="center"/>
            </w:pPr>
            <w:r>
              <w:rPr>
                <w:rFonts w:ascii="NanumSquare" w:hAnsi="NanumSquare" w:eastAsia="NanumSquare"/>
                <w:b/>
                <w:color w:val="111827"/>
                <w:sz w:val="16"/>
              </w:rPr>
              <w:t>기재 내용</w:t>
            </w:r>
          </w:p>
        </w:tc>
      </w:tr>
      <w:tr>
        <w:tc>
          <w:tcPr>
            <w:tcW w:type="dxa" w:w="2835"/>
            <w:vAlign w:val="top"/>
          </w:tcPr>
          <w:p>
            <w:pPr>
              <w:spacing w:after="0"/>
            </w:pPr>
            <w:r>
              <w:rPr>
                <w:rFonts w:ascii="NanumSquare" w:hAnsi="NanumSquare" w:eastAsia="NanumSquare"/>
                <w:sz w:val="16"/>
              </w:rPr>
              <w:t>개인정보 보호책임자(CPO)</w:t>
            </w:r>
          </w:p>
        </w:tc>
        <w:tc>
          <w:tcPr>
            <w:tcW w:type="dxa" w:w="6633"/>
            <w:vAlign w:val="top"/>
          </w:tcPr>
          <w:p>
            <w:pPr>
              <w:spacing w:after="0"/>
            </w:pPr>
            <w:r>
              <w:rPr>
                <w:rFonts w:ascii="NanumSquare" w:hAnsi="NanumSquare" w:eastAsia="NanumSquare"/>
                <w:sz w:val="16"/>
              </w:rPr>
              <w:t>[성명/직책]</w:t>
            </w:r>
          </w:p>
        </w:tc>
      </w:tr>
      <w:tr>
        <w:tc>
          <w:tcPr>
            <w:tcW w:type="dxa" w:w="2835"/>
            <w:vAlign w:val="top"/>
          </w:tcPr>
          <w:p>
            <w:pPr>
              <w:spacing w:after="0"/>
            </w:pPr>
            <w:r>
              <w:rPr>
                <w:rFonts w:ascii="NanumSquare" w:hAnsi="NanumSquare" w:eastAsia="NanumSquare"/>
                <w:sz w:val="16"/>
              </w:rPr>
              <w:t>담당부서</w:t>
            </w:r>
          </w:p>
        </w:tc>
        <w:tc>
          <w:tcPr>
            <w:tcW w:type="dxa" w:w="6633"/>
            <w:vAlign w:val="top"/>
          </w:tcPr>
          <w:p>
            <w:pPr>
              <w:spacing w:after="0"/>
            </w:pPr>
            <w:r>
              <w:rPr>
                <w:rFonts w:ascii="NanumSquare" w:hAnsi="NanumSquare" w:eastAsia="NanumSquare"/>
                <w:sz w:val="16"/>
              </w:rPr>
              <w:t>[부서명]</w:t>
            </w:r>
          </w:p>
        </w:tc>
      </w:tr>
      <w:tr>
        <w:tc>
          <w:tcPr>
            <w:tcW w:type="dxa" w:w="2835"/>
            <w:vAlign w:val="top"/>
          </w:tcPr>
          <w:p>
            <w:pPr>
              <w:spacing w:after="0"/>
            </w:pPr>
            <w:r>
              <w:rPr>
                <w:rFonts w:ascii="NanumSquare" w:hAnsi="NanumSquare" w:eastAsia="NanumSquare"/>
                <w:sz w:val="16"/>
              </w:rPr>
              <w:t>전화</w:t>
            </w:r>
          </w:p>
        </w:tc>
        <w:tc>
          <w:tcPr>
            <w:tcW w:type="dxa" w:w="6633"/>
            <w:vAlign w:val="top"/>
          </w:tcPr>
          <w:p>
            <w:pPr>
              <w:spacing w:after="0"/>
            </w:pPr>
            <w:r>
              <w:rPr>
                <w:rFonts w:ascii="NanumSquare" w:hAnsi="NanumSquare" w:eastAsia="NanumSquare"/>
                <w:sz w:val="16"/>
              </w:rPr>
              <w:t>[전화번호]</w:t>
            </w:r>
          </w:p>
        </w:tc>
      </w:tr>
      <w:tr>
        <w:tc>
          <w:tcPr>
            <w:tcW w:type="dxa" w:w="2835"/>
            <w:vAlign w:val="top"/>
          </w:tcPr>
          <w:p>
            <w:pPr>
              <w:spacing w:after="0"/>
            </w:pPr>
            <w:r>
              <w:rPr>
                <w:rFonts w:ascii="NanumSquare" w:hAnsi="NanumSquare" w:eastAsia="NanumSquare"/>
                <w:sz w:val="16"/>
              </w:rPr>
              <w:t>이메일</w:t>
            </w:r>
          </w:p>
        </w:tc>
        <w:tc>
          <w:tcPr>
            <w:tcW w:type="dxa" w:w="6633"/>
            <w:vAlign w:val="top"/>
          </w:tcPr>
          <w:p>
            <w:pPr>
              <w:spacing w:after="0"/>
            </w:pPr>
            <w:r>
              <w:rPr>
                <w:rFonts w:ascii="NanumSquare" w:hAnsi="NanumSquare" w:eastAsia="NanumSquare"/>
                <w:sz w:val="16"/>
              </w:rPr>
              <w:t>[이메일]</w:t>
            </w:r>
          </w:p>
        </w:tc>
      </w:tr>
      <w:tr>
        <w:tc>
          <w:tcPr>
            <w:tcW w:type="dxa" w:w="2835"/>
            <w:vAlign w:val="top"/>
          </w:tcPr>
          <w:p>
            <w:pPr>
              <w:spacing w:after="0"/>
            </w:pPr>
            <w:r>
              <w:rPr>
                <w:rFonts w:ascii="NanumSquare" w:hAnsi="NanumSquare" w:eastAsia="NanumSquare"/>
                <w:sz w:val="16"/>
              </w:rPr>
              <w:t>고충처리/권리행사</w:t>
            </w:r>
          </w:p>
        </w:tc>
        <w:tc>
          <w:tcPr>
            <w:tcW w:type="dxa" w:w="6633"/>
            <w:vAlign w:val="top"/>
          </w:tcPr>
          <w:p>
            <w:pPr>
              <w:spacing w:after="0"/>
            </w:pPr>
            <w:r>
              <w:rPr>
                <w:rFonts w:ascii="NanumSquare" w:hAnsi="NanumSquare" w:eastAsia="NanumSquare"/>
                <w:sz w:val="16"/>
              </w:rPr>
              <w:t>[접수 채널]</w:t>
            </w:r>
          </w:p>
        </w:tc>
      </w:tr>
    </w:tbl>
    <w:p>
      <w:pPr>
        <w:pStyle w:val="Heading2"/>
        <w:keepNext/>
      </w:pPr>
      <w:r>
        <w:t>7) 안전성 확보조치</w:t>
      </w:r>
    </w:p>
    <w:p>
      <w:pPr>
        <w:pStyle w:val="ListBullet"/>
        <w:ind w:left="227" w:hanging="113"/>
      </w:pPr>
      <w:r>
        <w:rPr>
          <w:rFonts w:ascii="NanumSquare" w:hAnsi="NanumSquare" w:eastAsia="NanumSquare"/>
          <w:sz w:val="18"/>
        </w:rPr>
        <w:t>접근권한 최소화 및 정기점검</w:t>
      </w:r>
    </w:p>
    <w:p>
      <w:pPr>
        <w:pStyle w:val="ListBullet"/>
        <w:ind w:left="227" w:hanging="113"/>
      </w:pPr>
      <w:r>
        <w:rPr>
          <w:rFonts w:ascii="NanumSquare" w:hAnsi="NanumSquare" w:eastAsia="NanumSquare"/>
          <w:sz w:val="18"/>
        </w:rPr>
        <w:t>인사·급여 파일 암호화 및 전송통제</w:t>
      </w:r>
    </w:p>
    <w:p>
      <w:pPr>
        <w:pStyle w:val="ListBullet"/>
        <w:ind w:left="227" w:hanging="113"/>
      </w:pPr>
      <w:r>
        <w:rPr>
          <w:rFonts w:ascii="NanumSquare" w:hAnsi="NanumSquare" w:eastAsia="NanumSquare"/>
          <w:sz w:val="18"/>
        </w:rPr>
        <w:t>접속기록 보관·점검 및 이상행위 탐지</w:t>
      </w:r>
    </w:p>
    <w:p>
      <w:pPr>
        <w:pStyle w:val="ListBullet"/>
        <w:ind w:left="227" w:hanging="113"/>
      </w:pPr>
      <w:r>
        <w:rPr>
          <w:rFonts w:ascii="NanumSquare" w:hAnsi="NanumSquare" w:eastAsia="NanumSquare"/>
          <w:sz w:val="18"/>
        </w:rPr>
        <w:t>보안프로그램·패치·백업</w:t>
      </w:r>
    </w:p>
    <w:p>
      <w:pPr>
        <w:pStyle w:val="ListBullet"/>
        <w:ind w:left="227" w:hanging="113"/>
      </w:pPr>
      <w:r>
        <w:rPr>
          <w:rFonts w:ascii="NanumSquare" w:hAnsi="NanumSquare" w:eastAsia="NanumSquare"/>
          <w:sz w:val="18"/>
        </w:rPr>
        <w:t>문서·출력물·저장매체의 물리적 통제</w:t>
      </w:r>
    </w:p>
    <w:p>
      <w:pPr>
        <w:pStyle w:val="ListBullet"/>
        <w:ind w:left="227" w:hanging="113"/>
      </w:pPr>
      <w:r>
        <w:rPr>
          <w:rFonts w:ascii="NanumSquare" w:hAnsi="NanumSquare" w:eastAsia="NanumSquare"/>
          <w:sz w:val="18"/>
        </w:rPr>
        <w:t>개인정보취급자 교육 및 내부관리계획 운영</w:t>
      </w:r>
    </w:p>
    <w:p>
      <w:pPr>
        <w:pStyle w:val="Heading2"/>
        <w:keepNext/>
      </w:pPr>
      <w:r>
        <w:t>8) 자동화된 결정·AI 활용</w:t>
      </w:r>
    </w:p>
    <w:p>
      <w:pPr>
        <w:pStyle w:val="ListBullet"/>
        <w:ind w:left="227" w:hanging="113"/>
      </w:pPr>
      <w:r>
        <w:rPr>
          <w:rFonts w:ascii="NanumSquare" w:hAnsi="NanumSquare" w:eastAsia="NanumSquare"/>
          <w:sz w:val="18"/>
        </w:rPr>
        <w:t>채용·평가·인사 의사결정에서 AI 또는 자동화 도구를 사용하는 경우 개인정보 보호, 차별·편향, 설명가능성, 인간의 최종 검토 절차를 사전에 검토합니다.</w:t>
      </w:r>
    </w:p>
    <w:p>
      <w:pPr>
        <w:pStyle w:val="ListBullet"/>
        <w:ind w:left="227" w:hanging="113"/>
      </w:pPr>
      <w:r>
        <w:rPr>
          <w:rFonts w:ascii="NanumSquare" w:hAnsi="NanumSquare" w:eastAsia="NanumSquare"/>
          <w:sz w:val="18"/>
        </w:rPr>
        <w:t>승인되지 않은 외부 생성형 AI 서비스에 임직원 개인정보, 평가자료, 급여자료, 건강정보 등을 입력하지 않습니다.</w:t>
      </w:r>
    </w:p>
    <w:p>
      <w:pPr>
        <w:pStyle w:val="Heading2"/>
        <w:keepNext/>
      </w:pPr>
      <w:r>
        <w:t>9) 처리방침 변경</w:t>
      </w:r>
    </w:p>
    <w:p>
      <w:r>
        <w:rPr>
          <w:rFonts w:ascii="NanumSquare" w:hAnsi="NanumSquare" w:eastAsia="NanumSquare"/>
          <w:sz w:val="18"/>
        </w:rPr>
        <w:t>이 처리방침은 20__년 __월 __일부터 적용합니다. 중요한 변경이 있는 경우 적용 전에 [홈페이지/인트라넷] 등을 통해 변경사항을 알립니다.</w:t>
      </w:r>
    </w:p>
    <w:sectPr w:rsidR="00FC693F" w:rsidRPr="0006063C" w:rsidSect="00034616">
      <w:headerReference w:type="default" r:id="rId9"/>
      <w:footerReference w:type="default" r:id="rId10"/>
      <w:pgSz w:w="12240" w:h="15840"/>
      <w:pgMar w:top="794" w:right="1020" w:bottom="79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NanumSquare" w:hAnsi="NanumSquare" w:eastAsia="NanumSquare"/>
        <w:color w:val="8A8A8A"/>
        <w:sz w:val="15"/>
      </w:rPr>
      <w:t xml:space="preserve">[회사명]  |  2026.10.12 기준  |  </w:t>
    </w:r>
    <w:r>
      <w:rPr>
        <w:rFonts w:ascii="NanumSquare" w:hAnsi="NanumSquare" w:eastAsia="NanumSquare"/>
        <w:color w:val="7A7A7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anumSquare" w:hAnsi="NanumSquare" w:eastAsia="NanumSquare"/>
        <w:color w:val="8A8A8A"/>
        <w:sz w:val="15"/>
      </w:rPr>
      <w:t>임직원 개인정보 처리방침(인사·노무 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3" w:lineRule="auto"/>
    </w:pPr>
    <w:rPr>
      <w:rFonts w:ascii="NanumSquare" w:hAnsi="NanumSquare" w:eastAsia="NanumSquar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NanumSquare" w:hAnsi="NanumSquare" w:eastAsia="NanumSquare"/>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NanumSquare" w:hAnsi="NanumSquare" w:eastAsia="NanumSquare"/>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Square" w:hAnsi="NanumSquare" w:eastAsia="NanumSquare"/>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Square" w:hAnsi="NanumSquare" w:eastAsia="NanumSquare"/>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