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rPr>
          <w:rFonts w:ascii="Calibri" w:hAnsi="Calibri" w:eastAsia="Calibri"/>
          <w:b/>
          <w:color w:val="0B2545"/>
          <w:sz w:val="44"/>
        </w:rPr>
        <w:t>Hardware Object Drag and Adjustment Evidence</w:t>
      </w:r>
    </w:p>
    <w:p>
      <w:pPr>
        <w:spacing w:after="200"/>
        <w:jc w:val="left"/>
      </w:pPr>
      <w:r>
        <w:rPr>
          <w:i/>
        </w:rPr>
        <w:t>Generated 2026-06-02 13:38 KST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Gate interpretation correction. </w:t>
            </w:r>
            <w:r>
              <w:t>The visual-move screenshot is not proof that a hardware placement gate accepted the moved layout. It is a dirty visual preview: canonical CircuitSpec and verified wire routes remain unchanged, and Run/current controls stay disabled until reset or hardware placement resolution. Gate-pass evidence is the hardware-move resolver output plus the adjustment-mode E2E matrix.</w:t>
            </w:r>
          </w:p>
        </w:tc>
      </w:tr>
    </w:tbl>
    <w:p>
      <w:pPr>
        <w:pStyle w:val="Heading1"/>
      </w:pPr>
      <w:r>
        <w:t>Implementation Evidence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150"/>
        <w:gridCol w:w="2350"/>
        <w:gridCol w:w="4500"/>
        <w:gridCol w:w="1360"/>
      </w:tblGrid>
      <w:tr>
        <w:tc>
          <w:tcPr>
            <w:tcW w:type="dxa" w:w="115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Scope</w:t>
            </w:r>
          </w:p>
        </w:tc>
        <w:tc>
          <w:tcPr>
            <w:tcW w:type="dxa" w:w="235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What Changed</w:t>
            </w:r>
          </w:p>
        </w:tc>
        <w:tc>
          <w:tcPr>
            <w:tcW w:type="dxa" w:w="4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Evidence</w:t>
            </w:r>
          </w:p>
        </w:tc>
        <w:tc>
          <w:tcPr>
            <w:tcW w:type="dxa" w:w="13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Phase 1</w:t>
            </w:r>
          </w:p>
        </w:tc>
        <w:tc>
          <w:tcPr>
            <w:tcW w:type="dxa" w:w="2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Rule gate as automatic presentation adjustment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Four E2E adjustment-mode cases remain visible without unsupported controls.</w:t>
            </w:r>
          </w:p>
        </w:tc>
        <w:tc>
          <w:tcPr>
            <w:tcW w:type="dxa" w:w="1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Passed</w:t>
            </w:r>
          </w:p>
        </w:tc>
      </w:tr>
      <w:t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Phase 2</w:t>
            </w:r>
          </w:p>
        </w:tc>
        <w:tc>
          <w:tcPr>
            <w:tcW w:type="dxa" w:w="2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Scene graph and debug snapshot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Part, wire, label, and preview-wire groups expose deterministic debug metadata.</w:t>
            </w:r>
          </w:p>
        </w:tc>
        <w:tc>
          <w:tcPr>
            <w:tcW w:type="dxa" w:w="1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Passed</w:t>
            </w:r>
          </w:p>
        </w:tc>
      </w:tr>
      <w:t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Phase 3</w:t>
            </w:r>
          </w:p>
        </w:tc>
        <w:tc>
          <w:tcPr>
            <w:tcW w:type="dxa" w:w="2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Visual-only movement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Visual transforms move rendered objects and dashed preview wires without mutating CircuitSpec.</w:t>
            </w:r>
          </w:p>
        </w:tc>
        <w:tc>
          <w:tcPr>
            <w:tcW w:type="dxa" w:w="1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Passed</w:t>
            </w:r>
          </w:p>
        </w:tc>
      </w:tr>
      <w:t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Phase 4</w:t>
            </w:r>
          </w:p>
        </w:tc>
        <w:tc>
          <w:tcPr>
            <w:tcW w:type="dxa" w:w="2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Hardware movement resolver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Dragged component is sent to placement API, snapped, rerouted, and returned as canonical artifacts.</w:t>
            </w:r>
          </w:p>
        </w:tc>
        <w:tc>
          <w:tcPr>
            <w:tcW w:type="dxa" w:w="1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Passed</w:t>
            </w:r>
          </w:p>
        </w:tc>
      </w:tr>
      <w:t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QA fix</w:t>
            </w:r>
          </w:p>
        </w:tc>
        <w:tc>
          <w:tcPr>
            <w:tcW w:type="dxa" w:w="2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Library-only parts excluded from default PCB stage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Demo circuit no longer shows non-circuit library parts as if they were verified hardware.</w:t>
            </w:r>
          </w:p>
        </w:tc>
        <w:tc>
          <w:tcPr>
            <w:tcW w:type="dxa" w:w="1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Passed</w:t>
            </w:r>
          </w:p>
        </w:tc>
      </w:tr>
    </w:tbl>
    <w:p/>
    <w:p>
      <w:r>
        <w:br w:type="page"/>
      </w:r>
    </w:p>
    <w:p>
      <w:pPr>
        <w:pStyle w:val="Heading1"/>
      </w:pPr>
      <w:r>
        <w:t>Adjustment Mode Matrix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750"/>
        <w:gridCol w:w="2700"/>
        <w:gridCol w:w="1310"/>
      </w:tblGrid>
      <w:tr>
        <w:tc>
          <w:tcPr>
            <w:tcW w:type="dxa" w:w="16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Mode</w:t>
            </w:r>
          </w:p>
        </w:tc>
        <w:tc>
          <w:tcPr>
            <w:tcW w:type="dxa" w:w="375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Visible Adjustment</w:t>
            </w:r>
          </w:p>
        </w:tc>
        <w:tc>
          <w:tcPr>
            <w:tcW w:type="dxa" w:w="2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Control Policy</w:t>
            </w:r>
          </w:p>
        </w:tc>
        <w:tc>
          <w:tcPr>
            <w:tcW w:type="dxa" w:w="131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Proof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Diagnostic</w:t>
            </w:r>
          </w:p>
        </w:tc>
        <w:tc>
          <w:tcPr>
            <w:tcW w:type="dxa" w:w="3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Safe 3D diagnostic scene remains visible while build/current claims stay scoped.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Run/current disabled unless verified paths exist.</w:t>
            </w:r>
          </w:p>
        </w:tc>
        <w:tc>
          <w:tcPr>
            <w:tcW w:type="dxa" w:w="1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Phase 1 E2E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Placeholder</w:t>
            </w:r>
          </w:p>
        </w:tc>
        <w:tc>
          <w:tcPr>
            <w:tcW w:type="dxa" w:w="3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Generic registered placeholder may render when exact footprint evidence is missing.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Exact geometry and pin claims disabled.</w:t>
            </w:r>
          </w:p>
        </w:tc>
        <w:tc>
          <w:tcPr>
            <w:tcW w:type="dxa" w:w="1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Phase 1 E2E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Safe Equivalent</w:t>
            </w:r>
          </w:p>
        </w:tc>
        <w:tc>
          <w:tcPr>
            <w:tcW w:type="dxa" w:w="3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Unsafe original is replaced with a safe displayed equivalent.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Original never build-ready; equivalent controls follow its own validation.</w:t>
            </w:r>
          </w:p>
        </w:tc>
        <w:tc>
          <w:tcPr>
            <w:tcW w:type="dxa" w:w="1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Phase 1 E2E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State Only</w:t>
            </w:r>
          </w:p>
        </w:tc>
        <w:tc>
          <w:tcPr>
            <w:tcW w:type="dxa" w:w="3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Pin-map, layout, and static state context can render without fake current flow.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Current animation off; static inspection on.</w:t>
            </w:r>
          </w:p>
        </w:tc>
        <w:tc>
          <w:tcPr>
            <w:tcW w:type="dxa" w:w="1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Phase 1 E2E</w:t>
            </w:r>
          </w:p>
        </w:tc>
      </w:tr>
    </w:tbl>
    <w:p/>
    <w:p>
      <w:r>
        <w:br w:type="page"/>
      </w:r>
    </w:p>
    <w:p>
      <w:pPr>
        <w:pStyle w:val="Heading1"/>
      </w:pPr>
      <w:r>
        <w:t>Browser Evidence Screenshots</w:t>
      </w:r>
    </w:p>
    <w:p>
      <w:pPr>
        <w:keepNext/>
      </w:pPr>
      <w:r>
        <w:rPr>
          <w:b/>
        </w:rPr>
        <w:t>Baseline verified OLED demo scene. Library-only preview parts are no longer rendered in the PCB stage.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00600" cy="51042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emo-bas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5104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</w:pPr>
      <w:r>
        <w:rPr>
          <w:b/>
        </w:rPr>
        <w:t>Visual-only movement preview. This is intentionally not a hardware gate pass; the scene is marked as visual arrangement and Run/current controls are disabled.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00600" cy="51042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visual-move-pre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5104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</w:pPr>
      <w:r>
        <w:rPr>
          <w:b/>
        </w:rPr>
        <w:t>Hardware placement resolution. The dragged LED layout is returned through the placement API as a canonical adjusted render plan.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00600" cy="51042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hardware-move-resolv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5104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Verification Commands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5600"/>
        <w:gridCol w:w="2310"/>
      </w:tblGrid>
      <w:tr>
        <w:tc>
          <w:tcPr>
            <w:tcW w:type="dxa" w:w="145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Gate</w:t>
            </w:r>
          </w:p>
        </w:tc>
        <w:tc>
          <w:tcPr>
            <w:tcW w:type="dxa" w:w="56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Command or Case</w:t>
            </w:r>
          </w:p>
        </w:tc>
        <w:tc>
          <w:tcPr>
            <w:tcW w:type="dxa" w:w="231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Result</w:t>
            </w:r>
          </w:p>
        </w:tc>
      </w:tr>
      <w:t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Syntax</w:t>
            </w:r>
          </w:p>
        </w:tc>
        <w:tc>
          <w:tcPr>
            <w:tcW w:type="dxa" w:w="5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node --check src/main.js &amp;&amp; node --check src/stageScene.js</w:t>
            </w:r>
          </w:p>
        </w:tc>
        <w:tc>
          <w:tcPr>
            <w:tcW w:type="dxa" w:w="2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Passed</w:t>
            </w:r>
          </w:p>
        </w:tc>
      </w:tr>
      <w:t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Typecheck</w:t>
            </w:r>
          </w:p>
        </w:tc>
        <w:tc>
          <w:tcPr>
            <w:tcW w:type="dxa" w:w="5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npm run typecheck</w:t>
            </w:r>
          </w:p>
        </w:tc>
        <w:tc>
          <w:tcPr>
            <w:tcW w:type="dxa" w:w="2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Passed</w:t>
            </w:r>
          </w:p>
        </w:tc>
      </w:tr>
      <w:t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Unit</w:t>
            </w:r>
          </w:p>
        </w:tc>
        <w:tc>
          <w:tcPr>
            <w:tcW w:type="dxa" w:w="5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npm run test:unit</w:t>
            </w:r>
          </w:p>
        </w:tc>
        <w:tc>
          <w:tcPr>
            <w:tcW w:type="dxa" w:w="2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318 passed</w:t>
            </w:r>
          </w:p>
        </w:tc>
      </w:tr>
      <w:t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Build</w:t>
            </w:r>
          </w:p>
        </w:tc>
        <w:tc>
          <w:tcPr>
            <w:tcW w:type="dxa" w:w="5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npm run build</w:t>
            </w:r>
          </w:p>
        </w:tc>
        <w:tc>
          <w:tcPr>
            <w:tcW w:type="dxa" w:w="2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Passed; existing Vite large chunk warning only</w:t>
            </w:r>
          </w:p>
        </w:tc>
      </w:tr>
      <w:t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Targeted E2E</w:t>
            </w:r>
          </w:p>
        </w:tc>
        <w:tc>
          <w:tcPr>
            <w:tcW w:type="dxa" w:w="5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Phase 1 adjustment matrix, 3D render, visual move, hardware move</w:t>
            </w:r>
          </w:p>
        </w:tc>
        <w:tc>
          <w:tcPr>
            <w:tcW w:type="dxa" w:w="2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7 passed</w:t>
            </w:r>
          </w:p>
        </w:tc>
      </w:tr>
      <w:t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Focused post-QA E2E</w:t>
            </w:r>
          </w:p>
        </w:tc>
        <w:tc>
          <w:tcPr>
            <w:tcW w:type="dxa" w:w="5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3D render, visual move, hardware move after libraryOnly fix</w:t>
            </w:r>
          </w:p>
        </w:tc>
        <w:tc>
          <w:tcPr>
            <w:tcW w:type="dxa" w:w="2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3 passed</w:t>
            </w:r>
          </w:p>
        </w:tc>
      </w:tr>
      <w:t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Evidence capture</w:t>
            </w:r>
          </w:p>
        </w:tc>
        <w:tc>
          <w:tcPr>
            <w:tcW w:type="dxa" w:w="5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node scripts/generate_hardware_evidence.mjs</w:t>
            </w:r>
          </w:p>
        </w:tc>
        <w:tc>
          <w:tcPr>
            <w:tcW w:type="dxa" w:w="2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Passed</w:t>
            </w:r>
          </w:p>
        </w:tc>
      </w:tr>
    </w:tbl>
    <w:p/>
    <w:p>
      <w:pPr>
        <w:pStyle w:val="Heading1"/>
      </w:pPr>
      <w:r>
        <w:t>QA Notes</w:t>
      </w:r>
    </w:p>
    <w:p>
      <w:pPr>
        <w:pStyle w:val="ListBullet"/>
      </w:pPr>
      <w:r>
        <w:t>The image that showed an off-board blue part was not a hardware gate-pass result; it was a visual preview and also exposed a libraryOnly rendering problem.</w:t>
      </w:r>
    </w:p>
    <w:p>
      <w:pPr>
        <w:pStyle w:val="ListBullet"/>
      </w:pPr>
      <w:r>
        <w:t>Default PCB rendering now excludes libraryOnly parts so the visible stage matches the verified circuit under inspection.</w:t>
      </w:r>
    </w:p>
    <w:p>
      <w:pPr>
        <w:pStyle w:val="ListBullet"/>
      </w:pPr>
      <w:r>
        <w:t>Visual movement is still allowed for inspection, but it stays dirty and disables Run/current controls until reset.</w:t>
      </w:r>
    </w:p>
    <w:p>
      <w:pPr>
        <w:pStyle w:val="ListBullet"/>
      </w:pPr>
      <w:r>
        <w:t>Hardware movement is the canonical path: pointer-up sends a deterministic placement intent, then the server returns adjusted artifacts.</w:t>
      </w:r>
    </w:p>
    <w:p>
      <w:pPr>
        <w:pStyle w:val="ListBullet"/>
      </w:pPr>
      <w:r>
        <w:t>The post-QA E2E test now asserts that hardware move changes wireRouteHash and remains buildReady after resolver output.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