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184E1" w14:textId="77777777" w:rsidR="00A31B4C" w:rsidRPr="001A723A" w:rsidRDefault="00A31B4C" w:rsidP="001A723A">
      <w:pPr>
        <w:jc w:val="center"/>
        <w:rPr>
          <w:b/>
          <w:color w:val="4472C4" w:themeColor="accent5"/>
          <w:sz w:val="28"/>
          <w:szCs w:val="32"/>
        </w:rPr>
      </w:pPr>
      <w:r w:rsidRPr="001A723A">
        <w:rPr>
          <w:b/>
          <w:color w:val="4472C4" w:themeColor="accent5"/>
          <w:sz w:val="28"/>
          <w:szCs w:val="32"/>
        </w:rPr>
        <w:t>Extended Abstract Template (Second Round)</w:t>
      </w:r>
    </w:p>
    <w:p w14:paraId="05D3AC8B" w14:textId="77777777" w:rsidR="001A723A" w:rsidRDefault="00CF1A53" w:rsidP="001A723A">
      <w:pPr>
        <w:jc w:val="center"/>
        <w:textAlignment w:val="baseline"/>
        <w:rPr>
          <w:b/>
          <w:color w:val="FF0000"/>
          <w:szCs w:val="20"/>
        </w:rPr>
      </w:pPr>
      <w:r>
        <w:rPr>
          <w:b/>
          <w:color w:val="FF0000"/>
          <w:szCs w:val="20"/>
        </w:rPr>
        <w:t>Please indicate</w:t>
      </w:r>
      <w:r w:rsidR="00A31B4C" w:rsidRPr="001A723A">
        <w:rPr>
          <w:b/>
          <w:color w:val="FF0000"/>
          <w:szCs w:val="20"/>
        </w:rPr>
        <w:t xml:space="preserve"> </w:t>
      </w:r>
      <w:r w:rsidR="001A723A">
        <w:rPr>
          <w:b/>
          <w:color w:val="FF0000"/>
          <w:szCs w:val="20"/>
          <w:u w:val="single"/>
        </w:rPr>
        <w:t xml:space="preserve">ONLY ONE </w:t>
      </w:r>
      <w:r w:rsidR="00A31B4C" w:rsidRPr="001A723A">
        <w:rPr>
          <w:b/>
          <w:color w:val="FF0000"/>
          <w:szCs w:val="20"/>
        </w:rPr>
        <w:t xml:space="preserve">of the </w:t>
      </w:r>
      <w:r w:rsidR="001A723A">
        <w:rPr>
          <w:b/>
          <w:color w:val="FF0000"/>
          <w:szCs w:val="20"/>
        </w:rPr>
        <w:t>Session Topic</w:t>
      </w:r>
      <w:r w:rsidR="00A31B4C" w:rsidRPr="001A723A">
        <w:rPr>
          <w:b/>
          <w:color w:val="FF0000"/>
          <w:szCs w:val="20"/>
        </w:rPr>
        <w:t xml:space="preserve"> themes</w:t>
      </w:r>
      <w:r w:rsidR="001A723A" w:rsidRPr="001A723A">
        <w:rPr>
          <w:b/>
          <w:color w:val="FF0000"/>
          <w:szCs w:val="20"/>
        </w:rPr>
        <w:t xml:space="preserve"> to which you wish to submit your paper for consideration</w:t>
      </w:r>
      <w:r w:rsidR="001A723A">
        <w:rPr>
          <w:b/>
          <w:color w:val="FF0000"/>
          <w:szCs w:val="20"/>
        </w:rPr>
        <w:t xml:space="preserve"> by TICKING the BOX in front of the session title. </w:t>
      </w:r>
    </w:p>
    <w:p w14:paraId="248F0D31" w14:textId="77777777" w:rsidR="001A723A" w:rsidRDefault="001A723A" w:rsidP="001A723A">
      <w:pPr>
        <w:jc w:val="center"/>
        <w:textAlignment w:val="baseline"/>
        <w:rPr>
          <w:b/>
          <w:color w:val="FF0000"/>
          <w:szCs w:val="20"/>
        </w:rPr>
      </w:pPr>
      <w:r>
        <w:rPr>
          <w:b/>
          <w:color w:val="FF0000"/>
          <w:szCs w:val="20"/>
        </w:rPr>
        <w:t xml:space="preserve">Sessions are sub-divided by Core Thematic Area. </w:t>
      </w:r>
    </w:p>
    <w:p w14:paraId="1EF9C939" w14:textId="77777777" w:rsidR="001A723A" w:rsidRPr="001A723A" w:rsidRDefault="001A723A" w:rsidP="001A723A">
      <w:pPr>
        <w:jc w:val="center"/>
        <w:textAlignment w:val="baseline"/>
        <w:rPr>
          <w:b/>
          <w:color w:val="FF0000"/>
          <w:szCs w:val="20"/>
        </w:rPr>
      </w:pPr>
    </w:p>
    <w:p w14:paraId="6FA960ED" w14:textId="77777777" w:rsidR="00A31B4C" w:rsidRPr="00A31B4C" w:rsidRDefault="00A31B4C" w:rsidP="00A31B4C">
      <w:pPr>
        <w:jc w:val="both"/>
        <w:rPr>
          <w:rStyle w:val="Strong"/>
          <w:color w:val="4472C4" w:themeColor="accent5"/>
          <w:szCs w:val="21"/>
        </w:rPr>
      </w:pPr>
      <w:r w:rsidRPr="00A31B4C">
        <w:rPr>
          <w:rStyle w:val="Strong"/>
          <w:color w:val="4472C4" w:themeColor="accent5"/>
          <w:szCs w:val="21"/>
        </w:rPr>
        <w:t xml:space="preserve">1. Technologies for Humanitarian Action </w:t>
      </w:r>
    </w:p>
    <w:p w14:paraId="4FF86067" w14:textId="77777777" w:rsidR="00A31B4C" w:rsidRPr="00A31B4C" w:rsidRDefault="00382A29" w:rsidP="00A31B4C">
      <w:pPr>
        <w:jc w:val="both"/>
        <w:textAlignment w:val="baseline"/>
        <w:rPr>
          <w:color w:val="4472C4" w:themeColor="accent5"/>
          <w:sz w:val="20"/>
          <w:szCs w:val="20"/>
        </w:rPr>
      </w:pPr>
      <w:sdt>
        <w:sdtPr>
          <w:rPr>
            <w:color w:val="4472C4" w:themeColor="accent5"/>
            <w:sz w:val="20"/>
            <w:szCs w:val="20"/>
          </w:rPr>
          <w:id w:val="-775940383"/>
          <w14:checkbox>
            <w14:checked w14:val="0"/>
            <w14:checkedState w14:val="2612" w14:font="MS Gothic"/>
            <w14:uncheckedState w14:val="2610" w14:font="MS Gothic"/>
          </w14:checkbox>
        </w:sdtPr>
        <w:sdtEndPr/>
        <w:sdtContent>
          <w:r w:rsidR="00D82567">
            <w:rPr>
              <w:rFonts w:ascii="MS Gothic" w:eastAsia="MS Gothic" w:hAnsi="MS Gothic" w:hint="eastAsia"/>
              <w:color w:val="4472C4" w:themeColor="accent5"/>
              <w:sz w:val="20"/>
              <w:szCs w:val="20"/>
            </w:rPr>
            <w:t>☐</w:t>
          </w:r>
        </w:sdtContent>
      </w:sdt>
      <w:r w:rsidR="00A31B4C" w:rsidRPr="00A31B4C">
        <w:rPr>
          <w:color w:val="4472C4" w:themeColor="accent5"/>
          <w:sz w:val="20"/>
          <w:szCs w:val="20"/>
        </w:rPr>
        <w:t xml:space="preserve"> Data science and machine learning for development and humanitarian action</w:t>
      </w:r>
    </w:p>
    <w:p w14:paraId="06973673" w14:textId="77777777" w:rsidR="001A723A" w:rsidRPr="001A723A" w:rsidRDefault="001A723A" w:rsidP="001A723A">
      <w:pPr>
        <w:jc w:val="both"/>
        <w:rPr>
          <w:rStyle w:val="Strong"/>
          <w:color w:val="4472C4" w:themeColor="accent5"/>
        </w:rPr>
      </w:pPr>
    </w:p>
    <w:p w14:paraId="721083E2" w14:textId="77777777" w:rsidR="00A31B4C" w:rsidRPr="00A31B4C" w:rsidRDefault="00A31B4C" w:rsidP="00A31B4C">
      <w:pPr>
        <w:jc w:val="both"/>
        <w:rPr>
          <w:rStyle w:val="Strong"/>
          <w:color w:val="4472C4" w:themeColor="accent5"/>
          <w:szCs w:val="21"/>
        </w:rPr>
      </w:pPr>
      <w:r w:rsidRPr="00A31B4C">
        <w:rPr>
          <w:rStyle w:val="Strong"/>
          <w:color w:val="4472C4" w:themeColor="accent5"/>
          <w:szCs w:val="21"/>
        </w:rPr>
        <w:t>2. Medical Technologies</w:t>
      </w:r>
    </w:p>
    <w:p w14:paraId="7EA07873" w14:textId="77777777" w:rsidR="00A31B4C" w:rsidRPr="00A31B4C" w:rsidRDefault="00382A29" w:rsidP="00A31B4C">
      <w:pPr>
        <w:jc w:val="both"/>
        <w:textAlignment w:val="baseline"/>
        <w:rPr>
          <w:color w:val="4472C4" w:themeColor="accent5"/>
          <w:sz w:val="20"/>
          <w:szCs w:val="20"/>
        </w:rPr>
      </w:pPr>
      <w:sdt>
        <w:sdtPr>
          <w:rPr>
            <w:color w:val="4472C4" w:themeColor="accent5"/>
            <w:sz w:val="20"/>
            <w:szCs w:val="20"/>
          </w:rPr>
          <w:id w:val="-153609587"/>
          <w14:checkbox>
            <w14:checked w14:val="0"/>
            <w14:checkedState w14:val="2612" w14:font="MS Gothic"/>
            <w14:uncheckedState w14:val="2610" w14:font="MS Gothic"/>
          </w14:checkbox>
        </w:sdtPr>
        <w:sdtEndPr/>
        <w:sdtContent>
          <w:r w:rsidR="00A31B4C" w:rsidRPr="00A31B4C">
            <w:rPr>
              <w:rFonts w:ascii="MS Gothic" w:eastAsia="MS Gothic" w:hAnsi="MS Gothic" w:hint="eastAsia"/>
              <w:color w:val="4472C4" w:themeColor="accent5"/>
              <w:sz w:val="20"/>
              <w:szCs w:val="20"/>
            </w:rPr>
            <w:t>☐</w:t>
          </w:r>
        </w:sdtContent>
      </w:sdt>
      <w:r w:rsidR="00A31B4C" w:rsidRPr="00A31B4C">
        <w:rPr>
          <w:color w:val="4472C4" w:themeColor="accent5"/>
          <w:sz w:val="20"/>
          <w:szCs w:val="20"/>
        </w:rPr>
        <w:t xml:space="preserve"> Technologies for Non-Communicable Diseases in Developing Countries</w:t>
      </w:r>
    </w:p>
    <w:p w14:paraId="6D39BDA6" w14:textId="77777777" w:rsidR="00A31B4C" w:rsidRPr="00A31B4C" w:rsidRDefault="00382A29" w:rsidP="00A31B4C">
      <w:pPr>
        <w:jc w:val="both"/>
        <w:textAlignment w:val="baseline"/>
        <w:rPr>
          <w:color w:val="4472C4" w:themeColor="accent5"/>
          <w:sz w:val="20"/>
          <w:szCs w:val="20"/>
        </w:rPr>
      </w:pPr>
      <w:sdt>
        <w:sdtPr>
          <w:rPr>
            <w:color w:val="4472C4" w:themeColor="accent5"/>
            <w:sz w:val="20"/>
            <w:szCs w:val="20"/>
          </w:rPr>
          <w:id w:val="1601449651"/>
          <w14:checkbox>
            <w14:checked w14:val="0"/>
            <w14:checkedState w14:val="2612" w14:font="MS Gothic"/>
            <w14:uncheckedState w14:val="2610" w14:font="MS Gothic"/>
          </w14:checkbox>
        </w:sdtPr>
        <w:sdtEndPr/>
        <w:sdtContent>
          <w:r w:rsidR="00A31B4C" w:rsidRPr="00A31B4C">
            <w:rPr>
              <w:rFonts w:ascii="MS Gothic" w:eastAsia="MS Gothic" w:hAnsi="MS Gothic" w:hint="eastAsia"/>
              <w:color w:val="4472C4" w:themeColor="accent5"/>
              <w:sz w:val="20"/>
              <w:szCs w:val="20"/>
            </w:rPr>
            <w:t>☐</w:t>
          </w:r>
        </w:sdtContent>
      </w:sdt>
      <w:r w:rsidR="00A31B4C" w:rsidRPr="00A31B4C">
        <w:rPr>
          <w:color w:val="4472C4" w:themeColor="accent5"/>
          <w:sz w:val="20"/>
          <w:szCs w:val="20"/>
        </w:rPr>
        <w:t xml:space="preserve"> Technologies for mother and child health </w:t>
      </w:r>
    </w:p>
    <w:p w14:paraId="5B2D7C78" w14:textId="77777777" w:rsidR="00A31B4C" w:rsidRPr="00A31B4C" w:rsidRDefault="00A31B4C" w:rsidP="00A31B4C">
      <w:pPr>
        <w:jc w:val="both"/>
        <w:rPr>
          <w:rStyle w:val="Strong"/>
          <w:color w:val="4472C4" w:themeColor="accent5"/>
          <w:sz w:val="21"/>
          <w:szCs w:val="21"/>
        </w:rPr>
      </w:pPr>
    </w:p>
    <w:p w14:paraId="7B0CE879" w14:textId="77777777" w:rsidR="001A723A" w:rsidRDefault="00A31B4C" w:rsidP="00A31B4C">
      <w:pPr>
        <w:jc w:val="both"/>
        <w:textAlignment w:val="baseline"/>
        <w:rPr>
          <w:rStyle w:val="Strong"/>
          <w:color w:val="4472C4" w:themeColor="accent5"/>
          <w:szCs w:val="21"/>
        </w:rPr>
      </w:pPr>
      <w:r w:rsidRPr="00A31B4C">
        <w:rPr>
          <w:rStyle w:val="Strong"/>
          <w:color w:val="4472C4" w:themeColor="accent5"/>
          <w:szCs w:val="21"/>
        </w:rPr>
        <w:t>3. Science and Technology for Disaster Risk Reduction</w:t>
      </w:r>
    </w:p>
    <w:p w14:paraId="393F64D7" w14:textId="77777777" w:rsidR="00A31B4C" w:rsidRPr="001A723A" w:rsidRDefault="00382A29" w:rsidP="00A31B4C">
      <w:pPr>
        <w:jc w:val="both"/>
        <w:textAlignment w:val="baseline"/>
        <w:rPr>
          <w:b/>
          <w:bCs/>
          <w:color w:val="4472C4" w:themeColor="accent5"/>
          <w:szCs w:val="21"/>
        </w:rPr>
      </w:pPr>
      <w:sdt>
        <w:sdtPr>
          <w:rPr>
            <w:color w:val="4472C4" w:themeColor="accent5"/>
            <w:sz w:val="20"/>
            <w:szCs w:val="20"/>
          </w:rPr>
          <w:id w:val="-481155224"/>
          <w14:checkbox>
            <w14:checked w14:val="0"/>
            <w14:checkedState w14:val="2612" w14:font="MS Gothic"/>
            <w14:uncheckedState w14:val="2610" w14:font="MS Gothic"/>
          </w14:checkbox>
        </w:sdtPr>
        <w:sdtEndPr/>
        <w:sdtContent>
          <w:r w:rsidR="00A31B4C" w:rsidRPr="00A31B4C">
            <w:rPr>
              <w:rFonts w:ascii="MS Gothic" w:eastAsia="MS Gothic" w:hAnsi="MS Gothic" w:hint="eastAsia"/>
              <w:color w:val="4472C4" w:themeColor="accent5"/>
              <w:sz w:val="20"/>
              <w:szCs w:val="20"/>
            </w:rPr>
            <w:t>☐</w:t>
          </w:r>
        </w:sdtContent>
      </w:sdt>
      <w:r w:rsidR="00A31B4C" w:rsidRPr="00A31B4C">
        <w:rPr>
          <w:color w:val="4472C4" w:themeColor="accent5"/>
          <w:sz w:val="20"/>
          <w:szCs w:val="20"/>
        </w:rPr>
        <w:t xml:space="preserve"> Disaster Risk Reduction: the Elusiveness of Resilience</w:t>
      </w:r>
    </w:p>
    <w:p w14:paraId="500C61BF" w14:textId="77777777" w:rsidR="001A723A" w:rsidRPr="00A31B4C" w:rsidRDefault="00382A29" w:rsidP="001A723A">
      <w:pPr>
        <w:jc w:val="both"/>
        <w:textAlignment w:val="baseline"/>
        <w:rPr>
          <w:color w:val="4472C4" w:themeColor="accent5"/>
          <w:sz w:val="20"/>
          <w:szCs w:val="20"/>
        </w:rPr>
      </w:pPr>
      <w:sdt>
        <w:sdtPr>
          <w:rPr>
            <w:color w:val="4472C4" w:themeColor="accent5"/>
            <w:sz w:val="20"/>
            <w:szCs w:val="20"/>
          </w:rPr>
          <w:id w:val="-506519116"/>
          <w14:checkbox>
            <w14:checked w14:val="0"/>
            <w14:checkedState w14:val="2612" w14:font="MS Gothic"/>
            <w14:uncheckedState w14:val="2610" w14:font="MS Gothic"/>
          </w14:checkbox>
        </w:sdtPr>
        <w:sdtEndPr/>
        <w:sdtContent>
          <w:r w:rsidR="001A723A" w:rsidRPr="00A31B4C">
            <w:rPr>
              <w:rFonts w:ascii="MS Gothic" w:eastAsia="MS Gothic" w:hAnsi="MS Gothic" w:hint="eastAsia"/>
              <w:color w:val="4472C4" w:themeColor="accent5"/>
              <w:sz w:val="20"/>
              <w:szCs w:val="20"/>
            </w:rPr>
            <w:t>☐</w:t>
          </w:r>
        </w:sdtContent>
      </w:sdt>
      <w:r w:rsidR="001A723A" w:rsidRPr="008B7B81">
        <w:t xml:space="preserve"> </w:t>
      </w:r>
      <w:r w:rsidR="001A723A" w:rsidRPr="008B7B81">
        <w:rPr>
          <w:color w:val="4472C4" w:themeColor="accent5"/>
          <w:sz w:val="20"/>
          <w:szCs w:val="20"/>
        </w:rPr>
        <w:t>People-centered Early Warning Systems for Natural Hazards</w:t>
      </w:r>
    </w:p>
    <w:p w14:paraId="060ECDD5" w14:textId="77777777" w:rsidR="001A723A" w:rsidRPr="00A31B4C" w:rsidRDefault="00382A29" w:rsidP="001A723A">
      <w:pPr>
        <w:jc w:val="both"/>
        <w:textAlignment w:val="baseline"/>
        <w:rPr>
          <w:color w:val="4472C4" w:themeColor="accent5"/>
          <w:sz w:val="20"/>
          <w:szCs w:val="20"/>
        </w:rPr>
      </w:pPr>
      <w:sdt>
        <w:sdtPr>
          <w:rPr>
            <w:color w:val="4472C4" w:themeColor="accent5"/>
            <w:sz w:val="20"/>
            <w:szCs w:val="20"/>
          </w:rPr>
          <w:id w:val="-1290192788"/>
          <w14:checkbox>
            <w14:checked w14:val="0"/>
            <w14:checkedState w14:val="2612" w14:font="MS Gothic"/>
            <w14:uncheckedState w14:val="2610" w14:font="MS Gothic"/>
          </w14:checkbox>
        </w:sdtPr>
        <w:sdtEndPr/>
        <w:sdtContent>
          <w:r w:rsidR="001A723A" w:rsidRPr="00A31B4C">
            <w:rPr>
              <w:rFonts w:ascii="MS Gothic" w:eastAsia="MS Gothic" w:hAnsi="MS Gothic" w:hint="eastAsia"/>
              <w:color w:val="4472C4" w:themeColor="accent5"/>
              <w:sz w:val="20"/>
              <w:szCs w:val="20"/>
            </w:rPr>
            <w:t>☐</w:t>
          </w:r>
        </w:sdtContent>
      </w:sdt>
      <w:r w:rsidR="001A723A" w:rsidRPr="008B7B81">
        <w:t xml:space="preserve"> </w:t>
      </w:r>
      <w:r w:rsidR="001A723A" w:rsidRPr="008B7B81">
        <w:rPr>
          <w:color w:val="4472C4" w:themeColor="accent5"/>
          <w:sz w:val="20"/>
          <w:szCs w:val="20"/>
        </w:rPr>
        <w:t>High-Tech and/or Low-Tech for DRR in the Global South. What works, what doesn’t?</w:t>
      </w:r>
    </w:p>
    <w:p w14:paraId="00FB1802" w14:textId="77777777" w:rsidR="001A723A" w:rsidRPr="00A31B4C" w:rsidRDefault="00382A29" w:rsidP="001A723A">
      <w:pPr>
        <w:jc w:val="both"/>
        <w:textAlignment w:val="baseline"/>
        <w:rPr>
          <w:color w:val="4472C4" w:themeColor="accent5"/>
          <w:sz w:val="20"/>
          <w:szCs w:val="20"/>
        </w:rPr>
      </w:pPr>
      <w:sdt>
        <w:sdtPr>
          <w:rPr>
            <w:color w:val="4472C4" w:themeColor="accent5"/>
            <w:sz w:val="20"/>
            <w:szCs w:val="20"/>
          </w:rPr>
          <w:id w:val="-105498032"/>
          <w14:checkbox>
            <w14:checked w14:val="0"/>
            <w14:checkedState w14:val="2612" w14:font="MS Gothic"/>
            <w14:uncheckedState w14:val="2610" w14:font="MS Gothic"/>
          </w14:checkbox>
        </w:sdtPr>
        <w:sdtEndPr/>
        <w:sdtContent>
          <w:r w:rsidR="001A723A" w:rsidRPr="00A31B4C">
            <w:rPr>
              <w:rFonts w:ascii="MS Gothic" w:eastAsia="MS Gothic" w:hAnsi="MS Gothic" w:hint="eastAsia"/>
              <w:color w:val="4472C4" w:themeColor="accent5"/>
              <w:sz w:val="20"/>
              <w:szCs w:val="20"/>
            </w:rPr>
            <w:t>☐</w:t>
          </w:r>
        </w:sdtContent>
      </w:sdt>
      <w:r w:rsidR="001A723A" w:rsidRPr="008B7B81">
        <w:t xml:space="preserve"> </w:t>
      </w:r>
      <w:r w:rsidR="001A723A" w:rsidRPr="008B7B81">
        <w:rPr>
          <w:color w:val="4472C4" w:themeColor="accent5"/>
          <w:sz w:val="20"/>
          <w:szCs w:val="20"/>
        </w:rPr>
        <w:t>Low-cost ICTs for flood and drought risk management and development</w:t>
      </w:r>
    </w:p>
    <w:p w14:paraId="3BD4BDF9" w14:textId="77777777" w:rsidR="001A723A" w:rsidRPr="00A31B4C" w:rsidRDefault="00382A29" w:rsidP="001A723A">
      <w:pPr>
        <w:jc w:val="both"/>
        <w:textAlignment w:val="baseline"/>
        <w:rPr>
          <w:color w:val="4472C4" w:themeColor="accent5"/>
          <w:sz w:val="20"/>
          <w:szCs w:val="20"/>
        </w:rPr>
      </w:pPr>
      <w:sdt>
        <w:sdtPr>
          <w:rPr>
            <w:color w:val="4472C4" w:themeColor="accent5"/>
            <w:sz w:val="20"/>
            <w:szCs w:val="20"/>
          </w:rPr>
          <w:id w:val="604002201"/>
          <w14:checkbox>
            <w14:checked w14:val="0"/>
            <w14:checkedState w14:val="2612" w14:font="MS Gothic"/>
            <w14:uncheckedState w14:val="2610" w14:font="MS Gothic"/>
          </w14:checkbox>
        </w:sdtPr>
        <w:sdtEndPr/>
        <w:sdtContent>
          <w:r w:rsidR="001A723A" w:rsidRPr="00A31B4C">
            <w:rPr>
              <w:rFonts w:ascii="MS Gothic" w:eastAsia="MS Gothic" w:hAnsi="MS Gothic" w:hint="eastAsia"/>
              <w:color w:val="4472C4" w:themeColor="accent5"/>
              <w:sz w:val="20"/>
              <w:szCs w:val="20"/>
            </w:rPr>
            <w:t>☐</w:t>
          </w:r>
        </w:sdtContent>
      </w:sdt>
      <w:r w:rsidR="001A723A" w:rsidRPr="008B7B81">
        <w:t xml:space="preserve"> </w:t>
      </w:r>
      <w:r w:rsidR="001A723A" w:rsidRPr="008B7B81">
        <w:rPr>
          <w:color w:val="4472C4" w:themeColor="accent5"/>
          <w:sz w:val="20"/>
          <w:szCs w:val="20"/>
        </w:rPr>
        <w:t>Adapted Technologies for Early Warning Systems: Playing with Uncertainty</w:t>
      </w:r>
    </w:p>
    <w:p w14:paraId="6B88CA9A" w14:textId="77777777" w:rsidR="00A31B4C" w:rsidRPr="00A31B4C" w:rsidRDefault="00A31B4C" w:rsidP="00A31B4C">
      <w:pPr>
        <w:jc w:val="both"/>
        <w:rPr>
          <w:rStyle w:val="Strong"/>
          <w:color w:val="4472C4" w:themeColor="accent5"/>
        </w:rPr>
      </w:pPr>
    </w:p>
    <w:p w14:paraId="79D176BE" w14:textId="77777777" w:rsidR="00A31B4C" w:rsidRPr="00A31B4C" w:rsidRDefault="00A31B4C" w:rsidP="00A31B4C">
      <w:pPr>
        <w:jc w:val="both"/>
        <w:textAlignment w:val="baseline"/>
        <w:rPr>
          <w:color w:val="4472C4" w:themeColor="accent5"/>
          <w:sz w:val="20"/>
          <w:szCs w:val="20"/>
        </w:rPr>
      </w:pPr>
      <w:r w:rsidRPr="00A31B4C">
        <w:rPr>
          <w:rStyle w:val="Strong"/>
          <w:color w:val="4472C4" w:themeColor="accent5"/>
        </w:rPr>
        <w:t>4. Technologies for Sustainable Access to Energy</w:t>
      </w:r>
      <w:r w:rsidRPr="00A31B4C">
        <w:rPr>
          <w:color w:val="4472C4" w:themeColor="accent5"/>
          <w:sz w:val="20"/>
          <w:szCs w:val="20"/>
        </w:rPr>
        <w:t xml:space="preserve"> </w:t>
      </w:r>
    </w:p>
    <w:p w14:paraId="73C56084" w14:textId="77777777" w:rsidR="00A31B4C" w:rsidRPr="00A31B4C" w:rsidRDefault="00382A29" w:rsidP="00A31B4C">
      <w:pPr>
        <w:jc w:val="both"/>
        <w:textAlignment w:val="baseline"/>
        <w:rPr>
          <w:color w:val="4472C4" w:themeColor="accent5"/>
          <w:sz w:val="20"/>
          <w:szCs w:val="20"/>
        </w:rPr>
      </w:pPr>
      <w:sdt>
        <w:sdtPr>
          <w:rPr>
            <w:color w:val="4472C4" w:themeColor="accent5"/>
            <w:sz w:val="20"/>
            <w:szCs w:val="20"/>
          </w:rPr>
          <w:id w:val="755641155"/>
          <w14:checkbox>
            <w14:checked w14:val="0"/>
            <w14:checkedState w14:val="2612" w14:font="MS Gothic"/>
            <w14:uncheckedState w14:val="2610" w14:font="MS Gothic"/>
          </w14:checkbox>
        </w:sdtPr>
        <w:sdtEndPr/>
        <w:sdtContent>
          <w:r w:rsidR="00A31B4C" w:rsidRPr="00A31B4C">
            <w:rPr>
              <w:rFonts w:ascii="MS Gothic" w:eastAsia="MS Gothic" w:hAnsi="MS Gothic" w:hint="eastAsia"/>
              <w:color w:val="4472C4" w:themeColor="accent5"/>
              <w:sz w:val="20"/>
              <w:szCs w:val="20"/>
            </w:rPr>
            <w:t>☐</w:t>
          </w:r>
        </w:sdtContent>
      </w:sdt>
      <w:r w:rsidR="00A31B4C" w:rsidRPr="00A31B4C">
        <w:rPr>
          <w:color w:val="4472C4" w:themeColor="accent5"/>
          <w:sz w:val="20"/>
          <w:szCs w:val="20"/>
        </w:rPr>
        <w:t xml:space="preserve"> Access to energy for all: measuring impact beyond kWh</w:t>
      </w:r>
    </w:p>
    <w:p w14:paraId="76148DC7" w14:textId="77777777" w:rsidR="001A723A" w:rsidRPr="00A31B4C" w:rsidRDefault="00382A29" w:rsidP="001A723A">
      <w:pPr>
        <w:jc w:val="both"/>
        <w:textAlignment w:val="baseline"/>
        <w:rPr>
          <w:color w:val="4472C4" w:themeColor="accent5"/>
          <w:sz w:val="20"/>
          <w:szCs w:val="20"/>
        </w:rPr>
      </w:pPr>
      <w:sdt>
        <w:sdtPr>
          <w:rPr>
            <w:color w:val="4472C4" w:themeColor="accent5"/>
            <w:sz w:val="20"/>
            <w:szCs w:val="20"/>
          </w:rPr>
          <w:id w:val="1055739253"/>
          <w14:checkbox>
            <w14:checked w14:val="0"/>
            <w14:checkedState w14:val="2612" w14:font="MS Gothic"/>
            <w14:uncheckedState w14:val="2610" w14:font="MS Gothic"/>
          </w14:checkbox>
        </w:sdtPr>
        <w:sdtEndPr/>
        <w:sdtContent>
          <w:r w:rsidR="001A723A" w:rsidRPr="00A31B4C">
            <w:rPr>
              <w:rFonts w:ascii="MS Gothic" w:eastAsia="MS Gothic" w:hAnsi="MS Gothic" w:hint="eastAsia"/>
              <w:color w:val="4472C4" w:themeColor="accent5"/>
              <w:sz w:val="20"/>
              <w:szCs w:val="20"/>
            </w:rPr>
            <w:t>☐</w:t>
          </w:r>
        </w:sdtContent>
      </w:sdt>
      <w:r w:rsidR="001A723A" w:rsidRPr="008B7B81">
        <w:t xml:space="preserve"> </w:t>
      </w:r>
      <w:r w:rsidR="001A723A" w:rsidRPr="008B7B81">
        <w:rPr>
          <w:color w:val="4472C4" w:themeColor="accent5"/>
          <w:sz w:val="20"/>
          <w:szCs w:val="20"/>
        </w:rPr>
        <w:t>Collaborating for Cleaner Technologies and Transitioning to Sustainable Energy Access</w:t>
      </w:r>
    </w:p>
    <w:p w14:paraId="0D9005CE" w14:textId="77777777" w:rsidR="001A723A" w:rsidRPr="00A31B4C" w:rsidRDefault="00382A29" w:rsidP="001A723A">
      <w:pPr>
        <w:jc w:val="both"/>
        <w:textAlignment w:val="baseline"/>
        <w:rPr>
          <w:color w:val="4472C4" w:themeColor="accent5"/>
          <w:sz w:val="20"/>
          <w:szCs w:val="20"/>
        </w:rPr>
      </w:pPr>
      <w:sdt>
        <w:sdtPr>
          <w:rPr>
            <w:color w:val="4472C4" w:themeColor="accent5"/>
            <w:sz w:val="20"/>
            <w:szCs w:val="20"/>
          </w:rPr>
          <w:id w:val="-1869055728"/>
          <w14:checkbox>
            <w14:checked w14:val="0"/>
            <w14:checkedState w14:val="2612" w14:font="MS Gothic"/>
            <w14:uncheckedState w14:val="2610" w14:font="MS Gothic"/>
          </w14:checkbox>
        </w:sdtPr>
        <w:sdtEndPr/>
        <w:sdtContent>
          <w:r w:rsidR="001A723A" w:rsidRPr="00A31B4C">
            <w:rPr>
              <w:rFonts w:ascii="MS Gothic" w:eastAsia="MS Gothic" w:hAnsi="MS Gothic" w:hint="eastAsia"/>
              <w:color w:val="4472C4" w:themeColor="accent5"/>
              <w:sz w:val="20"/>
              <w:szCs w:val="20"/>
            </w:rPr>
            <w:t>☐</w:t>
          </w:r>
        </w:sdtContent>
      </w:sdt>
      <w:r w:rsidR="001A723A" w:rsidRPr="008B7B81">
        <w:t xml:space="preserve"> </w:t>
      </w:r>
      <w:r w:rsidR="001A723A" w:rsidRPr="008B7B81">
        <w:rPr>
          <w:color w:val="4472C4" w:themeColor="accent5"/>
          <w:sz w:val="20"/>
          <w:szCs w:val="20"/>
        </w:rPr>
        <w:t>How can clean energy-based innovations boost incomes in Global South?</w:t>
      </w:r>
    </w:p>
    <w:p w14:paraId="693B62B6" w14:textId="77777777" w:rsidR="001A723A" w:rsidRPr="00A31B4C" w:rsidRDefault="00382A29" w:rsidP="001A723A">
      <w:pPr>
        <w:jc w:val="both"/>
        <w:textAlignment w:val="baseline"/>
        <w:rPr>
          <w:color w:val="4472C4" w:themeColor="accent5"/>
          <w:sz w:val="20"/>
          <w:szCs w:val="20"/>
        </w:rPr>
      </w:pPr>
      <w:sdt>
        <w:sdtPr>
          <w:rPr>
            <w:color w:val="4472C4" w:themeColor="accent5"/>
            <w:sz w:val="20"/>
            <w:szCs w:val="20"/>
          </w:rPr>
          <w:id w:val="-374934291"/>
          <w14:checkbox>
            <w14:checked w14:val="0"/>
            <w14:checkedState w14:val="2612" w14:font="MS Gothic"/>
            <w14:uncheckedState w14:val="2610" w14:font="MS Gothic"/>
          </w14:checkbox>
        </w:sdtPr>
        <w:sdtEndPr/>
        <w:sdtContent>
          <w:r w:rsidR="001A723A" w:rsidRPr="00A31B4C">
            <w:rPr>
              <w:rFonts w:ascii="MS Gothic" w:eastAsia="MS Gothic" w:hAnsi="MS Gothic" w:hint="eastAsia"/>
              <w:color w:val="4472C4" w:themeColor="accent5"/>
              <w:sz w:val="20"/>
              <w:szCs w:val="20"/>
            </w:rPr>
            <w:t>☐</w:t>
          </w:r>
        </w:sdtContent>
      </w:sdt>
      <w:r w:rsidR="001A723A" w:rsidRPr="008B7B81">
        <w:t xml:space="preserve"> </w:t>
      </w:r>
      <w:r w:rsidR="001A723A" w:rsidRPr="008B7B81">
        <w:rPr>
          <w:color w:val="4472C4" w:themeColor="accent5"/>
          <w:sz w:val="20"/>
          <w:szCs w:val="20"/>
        </w:rPr>
        <w:t>Gender And Renewable Energy Rural Electr</w:t>
      </w:r>
      <w:r w:rsidR="001A723A">
        <w:rPr>
          <w:color w:val="4472C4" w:themeColor="accent5"/>
          <w:sz w:val="20"/>
          <w:szCs w:val="20"/>
        </w:rPr>
        <w:t>ification Programs</w:t>
      </w:r>
    </w:p>
    <w:p w14:paraId="2646C6C5" w14:textId="77777777" w:rsidR="00A31B4C" w:rsidRPr="00A31B4C" w:rsidRDefault="00A31B4C" w:rsidP="00A31B4C">
      <w:pPr>
        <w:jc w:val="both"/>
        <w:textAlignment w:val="baseline"/>
        <w:rPr>
          <w:rStyle w:val="Strong"/>
          <w:b w:val="0"/>
          <w:bCs w:val="0"/>
          <w:color w:val="4472C4" w:themeColor="accent5"/>
          <w:sz w:val="20"/>
          <w:szCs w:val="20"/>
        </w:rPr>
      </w:pPr>
    </w:p>
    <w:p w14:paraId="04444791" w14:textId="77777777" w:rsidR="00A31B4C" w:rsidRPr="00A31B4C" w:rsidRDefault="00A31B4C" w:rsidP="00A31B4C">
      <w:pPr>
        <w:jc w:val="both"/>
        <w:rPr>
          <w:b/>
          <w:bCs/>
          <w:color w:val="4472C4" w:themeColor="accent5"/>
        </w:rPr>
      </w:pPr>
      <w:r w:rsidRPr="00A31B4C">
        <w:rPr>
          <w:rStyle w:val="Strong"/>
          <w:color w:val="4472C4" w:themeColor="accent5"/>
        </w:rPr>
        <w:t>5. Information and Communication Technologies for Development</w:t>
      </w:r>
      <w:r w:rsidRPr="00A31B4C">
        <w:rPr>
          <w:color w:val="4472C4" w:themeColor="accent5"/>
          <w:sz w:val="20"/>
          <w:szCs w:val="20"/>
        </w:rPr>
        <w:t xml:space="preserve"> </w:t>
      </w:r>
    </w:p>
    <w:p w14:paraId="4A7A2A8A" w14:textId="77777777" w:rsidR="00A31B4C" w:rsidRPr="00A31B4C" w:rsidRDefault="00382A29" w:rsidP="00A31B4C">
      <w:pPr>
        <w:jc w:val="both"/>
        <w:textAlignment w:val="baseline"/>
        <w:rPr>
          <w:color w:val="4472C4" w:themeColor="accent5"/>
          <w:sz w:val="20"/>
          <w:szCs w:val="20"/>
        </w:rPr>
      </w:pPr>
      <w:sdt>
        <w:sdtPr>
          <w:rPr>
            <w:rFonts w:ascii="MS Gothic" w:eastAsia="MS Gothic" w:hAnsi="MS Gothic"/>
            <w:color w:val="4472C4" w:themeColor="accent5"/>
            <w:sz w:val="20"/>
            <w:szCs w:val="20"/>
          </w:rPr>
          <w:id w:val="-1221356786"/>
          <w14:checkbox>
            <w14:checked w14:val="0"/>
            <w14:checkedState w14:val="2612" w14:font="MS Gothic"/>
            <w14:uncheckedState w14:val="2610" w14:font="MS Gothic"/>
          </w14:checkbox>
        </w:sdtPr>
        <w:sdtEndPr/>
        <w:sdtContent>
          <w:r w:rsidR="00A31B4C" w:rsidRPr="00A31B4C">
            <w:rPr>
              <w:rFonts w:ascii="MS Gothic" w:eastAsia="MS Gothic" w:hAnsi="MS Gothic" w:hint="eastAsia"/>
              <w:color w:val="4472C4" w:themeColor="accent5"/>
              <w:sz w:val="20"/>
              <w:szCs w:val="20"/>
            </w:rPr>
            <w:t>☐</w:t>
          </w:r>
        </w:sdtContent>
      </w:sdt>
      <w:r w:rsidR="00A31B4C" w:rsidRPr="00A31B4C">
        <w:rPr>
          <w:color w:val="4472C4" w:themeColor="accent5"/>
          <w:sz w:val="20"/>
          <w:szCs w:val="20"/>
        </w:rPr>
        <w:t xml:space="preserve"> ICTs for Environment: challenges and opportunities of transdisciplinary research for development </w:t>
      </w:r>
    </w:p>
    <w:p w14:paraId="4BBED80F" w14:textId="77777777" w:rsidR="00A31B4C" w:rsidRPr="00A31B4C" w:rsidRDefault="00382A29" w:rsidP="00A31B4C">
      <w:pPr>
        <w:jc w:val="both"/>
        <w:textAlignment w:val="baseline"/>
        <w:rPr>
          <w:color w:val="4472C4" w:themeColor="accent5"/>
          <w:sz w:val="20"/>
          <w:szCs w:val="20"/>
        </w:rPr>
      </w:pPr>
      <w:sdt>
        <w:sdtPr>
          <w:rPr>
            <w:color w:val="4472C4" w:themeColor="accent5"/>
            <w:sz w:val="20"/>
            <w:szCs w:val="20"/>
          </w:rPr>
          <w:id w:val="1479112568"/>
          <w14:checkbox>
            <w14:checked w14:val="0"/>
            <w14:checkedState w14:val="2612" w14:font="MS Gothic"/>
            <w14:uncheckedState w14:val="2610" w14:font="MS Gothic"/>
          </w14:checkbox>
        </w:sdtPr>
        <w:sdtEndPr/>
        <w:sdtContent>
          <w:r w:rsidR="00A31B4C" w:rsidRPr="00A31B4C">
            <w:rPr>
              <w:rFonts w:ascii="MS Gothic" w:eastAsia="MS Gothic" w:hAnsi="MS Gothic" w:hint="eastAsia"/>
              <w:color w:val="4472C4" w:themeColor="accent5"/>
              <w:sz w:val="20"/>
              <w:szCs w:val="20"/>
            </w:rPr>
            <w:t>☐</w:t>
          </w:r>
        </w:sdtContent>
      </w:sdt>
      <w:r w:rsidR="00A31B4C" w:rsidRPr="00A31B4C">
        <w:rPr>
          <w:color w:val="4472C4" w:themeColor="accent5"/>
          <w:sz w:val="20"/>
          <w:szCs w:val="20"/>
        </w:rPr>
        <w:t xml:space="preserve"> Can MOOCs and OER transform Higher Education in the developing world?</w:t>
      </w:r>
    </w:p>
    <w:p w14:paraId="73738ED0" w14:textId="77777777" w:rsidR="00C86E78" w:rsidRPr="00A31B4C" w:rsidRDefault="00382A29" w:rsidP="00C86E78">
      <w:pPr>
        <w:jc w:val="both"/>
        <w:textAlignment w:val="baseline"/>
        <w:rPr>
          <w:color w:val="4472C4" w:themeColor="accent5"/>
          <w:sz w:val="20"/>
          <w:szCs w:val="20"/>
        </w:rPr>
      </w:pPr>
      <w:sdt>
        <w:sdtPr>
          <w:rPr>
            <w:color w:val="4472C4" w:themeColor="accent5"/>
            <w:sz w:val="20"/>
            <w:szCs w:val="20"/>
          </w:rPr>
          <w:id w:val="344750467"/>
          <w14:checkbox>
            <w14:checked w14:val="0"/>
            <w14:checkedState w14:val="2612" w14:font="MS Gothic"/>
            <w14:uncheckedState w14:val="2610" w14:font="MS Gothic"/>
          </w14:checkbox>
        </w:sdtPr>
        <w:sdtEndPr/>
        <w:sdtContent>
          <w:r w:rsidR="00C86E78">
            <w:rPr>
              <w:rFonts w:ascii="MS Gothic" w:eastAsia="MS Gothic" w:hAnsi="MS Gothic" w:hint="eastAsia"/>
              <w:color w:val="4472C4" w:themeColor="accent5"/>
              <w:sz w:val="20"/>
              <w:szCs w:val="20"/>
            </w:rPr>
            <w:t>☐</w:t>
          </w:r>
        </w:sdtContent>
      </w:sdt>
      <w:r w:rsidR="00C86E78">
        <w:rPr>
          <w:color w:val="4472C4" w:themeColor="accent5"/>
          <w:sz w:val="20"/>
          <w:szCs w:val="20"/>
        </w:rPr>
        <w:t xml:space="preserve"> </w:t>
      </w:r>
      <w:r w:rsidR="00C86E78" w:rsidRPr="008B7B81">
        <w:rPr>
          <w:color w:val="4472C4" w:themeColor="accent5"/>
          <w:sz w:val="20"/>
          <w:szCs w:val="20"/>
        </w:rPr>
        <w:t>Connecting Research to Practice: ICT4D Project Results Follow-Up</w:t>
      </w:r>
    </w:p>
    <w:p w14:paraId="333AB9D3" w14:textId="77777777" w:rsidR="00C86E78" w:rsidRPr="00A31B4C" w:rsidRDefault="00382A29" w:rsidP="00C86E78">
      <w:pPr>
        <w:jc w:val="both"/>
        <w:textAlignment w:val="baseline"/>
        <w:rPr>
          <w:color w:val="4472C4" w:themeColor="accent5"/>
          <w:sz w:val="20"/>
          <w:szCs w:val="20"/>
        </w:rPr>
      </w:pPr>
      <w:sdt>
        <w:sdtPr>
          <w:rPr>
            <w:color w:val="4472C4" w:themeColor="accent5"/>
            <w:sz w:val="20"/>
            <w:szCs w:val="20"/>
          </w:rPr>
          <w:id w:val="-1668316250"/>
          <w14:checkbox>
            <w14:checked w14:val="1"/>
            <w14:checkedState w14:val="2612" w14:font="MS Gothic"/>
            <w14:uncheckedState w14:val="2610" w14:font="MS Gothic"/>
          </w14:checkbox>
        </w:sdtPr>
        <w:sdtEndPr/>
        <w:sdtContent>
          <w:r w:rsidR="00D82567">
            <w:rPr>
              <w:rFonts w:ascii="MS Gothic" w:eastAsia="MS Gothic" w:hAnsi="MS Gothic" w:hint="eastAsia"/>
              <w:color w:val="4472C4" w:themeColor="accent5"/>
              <w:sz w:val="20"/>
              <w:szCs w:val="20"/>
            </w:rPr>
            <w:t>☒</w:t>
          </w:r>
        </w:sdtContent>
      </w:sdt>
      <w:r w:rsidR="00C86E78" w:rsidRPr="008B7B81">
        <w:t xml:space="preserve"> </w:t>
      </w:r>
      <w:r w:rsidR="00C86E78" w:rsidRPr="008B7B81">
        <w:rPr>
          <w:color w:val="4472C4" w:themeColor="accent5"/>
          <w:sz w:val="20"/>
          <w:szCs w:val="20"/>
        </w:rPr>
        <w:t>D</w:t>
      </w:r>
      <w:r w:rsidR="00C86E78">
        <w:rPr>
          <w:color w:val="4472C4" w:themeColor="accent5"/>
          <w:sz w:val="20"/>
          <w:szCs w:val="20"/>
        </w:rPr>
        <w:t>ata-Driven Farming For everyone</w:t>
      </w:r>
    </w:p>
    <w:p w14:paraId="6EF79BA8" w14:textId="77777777" w:rsidR="001A723A" w:rsidRPr="00A31B4C" w:rsidRDefault="00382A29" w:rsidP="001A723A">
      <w:pPr>
        <w:jc w:val="both"/>
        <w:textAlignment w:val="baseline"/>
        <w:rPr>
          <w:color w:val="4472C4" w:themeColor="accent5"/>
          <w:sz w:val="20"/>
          <w:szCs w:val="20"/>
        </w:rPr>
      </w:pPr>
      <w:sdt>
        <w:sdtPr>
          <w:rPr>
            <w:color w:val="4472C4" w:themeColor="accent5"/>
            <w:sz w:val="20"/>
            <w:szCs w:val="20"/>
          </w:rPr>
          <w:id w:val="-1726680787"/>
          <w14:checkbox>
            <w14:checked w14:val="0"/>
            <w14:checkedState w14:val="2612" w14:font="MS Gothic"/>
            <w14:uncheckedState w14:val="2610" w14:font="MS Gothic"/>
          </w14:checkbox>
        </w:sdtPr>
        <w:sdtEndPr/>
        <w:sdtContent>
          <w:r w:rsidR="001A723A" w:rsidRPr="00A31B4C">
            <w:rPr>
              <w:rFonts w:ascii="MS Gothic" w:eastAsia="MS Gothic" w:hAnsi="MS Gothic" w:hint="eastAsia"/>
              <w:color w:val="4472C4" w:themeColor="accent5"/>
              <w:sz w:val="20"/>
              <w:szCs w:val="20"/>
            </w:rPr>
            <w:t>☐</w:t>
          </w:r>
        </w:sdtContent>
      </w:sdt>
      <w:r w:rsidR="001A723A" w:rsidRPr="008B7B81">
        <w:t xml:space="preserve"> </w:t>
      </w:r>
      <w:r w:rsidR="001A723A" w:rsidRPr="008B7B81">
        <w:rPr>
          <w:color w:val="4472C4" w:themeColor="accent5"/>
          <w:sz w:val="20"/>
          <w:szCs w:val="20"/>
        </w:rPr>
        <w:t>Designing for Inclusion: Why Adaptive and participatory methods are necessary</w:t>
      </w:r>
    </w:p>
    <w:p w14:paraId="2C1B6B3A" w14:textId="77777777" w:rsidR="001A723A" w:rsidRPr="00A31B4C" w:rsidRDefault="00382A29" w:rsidP="001A723A">
      <w:pPr>
        <w:jc w:val="both"/>
        <w:textAlignment w:val="baseline"/>
        <w:rPr>
          <w:color w:val="4472C4" w:themeColor="accent5"/>
          <w:sz w:val="20"/>
          <w:szCs w:val="20"/>
        </w:rPr>
      </w:pPr>
      <w:sdt>
        <w:sdtPr>
          <w:rPr>
            <w:color w:val="4472C4" w:themeColor="accent5"/>
            <w:sz w:val="20"/>
            <w:szCs w:val="20"/>
          </w:rPr>
          <w:id w:val="-786037782"/>
          <w14:checkbox>
            <w14:checked w14:val="0"/>
            <w14:checkedState w14:val="2612" w14:font="MS Gothic"/>
            <w14:uncheckedState w14:val="2610" w14:font="MS Gothic"/>
          </w14:checkbox>
        </w:sdtPr>
        <w:sdtEndPr/>
        <w:sdtContent>
          <w:r w:rsidR="001A723A" w:rsidRPr="00A31B4C">
            <w:rPr>
              <w:rFonts w:ascii="MS Gothic" w:eastAsia="MS Gothic" w:hAnsi="MS Gothic" w:hint="eastAsia"/>
              <w:color w:val="4472C4" w:themeColor="accent5"/>
              <w:sz w:val="20"/>
              <w:szCs w:val="20"/>
            </w:rPr>
            <w:t>☐</w:t>
          </w:r>
        </w:sdtContent>
      </w:sdt>
      <w:r w:rsidR="001A723A" w:rsidRPr="008B7B81">
        <w:t xml:space="preserve"> </w:t>
      </w:r>
      <w:r w:rsidR="001A723A" w:rsidRPr="008B7B81">
        <w:rPr>
          <w:color w:val="4472C4" w:themeColor="accent5"/>
          <w:sz w:val="20"/>
          <w:szCs w:val="20"/>
        </w:rPr>
        <w:t>From data buckets to living platforms: Pitfalls and opportunities in designing spatial tools and data platforms for sustainable development</w:t>
      </w:r>
    </w:p>
    <w:p w14:paraId="32ED58D4" w14:textId="77777777" w:rsidR="00A31B4C" w:rsidRPr="00A31B4C" w:rsidRDefault="00382A29" w:rsidP="001A723A">
      <w:pPr>
        <w:jc w:val="both"/>
        <w:textAlignment w:val="baseline"/>
        <w:rPr>
          <w:color w:val="4472C4" w:themeColor="accent5"/>
          <w:sz w:val="20"/>
          <w:szCs w:val="20"/>
        </w:rPr>
      </w:pPr>
      <w:sdt>
        <w:sdtPr>
          <w:rPr>
            <w:color w:val="4472C4" w:themeColor="accent5"/>
            <w:sz w:val="20"/>
            <w:szCs w:val="20"/>
          </w:rPr>
          <w:id w:val="-820426932"/>
          <w14:checkbox>
            <w14:checked w14:val="0"/>
            <w14:checkedState w14:val="2612" w14:font="MS Gothic"/>
            <w14:uncheckedState w14:val="2610" w14:font="MS Gothic"/>
          </w14:checkbox>
        </w:sdtPr>
        <w:sdtEndPr/>
        <w:sdtContent>
          <w:r w:rsidR="001A723A" w:rsidRPr="00A31B4C">
            <w:rPr>
              <w:rFonts w:ascii="MS Gothic" w:eastAsia="MS Gothic" w:hAnsi="MS Gothic" w:hint="eastAsia"/>
              <w:color w:val="4472C4" w:themeColor="accent5"/>
              <w:sz w:val="20"/>
              <w:szCs w:val="20"/>
            </w:rPr>
            <w:t>☐</w:t>
          </w:r>
        </w:sdtContent>
      </w:sdt>
      <w:r w:rsidR="001A723A" w:rsidRPr="008B7B81">
        <w:t xml:space="preserve"> </w:t>
      </w:r>
      <w:r w:rsidR="001A723A" w:rsidRPr="008B7B81">
        <w:rPr>
          <w:color w:val="4472C4" w:themeColor="accent5"/>
          <w:sz w:val="20"/>
          <w:szCs w:val="20"/>
        </w:rPr>
        <w:t>GovTech in the Global South: Harnessing ICT to transform governments and markets</w:t>
      </w:r>
    </w:p>
    <w:p w14:paraId="56757ECD" w14:textId="77777777" w:rsidR="00A31B4C" w:rsidRPr="00A31B4C" w:rsidRDefault="00A31B4C" w:rsidP="00A31B4C">
      <w:pPr>
        <w:jc w:val="both"/>
        <w:rPr>
          <w:rStyle w:val="Strong"/>
          <w:color w:val="4472C4" w:themeColor="accent5"/>
        </w:rPr>
      </w:pPr>
    </w:p>
    <w:p w14:paraId="748E6ABE" w14:textId="77777777" w:rsidR="00A31B4C" w:rsidRPr="00A31B4C" w:rsidRDefault="00A31B4C" w:rsidP="00A31B4C">
      <w:pPr>
        <w:jc w:val="both"/>
        <w:rPr>
          <w:rStyle w:val="Strong"/>
          <w:color w:val="4472C4" w:themeColor="accent5"/>
        </w:rPr>
      </w:pPr>
      <w:r w:rsidRPr="00A31B4C">
        <w:rPr>
          <w:rStyle w:val="Strong"/>
          <w:color w:val="4472C4" w:themeColor="accent5"/>
        </w:rPr>
        <w:t>6. Technologies for Sustainable Development of Habitat and Cities</w:t>
      </w:r>
    </w:p>
    <w:p w14:paraId="16A1E6EC" w14:textId="77777777" w:rsidR="00A31B4C" w:rsidRPr="00A31B4C" w:rsidRDefault="00382A29" w:rsidP="00A31B4C">
      <w:pPr>
        <w:jc w:val="both"/>
        <w:textAlignment w:val="baseline"/>
        <w:rPr>
          <w:color w:val="4472C4" w:themeColor="accent5"/>
          <w:sz w:val="20"/>
          <w:szCs w:val="20"/>
        </w:rPr>
      </w:pPr>
      <w:sdt>
        <w:sdtPr>
          <w:rPr>
            <w:rFonts w:ascii="MS Gothic" w:eastAsia="MS Gothic" w:hAnsi="MS Gothic"/>
            <w:color w:val="4472C4" w:themeColor="accent5"/>
            <w:sz w:val="20"/>
            <w:szCs w:val="20"/>
          </w:rPr>
          <w:id w:val="746763806"/>
          <w14:checkbox>
            <w14:checked w14:val="0"/>
            <w14:checkedState w14:val="2612" w14:font="MS Gothic"/>
            <w14:uncheckedState w14:val="2610" w14:font="MS Gothic"/>
          </w14:checkbox>
        </w:sdtPr>
        <w:sdtEndPr/>
        <w:sdtContent>
          <w:r w:rsidR="00A31B4C" w:rsidRPr="00A31B4C">
            <w:rPr>
              <w:rFonts w:ascii="MS Gothic" w:eastAsia="MS Gothic" w:hAnsi="MS Gothic" w:hint="eastAsia"/>
              <w:color w:val="4472C4" w:themeColor="accent5"/>
              <w:sz w:val="20"/>
              <w:szCs w:val="20"/>
            </w:rPr>
            <w:t>☐</w:t>
          </w:r>
        </w:sdtContent>
      </w:sdt>
      <w:r w:rsidR="00A31B4C" w:rsidRPr="00A31B4C">
        <w:rPr>
          <w:color w:val="4472C4" w:themeColor="accent5"/>
          <w:sz w:val="20"/>
          <w:szCs w:val="20"/>
        </w:rPr>
        <w:t xml:space="preserve"> Data management and appropriate geospatial technologies for cities of the Global South</w:t>
      </w:r>
    </w:p>
    <w:p w14:paraId="5C24B4CA" w14:textId="77777777" w:rsidR="00A31B4C" w:rsidRPr="00A31B4C" w:rsidRDefault="00382A29" w:rsidP="00A31B4C">
      <w:pPr>
        <w:jc w:val="both"/>
        <w:textAlignment w:val="baseline"/>
        <w:rPr>
          <w:color w:val="4472C4" w:themeColor="accent5"/>
          <w:sz w:val="20"/>
          <w:szCs w:val="20"/>
        </w:rPr>
      </w:pPr>
      <w:sdt>
        <w:sdtPr>
          <w:rPr>
            <w:rFonts w:ascii="MS Gothic" w:eastAsia="MS Gothic" w:hAnsi="MS Gothic"/>
            <w:color w:val="4472C4" w:themeColor="accent5"/>
            <w:sz w:val="20"/>
            <w:szCs w:val="20"/>
          </w:rPr>
          <w:id w:val="129366072"/>
          <w14:checkbox>
            <w14:checked w14:val="0"/>
            <w14:checkedState w14:val="2612" w14:font="MS Gothic"/>
            <w14:uncheckedState w14:val="2610" w14:font="MS Gothic"/>
          </w14:checkbox>
        </w:sdtPr>
        <w:sdtEndPr/>
        <w:sdtContent>
          <w:r w:rsidR="00A31B4C" w:rsidRPr="00A31B4C">
            <w:rPr>
              <w:rFonts w:ascii="MS Gothic" w:eastAsia="MS Gothic" w:hAnsi="MS Gothic" w:hint="eastAsia"/>
              <w:color w:val="4472C4" w:themeColor="accent5"/>
              <w:sz w:val="20"/>
              <w:szCs w:val="20"/>
            </w:rPr>
            <w:t>☐</w:t>
          </w:r>
        </w:sdtContent>
      </w:sdt>
      <w:r w:rsidR="00A31B4C" w:rsidRPr="00A31B4C">
        <w:rPr>
          <w:color w:val="4472C4" w:themeColor="accent5"/>
          <w:sz w:val="20"/>
          <w:szCs w:val="20"/>
        </w:rPr>
        <w:t xml:space="preserve"> Sustainable habitat and cities: Learning from the slum</w:t>
      </w:r>
    </w:p>
    <w:p w14:paraId="0738870C" w14:textId="77777777" w:rsidR="001A723A" w:rsidRPr="00A31B4C" w:rsidRDefault="00382A29" w:rsidP="001A723A">
      <w:pPr>
        <w:jc w:val="both"/>
        <w:textAlignment w:val="baseline"/>
        <w:rPr>
          <w:color w:val="4472C4" w:themeColor="accent5"/>
          <w:sz w:val="20"/>
          <w:szCs w:val="20"/>
        </w:rPr>
      </w:pPr>
      <w:sdt>
        <w:sdtPr>
          <w:rPr>
            <w:color w:val="4472C4" w:themeColor="accent5"/>
            <w:sz w:val="20"/>
            <w:szCs w:val="20"/>
          </w:rPr>
          <w:id w:val="543106067"/>
          <w14:checkbox>
            <w14:checked w14:val="0"/>
            <w14:checkedState w14:val="2612" w14:font="MS Gothic"/>
            <w14:uncheckedState w14:val="2610" w14:font="MS Gothic"/>
          </w14:checkbox>
        </w:sdtPr>
        <w:sdtEndPr/>
        <w:sdtContent>
          <w:r w:rsidR="001A723A" w:rsidRPr="00A31B4C">
            <w:rPr>
              <w:rFonts w:ascii="MS Gothic" w:eastAsia="MS Gothic" w:hAnsi="MS Gothic" w:hint="eastAsia"/>
              <w:color w:val="4472C4" w:themeColor="accent5"/>
              <w:sz w:val="20"/>
              <w:szCs w:val="20"/>
            </w:rPr>
            <w:t>☐</w:t>
          </w:r>
        </w:sdtContent>
      </w:sdt>
      <w:r w:rsidR="001A723A" w:rsidRPr="008B7B81">
        <w:t xml:space="preserve"> </w:t>
      </w:r>
      <w:r w:rsidR="001A723A" w:rsidRPr="008B7B81">
        <w:rPr>
          <w:color w:val="4472C4" w:themeColor="accent5"/>
          <w:sz w:val="20"/>
          <w:szCs w:val="20"/>
        </w:rPr>
        <w:t>Planning Smart City Technology in the Global South</w:t>
      </w:r>
    </w:p>
    <w:p w14:paraId="1EA18CC9" w14:textId="77777777" w:rsidR="001A723A" w:rsidRPr="00A31B4C" w:rsidRDefault="00382A29" w:rsidP="001A723A">
      <w:pPr>
        <w:jc w:val="both"/>
        <w:textAlignment w:val="baseline"/>
        <w:rPr>
          <w:color w:val="4472C4" w:themeColor="accent5"/>
          <w:sz w:val="20"/>
          <w:szCs w:val="20"/>
        </w:rPr>
      </w:pPr>
      <w:sdt>
        <w:sdtPr>
          <w:rPr>
            <w:color w:val="4472C4" w:themeColor="accent5"/>
            <w:sz w:val="20"/>
            <w:szCs w:val="20"/>
          </w:rPr>
          <w:id w:val="1812825949"/>
          <w14:checkbox>
            <w14:checked w14:val="0"/>
            <w14:checkedState w14:val="2612" w14:font="MS Gothic"/>
            <w14:uncheckedState w14:val="2610" w14:font="MS Gothic"/>
          </w14:checkbox>
        </w:sdtPr>
        <w:sdtEndPr/>
        <w:sdtContent>
          <w:r w:rsidR="001A723A" w:rsidRPr="00A31B4C">
            <w:rPr>
              <w:rFonts w:ascii="MS Gothic" w:eastAsia="MS Gothic" w:hAnsi="MS Gothic" w:hint="eastAsia"/>
              <w:color w:val="4472C4" w:themeColor="accent5"/>
              <w:sz w:val="20"/>
              <w:szCs w:val="20"/>
            </w:rPr>
            <w:t>☐</w:t>
          </w:r>
        </w:sdtContent>
      </w:sdt>
      <w:r w:rsidR="001A723A" w:rsidRPr="008B7B81">
        <w:t xml:space="preserve"> </w:t>
      </w:r>
      <w:r w:rsidR="001A723A" w:rsidRPr="008B7B81">
        <w:rPr>
          <w:color w:val="4472C4" w:themeColor="accent5"/>
          <w:sz w:val="20"/>
          <w:szCs w:val="20"/>
        </w:rPr>
        <w:t>International Cooperation And Construction: The Relationship Between Bureaucracy And Innovation.</w:t>
      </w:r>
    </w:p>
    <w:p w14:paraId="36A2C20D" w14:textId="77777777" w:rsidR="001A723A" w:rsidRPr="00A31B4C" w:rsidRDefault="00382A29" w:rsidP="001A723A">
      <w:pPr>
        <w:jc w:val="both"/>
        <w:textAlignment w:val="baseline"/>
        <w:rPr>
          <w:color w:val="4472C4" w:themeColor="accent5"/>
          <w:sz w:val="20"/>
          <w:szCs w:val="20"/>
        </w:rPr>
      </w:pPr>
      <w:sdt>
        <w:sdtPr>
          <w:rPr>
            <w:color w:val="4472C4" w:themeColor="accent5"/>
            <w:sz w:val="20"/>
            <w:szCs w:val="20"/>
          </w:rPr>
          <w:id w:val="1440180835"/>
          <w14:checkbox>
            <w14:checked w14:val="0"/>
            <w14:checkedState w14:val="2612" w14:font="MS Gothic"/>
            <w14:uncheckedState w14:val="2610" w14:font="MS Gothic"/>
          </w14:checkbox>
        </w:sdtPr>
        <w:sdtEndPr/>
        <w:sdtContent>
          <w:r w:rsidR="001A723A" w:rsidRPr="00A31B4C">
            <w:rPr>
              <w:rFonts w:ascii="MS Gothic" w:eastAsia="MS Gothic" w:hAnsi="MS Gothic" w:hint="eastAsia"/>
              <w:color w:val="4472C4" w:themeColor="accent5"/>
              <w:sz w:val="20"/>
              <w:szCs w:val="20"/>
            </w:rPr>
            <w:t>☐</w:t>
          </w:r>
        </w:sdtContent>
      </w:sdt>
      <w:r w:rsidR="001A723A" w:rsidRPr="008B7B81">
        <w:t xml:space="preserve"> </w:t>
      </w:r>
      <w:r w:rsidR="001A723A" w:rsidRPr="008B7B81">
        <w:rPr>
          <w:color w:val="4472C4" w:themeColor="accent5"/>
          <w:sz w:val="20"/>
          <w:szCs w:val="20"/>
        </w:rPr>
        <w:t>Co-producing basic services: alternative socio-technological arrangements towards urban sustainability</w:t>
      </w:r>
    </w:p>
    <w:p w14:paraId="1CFB4E0F" w14:textId="77777777" w:rsidR="00A31B4C" w:rsidRPr="00A31B4C" w:rsidRDefault="00A31B4C" w:rsidP="00A31B4C">
      <w:pPr>
        <w:jc w:val="both"/>
        <w:rPr>
          <w:rFonts w:eastAsia="Times New Roman"/>
          <w:b/>
          <w:bCs/>
          <w:color w:val="4472C4" w:themeColor="accent5"/>
          <w:lang w:eastAsia="fr-CH"/>
        </w:rPr>
      </w:pPr>
    </w:p>
    <w:p w14:paraId="6FEE470D" w14:textId="77777777" w:rsidR="00A31B4C" w:rsidRPr="00A31B4C" w:rsidRDefault="00A31B4C" w:rsidP="00A31B4C">
      <w:pPr>
        <w:jc w:val="both"/>
        <w:rPr>
          <w:color w:val="4472C4" w:themeColor="accent5"/>
          <w:sz w:val="20"/>
          <w:szCs w:val="20"/>
        </w:rPr>
      </w:pPr>
      <w:r w:rsidRPr="00A31B4C">
        <w:rPr>
          <w:rStyle w:val="Strong"/>
          <w:bCs w:val="0"/>
          <w:color w:val="4472C4" w:themeColor="accent5"/>
        </w:rPr>
        <w:t>7. Crosscutting Themes</w:t>
      </w:r>
      <w:r w:rsidRPr="00A31B4C">
        <w:rPr>
          <w:color w:val="4472C4" w:themeColor="accent5"/>
          <w:sz w:val="20"/>
          <w:szCs w:val="20"/>
        </w:rPr>
        <w:t xml:space="preserve"> </w:t>
      </w:r>
    </w:p>
    <w:p w14:paraId="2328A101" w14:textId="77777777" w:rsidR="00A31B4C" w:rsidRPr="00A31B4C" w:rsidRDefault="00382A29" w:rsidP="00A31B4C">
      <w:pPr>
        <w:jc w:val="both"/>
        <w:textAlignment w:val="baseline"/>
        <w:rPr>
          <w:color w:val="4472C4" w:themeColor="accent5"/>
          <w:sz w:val="20"/>
          <w:szCs w:val="20"/>
        </w:rPr>
      </w:pPr>
      <w:sdt>
        <w:sdtPr>
          <w:rPr>
            <w:color w:val="4472C4" w:themeColor="accent5"/>
            <w:sz w:val="20"/>
            <w:szCs w:val="20"/>
          </w:rPr>
          <w:id w:val="575947099"/>
          <w14:checkbox>
            <w14:checked w14:val="0"/>
            <w14:checkedState w14:val="2612" w14:font="MS Gothic"/>
            <w14:uncheckedState w14:val="2610" w14:font="MS Gothic"/>
          </w14:checkbox>
        </w:sdtPr>
        <w:sdtEndPr/>
        <w:sdtContent>
          <w:r w:rsidR="00A31B4C" w:rsidRPr="00A31B4C">
            <w:rPr>
              <w:rFonts w:ascii="MS Gothic" w:eastAsia="MS Gothic" w:hAnsi="MS Gothic" w:hint="eastAsia"/>
              <w:color w:val="4472C4" w:themeColor="accent5"/>
              <w:sz w:val="20"/>
              <w:szCs w:val="20"/>
            </w:rPr>
            <w:t>☐</w:t>
          </w:r>
        </w:sdtContent>
      </w:sdt>
      <w:r w:rsidR="00A31B4C" w:rsidRPr="00A31B4C">
        <w:rPr>
          <w:color w:val="4472C4" w:themeColor="accent5"/>
          <w:sz w:val="20"/>
          <w:szCs w:val="20"/>
        </w:rPr>
        <w:t xml:space="preserve"> Strengthening the research-policy nexus in the implementation of the SDGs</w:t>
      </w:r>
      <w:r w:rsidR="00A31B4C" w:rsidRPr="00A31B4C">
        <w:rPr>
          <w:color w:val="4472C4" w:themeColor="accent5"/>
          <w:sz w:val="20"/>
          <w:szCs w:val="20"/>
        </w:rPr>
        <w:tab/>
      </w:r>
    </w:p>
    <w:p w14:paraId="68B570C3" w14:textId="77777777" w:rsidR="00A31B4C" w:rsidRPr="00A31B4C" w:rsidRDefault="00382A29" w:rsidP="00A31B4C">
      <w:pPr>
        <w:jc w:val="both"/>
        <w:textAlignment w:val="baseline"/>
        <w:rPr>
          <w:color w:val="4472C4" w:themeColor="accent5"/>
          <w:sz w:val="20"/>
          <w:szCs w:val="20"/>
        </w:rPr>
      </w:pPr>
      <w:sdt>
        <w:sdtPr>
          <w:rPr>
            <w:color w:val="4472C4" w:themeColor="accent5"/>
            <w:sz w:val="20"/>
            <w:szCs w:val="20"/>
          </w:rPr>
          <w:id w:val="-453636848"/>
          <w14:checkbox>
            <w14:checked w14:val="0"/>
            <w14:checkedState w14:val="2612" w14:font="MS Gothic"/>
            <w14:uncheckedState w14:val="2610" w14:font="MS Gothic"/>
          </w14:checkbox>
        </w:sdtPr>
        <w:sdtEndPr/>
        <w:sdtContent>
          <w:r w:rsidR="00A31B4C" w:rsidRPr="00A31B4C">
            <w:rPr>
              <w:rFonts w:ascii="MS Gothic" w:eastAsia="MS Gothic" w:hAnsi="MS Gothic" w:hint="eastAsia"/>
              <w:color w:val="4472C4" w:themeColor="accent5"/>
              <w:sz w:val="20"/>
              <w:szCs w:val="20"/>
            </w:rPr>
            <w:t>☐</w:t>
          </w:r>
        </w:sdtContent>
      </w:sdt>
      <w:r w:rsidR="00A31B4C" w:rsidRPr="00A31B4C">
        <w:rPr>
          <w:color w:val="4472C4" w:themeColor="accent5"/>
          <w:sz w:val="20"/>
          <w:szCs w:val="20"/>
        </w:rPr>
        <w:t xml:space="preserve"> Opportunities and Challenges in Quality (Rigorous) Impact Evaluations: Lessons from the academia and the field</w:t>
      </w:r>
    </w:p>
    <w:p w14:paraId="13B3DB09" w14:textId="77777777" w:rsidR="00A31B4C" w:rsidRPr="00A31B4C" w:rsidRDefault="00382A29" w:rsidP="00A31B4C">
      <w:pPr>
        <w:jc w:val="both"/>
        <w:textAlignment w:val="baseline"/>
        <w:rPr>
          <w:color w:val="4472C4" w:themeColor="accent5"/>
          <w:sz w:val="20"/>
          <w:szCs w:val="20"/>
        </w:rPr>
      </w:pPr>
      <w:sdt>
        <w:sdtPr>
          <w:rPr>
            <w:color w:val="4472C4" w:themeColor="accent5"/>
            <w:sz w:val="20"/>
            <w:szCs w:val="20"/>
          </w:rPr>
          <w:id w:val="1737348495"/>
          <w14:checkbox>
            <w14:checked w14:val="0"/>
            <w14:checkedState w14:val="2612" w14:font="MS Gothic"/>
            <w14:uncheckedState w14:val="2610" w14:font="MS Gothic"/>
          </w14:checkbox>
        </w:sdtPr>
        <w:sdtEndPr/>
        <w:sdtContent>
          <w:r w:rsidR="00A31B4C" w:rsidRPr="00A31B4C">
            <w:rPr>
              <w:rFonts w:ascii="MS Gothic" w:eastAsia="MS Gothic" w:hAnsi="MS Gothic" w:hint="eastAsia"/>
              <w:color w:val="4472C4" w:themeColor="accent5"/>
              <w:sz w:val="20"/>
              <w:szCs w:val="20"/>
            </w:rPr>
            <w:t>☐</w:t>
          </w:r>
        </w:sdtContent>
      </w:sdt>
      <w:r w:rsidR="00A31B4C" w:rsidRPr="00A31B4C">
        <w:rPr>
          <w:color w:val="4472C4" w:themeColor="accent5"/>
          <w:sz w:val="20"/>
          <w:szCs w:val="20"/>
        </w:rPr>
        <w:t xml:space="preserve"> Development Engineering: Training Global Engineers </w:t>
      </w:r>
    </w:p>
    <w:p w14:paraId="75E694D9" w14:textId="77777777" w:rsidR="00AD2D2F" w:rsidRDefault="00382A29" w:rsidP="00AD2D2F">
      <w:pPr>
        <w:jc w:val="both"/>
        <w:textAlignment w:val="baseline"/>
        <w:rPr>
          <w:color w:val="4472C4" w:themeColor="accent5"/>
          <w:sz w:val="20"/>
          <w:szCs w:val="20"/>
        </w:rPr>
      </w:pPr>
      <w:sdt>
        <w:sdtPr>
          <w:rPr>
            <w:color w:val="4472C4" w:themeColor="accent5"/>
            <w:sz w:val="20"/>
            <w:szCs w:val="20"/>
          </w:rPr>
          <w:id w:val="-1383004659"/>
          <w14:checkbox>
            <w14:checked w14:val="0"/>
            <w14:checkedState w14:val="2612" w14:font="MS Gothic"/>
            <w14:uncheckedState w14:val="2610" w14:font="MS Gothic"/>
          </w14:checkbox>
        </w:sdtPr>
        <w:sdtEndPr/>
        <w:sdtContent>
          <w:r w:rsidR="00A31B4C" w:rsidRPr="00A31B4C">
            <w:rPr>
              <w:rFonts w:ascii="MS Gothic" w:eastAsia="MS Gothic" w:hAnsi="MS Gothic" w:hint="eastAsia"/>
              <w:color w:val="4472C4" w:themeColor="accent5"/>
              <w:sz w:val="20"/>
              <w:szCs w:val="20"/>
            </w:rPr>
            <w:t>☐</w:t>
          </w:r>
        </w:sdtContent>
      </w:sdt>
      <w:r w:rsidR="00A31B4C" w:rsidRPr="00A31B4C">
        <w:rPr>
          <w:color w:val="4472C4" w:themeColor="accent5"/>
          <w:sz w:val="20"/>
          <w:szCs w:val="20"/>
        </w:rPr>
        <w:t xml:space="preserve"> Open science: an </w:t>
      </w:r>
      <w:r w:rsidR="00CF1A53">
        <w:rPr>
          <w:color w:val="4472C4" w:themeColor="accent5"/>
          <w:sz w:val="20"/>
          <w:szCs w:val="20"/>
        </w:rPr>
        <w:t>opportunity for the Global South</w:t>
      </w:r>
      <w:r w:rsidR="00A31B4C" w:rsidRPr="00A31B4C">
        <w:rPr>
          <w:color w:val="4472C4" w:themeColor="accent5"/>
          <w:sz w:val="20"/>
          <w:szCs w:val="20"/>
        </w:rPr>
        <w:t>?</w:t>
      </w:r>
    </w:p>
    <w:p w14:paraId="29E94BF5" w14:textId="77777777" w:rsidR="00AD2D2F" w:rsidRDefault="00382A29" w:rsidP="00AD2D2F">
      <w:pPr>
        <w:jc w:val="both"/>
        <w:rPr>
          <w:color w:val="4472C4" w:themeColor="accent5"/>
          <w:sz w:val="20"/>
          <w:szCs w:val="20"/>
        </w:rPr>
      </w:pPr>
      <w:sdt>
        <w:sdtPr>
          <w:rPr>
            <w:color w:val="4472C4" w:themeColor="accent5"/>
            <w:sz w:val="20"/>
            <w:szCs w:val="20"/>
          </w:rPr>
          <w:id w:val="-1917786396"/>
          <w14:checkbox>
            <w14:checked w14:val="0"/>
            <w14:checkedState w14:val="2612" w14:font="MS Gothic"/>
            <w14:uncheckedState w14:val="2610" w14:font="MS Gothic"/>
          </w14:checkbox>
        </w:sdtPr>
        <w:sdtEndPr/>
        <w:sdtContent>
          <w:r w:rsidR="00AD2D2F">
            <w:rPr>
              <w:rFonts w:ascii="MS Gothic" w:eastAsia="MS Gothic" w:hAnsi="MS Gothic" w:hint="eastAsia"/>
              <w:color w:val="4472C4" w:themeColor="accent5"/>
              <w:sz w:val="20"/>
              <w:szCs w:val="20"/>
            </w:rPr>
            <w:t>☐</w:t>
          </w:r>
        </w:sdtContent>
      </w:sdt>
      <w:r w:rsidR="00AD2D2F" w:rsidRPr="008B7B81">
        <w:t xml:space="preserve"> </w:t>
      </w:r>
      <w:r w:rsidR="00AD2D2F" w:rsidRPr="008B7B81">
        <w:rPr>
          <w:color w:val="4472C4" w:themeColor="accent5"/>
          <w:sz w:val="20"/>
          <w:szCs w:val="20"/>
        </w:rPr>
        <w:t>Heart Money - the role of venture capitalism in enabling social outcomes</w:t>
      </w:r>
    </w:p>
    <w:p w14:paraId="7613CB0B" w14:textId="77777777" w:rsidR="00AD2D2F" w:rsidRDefault="00382A29" w:rsidP="00AD2D2F">
      <w:pPr>
        <w:jc w:val="both"/>
        <w:textAlignment w:val="baseline"/>
        <w:rPr>
          <w:color w:val="4472C4" w:themeColor="accent5"/>
          <w:sz w:val="20"/>
          <w:szCs w:val="20"/>
        </w:rPr>
      </w:pPr>
      <w:sdt>
        <w:sdtPr>
          <w:rPr>
            <w:rFonts w:ascii="MS Gothic" w:eastAsia="MS Gothic" w:hAnsi="MS Gothic"/>
            <w:color w:val="4472C4" w:themeColor="accent5"/>
            <w:sz w:val="20"/>
            <w:szCs w:val="20"/>
          </w:rPr>
          <w:id w:val="28928313"/>
          <w14:checkbox>
            <w14:checked w14:val="0"/>
            <w14:checkedState w14:val="2612" w14:font="MS Gothic"/>
            <w14:uncheckedState w14:val="2610" w14:font="MS Gothic"/>
          </w14:checkbox>
        </w:sdtPr>
        <w:sdtEndPr/>
        <w:sdtContent>
          <w:r w:rsidR="00AD2D2F">
            <w:rPr>
              <w:rFonts w:ascii="MS Gothic" w:eastAsia="MS Gothic" w:hAnsi="MS Gothic" w:hint="eastAsia"/>
              <w:color w:val="4472C4" w:themeColor="accent5"/>
              <w:sz w:val="20"/>
              <w:szCs w:val="20"/>
            </w:rPr>
            <w:t>☐</w:t>
          </w:r>
        </w:sdtContent>
      </w:sdt>
      <w:r w:rsidR="00AD2D2F" w:rsidRPr="008B7B81">
        <w:t xml:space="preserve"> </w:t>
      </w:r>
      <w:r w:rsidR="00AD2D2F" w:rsidRPr="001A723A">
        <w:rPr>
          <w:color w:val="4472C4" w:themeColor="accent5"/>
          <w:sz w:val="20"/>
          <w:szCs w:val="20"/>
        </w:rPr>
        <w:t>Building bridges among global high-tech hubs in the African context</w:t>
      </w:r>
    </w:p>
    <w:p w14:paraId="70616B6A" w14:textId="77777777" w:rsidR="0054094B" w:rsidRDefault="00382A29" w:rsidP="00A31B4C">
      <w:pPr>
        <w:jc w:val="both"/>
        <w:textAlignment w:val="baseline"/>
        <w:rPr>
          <w:bCs/>
          <w:color w:val="4472C4" w:themeColor="accent5"/>
          <w:sz w:val="20"/>
          <w:szCs w:val="20"/>
        </w:rPr>
      </w:pPr>
      <w:sdt>
        <w:sdtPr>
          <w:rPr>
            <w:color w:val="4472C4" w:themeColor="accent5"/>
            <w:sz w:val="20"/>
            <w:szCs w:val="20"/>
          </w:rPr>
          <w:id w:val="-1639558045"/>
          <w14:checkbox>
            <w14:checked w14:val="0"/>
            <w14:checkedState w14:val="2612" w14:font="MS Gothic"/>
            <w14:uncheckedState w14:val="2610" w14:font="MS Gothic"/>
          </w14:checkbox>
        </w:sdtPr>
        <w:sdtEndPr/>
        <w:sdtContent>
          <w:r w:rsidR="00AD2D2F" w:rsidRPr="00A31B4C">
            <w:rPr>
              <w:rFonts w:ascii="MS Gothic" w:eastAsia="MS Gothic" w:hAnsi="MS Gothic" w:hint="eastAsia"/>
              <w:color w:val="4472C4" w:themeColor="accent5"/>
              <w:sz w:val="20"/>
              <w:szCs w:val="20"/>
            </w:rPr>
            <w:t>☐</w:t>
          </w:r>
        </w:sdtContent>
      </w:sdt>
      <w:r w:rsidR="00AD2D2F" w:rsidRPr="008B7B81">
        <w:t xml:space="preserve"> </w:t>
      </w:r>
      <w:r w:rsidR="00AD2D2F" w:rsidRPr="008B7B81">
        <w:rPr>
          <w:color w:val="4472C4" w:themeColor="accent5"/>
          <w:sz w:val="20"/>
          <w:szCs w:val="20"/>
        </w:rPr>
        <w:t>Development Engineering in the Private Sector</w:t>
      </w:r>
      <w:r w:rsidR="00A31B4C" w:rsidRPr="00A31B4C">
        <w:rPr>
          <w:bCs/>
          <w:color w:val="4472C4" w:themeColor="accent5"/>
          <w:sz w:val="20"/>
          <w:szCs w:val="20"/>
        </w:rPr>
        <w:tab/>
      </w:r>
    </w:p>
    <w:p w14:paraId="6462BC9D" w14:textId="77777777" w:rsidR="0054094B" w:rsidRPr="00A31B4C" w:rsidRDefault="00382A29" w:rsidP="0054094B">
      <w:pPr>
        <w:jc w:val="both"/>
        <w:textAlignment w:val="baseline"/>
        <w:rPr>
          <w:color w:val="4472C4" w:themeColor="accent5"/>
          <w:sz w:val="20"/>
          <w:szCs w:val="20"/>
        </w:rPr>
      </w:pPr>
      <w:sdt>
        <w:sdtPr>
          <w:rPr>
            <w:color w:val="4472C4" w:themeColor="accent5"/>
            <w:sz w:val="20"/>
            <w:szCs w:val="20"/>
          </w:rPr>
          <w:id w:val="1487214937"/>
          <w14:checkbox>
            <w14:checked w14:val="0"/>
            <w14:checkedState w14:val="2612" w14:font="MS Gothic"/>
            <w14:uncheckedState w14:val="2610" w14:font="MS Gothic"/>
          </w14:checkbox>
        </w:sdtPr>
        <w:sdtEndPr/>
        <w:sdtContent>
          <w:r w:rsidR="0054094B" w:rsidRPr="00A31B4C">
            <w:rPr>
              <w:rFonts w:ascii="MS Gothic" w:eastAsia="MS Gothic" w:hAnsi="MS Gothic" w:hint="eastAsia"/>
              <w:color w:val="4472C4" w:themeColor="accent5"/>
              <w:sz w:val="20"/>
              <w:szCs w:val="20"/>
            </w:rPr>
            <w:t>☐</w:t>
          </w:r>
        </w:sdtContent>
      </w:sdt>
      <w:r w:rsidR="0054094B" w:rsidRPr="008B7B81">
        <w:t xml:space="preserve"> </w:t>
      </w:r>
      <w:r w:rsidR="0054094B" w:rsidRPr="008B7B81">
        <w:rPr>
          <w:color w:val="4472C4" w:themeColor="accent5"/>
          <w:sz w:val="20"/>
          <w:szCs w:val="20"/>
        </w:rPr>
        <w:t>Blockchain and the BoP: a disruptive technology for economic inclusion?</w:t>
      </w:r>
    </w:p>
    <w:p w14:paraId="3AEABDA9" w14:textId="77777777" w:rsidR="00A31B4C" w:rsidRPr="00AD2D2F" w:rsidRDefault="00A31B4C" w:rsidP="00A31B4C">
      <w:pPr>
        <w:jc w:val="both"/>
        <w:textAlignment w:val="baseline"/>
        <w:rPr>
          <w:color w:val="4472C4" w:themeColor="accent5"/>
          <w:sz w:val="20"/>
          <w:szCs w:val="20"/>
        </w:rPr>
      </w:pPr>
      <w:r w:rsidRPr="00A31B4C">
        <w:rPr>
          <w:bCs/>
          <w:color w:val="4472C4" w:themeColor="accent5"/>
          <w:sz w:val="20"/>
          <w:szCs w:val="20"/>
        </w:rPr>
        <w:tab/>
      </w:r>
      <w:r w:rsidRPr="00A31B4C">
        <w:rPr>
          <w:bCs/>
          <w:color w:val="4472C4" w:themeColor="accent5"/>
          <w:sz w:val="20"/>
          <w:szCs w:val="20"/>
        </w:rPr>
        <w:tab/>
      </w:r>
    </w:p>
    <w:p w14:paraId="5A7AC214" w14:textId="7F1ACDCA" w:rsidR="00A31B4C" w:rsidRPr="00A31B4C" w:rsidRDefault="008443BC" w:rsidP="00A31B4C">
      <w:pPr>
        <w:jc w:val="both"/>
        <w:rPr>
          <w:rFonts w:eastAsia="Times New Roman"/>
          <w:b/>
          <w:bCs/>
          <w:color w:val="000000" w:themeColor="text1"/>
          <w:lang w:eastAsia="fr-CH"/>
        </w:rPr>
      </w:pPr>
      <w:r>
        <w:rPr>
          <w:rFonts w:eastAsia="Times New Roman"/>
          <w:b/>
          <w:bCs/>
          <w:color w:val="000000" w:themeColor="text1"/>
          <w:lang w:eastAsia="fr-CH"/>
        </w:rPr>
        <w:lastRenderedPageBreak/>
        <w:t xml:space="preserve">MyWell: Crowdsourcing Water Data for Sustainable Farming </w:t>
      </w:r>
      <w:r w:rsidR="00A31B4C" w:rsidRPr="00A31B4C">
        <w:rPr>
          <w:rFonts w:eastAsia="Times New Roman"/>
          <w:b/>
          <w:bCs/>
          <w:color w:val="000000" w:themeColor="text1"/>
          <w:lang w:eastAsia="fr-CH"/>
        </w:rPr>
        <w:t>(Extended Abstract)</w:t>
      </w:r>
    </w:p>
    <w:p w14:paraId="32745042" w14:textId="77777777" w:rsidR="00A31B4C" w:rsidRPr="00A31B4C" w:rsidRDefault="00A31B4C" w:rsidP="00A31B4C">
      <w:pPr>
        <w:jc w:val="both"/>
        <w:rPr>
          <w:rFonts w:eastAsia="Times New Roman"/>
          <w:bCs/>
          <w:color w:val="4472C4" w:themeColor="accent5"/>
          <w:lang w:eastAsia="fr-CH"/>
        </w:rPr>
      </w:pPr>
    </w:p>
    <w:p w14:paraId="3337C965" w14:textId="77777777" w:rsidR="00A31B4C" w:rsidRPr="00A31B4C" w:rsidRDefault="00D82567" w:rsidP="00A31B4C">
      <w:pPr>
        <w:jc w:val="both"/>
        <w:rPr>
          <w:rFonts w:eastAsia="Times New Roman"/>
          <w:b/>
          <w:bCs/>
          <w:color w:val="4472C4" w:themeColor="accent5"/>
          <w:sz w:val="20"/>
          <w:szCs w:val="20"/>
          <w:lang w:val="fr-CH" w:eastAsia="fr-CH"/>
        </w:rPr>
      </w:pPr>
      <w:r>
        <w:rPr>
          <w:rFonts w:eastAsia="Times New Roman"/>
          <w:b/>
          <w:bCs/>
          <w:color w:val="000000" w:themeColor="text1"/>
          <w:sz w:val="20"/>
          <w:szCs w:val="20"/>
          <w:lang w:val="fr-CH" w:eastAsia="fr-CH"/>
        </w:rPr>
        <w:t>Lewis Daly</w:t>
      </w:r>
      <w:r w:rsidR="00A31B4C" w:rsidRPr="00A31B4C">
        <w:rPr>
          <w:rFonts w:eastAsia="Times New Roman"/>
          <w:b/>
          <w:bCs/>
          <w:color w:val="000000" w:themeColor="text1"/>
          <w:sz w:val="20"/>
          <w:szCs w:val="20"/>
          <w:lang w:val="fr-CH" w:eastAsia="fr-CH"/>
        </w:rPr>
        <w:t xml:space="preserve"> </w:t>
      </w:r>
      <w:r w:rsidR="00A31B4C" w:rsidRPr="00A31B4C">
        <w:rPr>
          <w:rFonts w:eastAsia="Times New Roman"/>
          <w:b/>
          <w:bCs/>
          <w:color w:val="000000" w:themeColor="text1"/>
          <w:sz w:val="20"/>
          <w:szCs w:val="20"/>
          <w:vertAlign w:val="superscript"/>
          <w:lang w:val="fr-CH" w:eastAsia="fr-CH"/>
        </w:rPr>
        <w:t>1</w:t>
      </w:r>
      <w:r w:rsidR="00A31B4C" w:rsidRPr="00A31B4C">
        <w:rPr>
          <w:rFonts w:eastAsia="Times New Roman"/>
          <w:b/>
          <w:bCs/>
          <w:color w:val="000000" w:themeColor="text1"/>
          <w:sz w:val="20"/>
          <w:szCs w:val="20"/>
          <w:lang w:val="fr-CH" w:eastAsia="fr-CH"/>
        </w:rPr>
        <w:t>,</w:t>
      </w:r>
      <w:r>
        <w:rPr>
          <w:rFonts w:eastAsia="Times New Roman"/>
          <w:b/>
          <w:bCs/>
          <w:color w:val="000000" w:themeColor="text1"/>
          <w:sz w:val="20"/>
          <w:szCs w:val="20"/>
          <w:lang w:val="fr-CH" w:eastAsia="fr-CH"/>
        </w:rPr>
        <w:t xml:space="preserve"> </w:t>
      </w:r>
      <w:r w:rsidRPr="00D82567">
        <w:rPr>
          <w:rFonts w:eastAsia="Times New Roman"/>
          <w:bCs/>
          <w:color w:val="000000" w:themeColor="text1"/>
          <w:sz w:val="20"/>
          <w:szCs w:val="20"/>
          <w:lang w:val="fr-CH" w:eastAsia="fr-CH"/>
        </w:rPr>
        <w:t>Basant Maheshwari</w:t>
      </w:r>
      <w:r w:rsidR="00A31B4C" w:rsidRPr="00A31B4C">
        <w:rPr>
          <w:rFonts w:eastAsia="Times New Roman"/>
          <w:b/>
          <w:bCs/>
          <w:color w:val="000000" w:themeColor="text1"/>
          <w:sz w:val="20"/>
          <w:szCs w:val="20"/>
          <w:vertAlign w:val="superscript"/>
          <w:lang w:val="fr-CH" w:eastAsia="fr-CH"/>
        </w:rPr>
        <w:t>2</w:t>
      </w:r>
    </w:p>
    <w:p w14:paraId="7E360439" w14:textId="77777777" w:rsidR="00A31B4C" w:rsidRPr="00A31B4C" w:rsidRDefault="00A31B4C" w:rsidP="00A31B4C">
      <w:pPr>
        <w:jc w:val="both"/>
        <w:rPr>
          <w:rFonts w:eastAsia="Times New Roman"/>
          <w:bCs/>
          <w:color w:val="4472C4" w:themeColor="accent5"/>
          <w:sz w:val="20"/>
          <w:szCs w:val="20"/>
          <w:lang w:val="fr-CH" w:eastAsia="fr-CH"/>
        </w:rPr>
      </w:pPr>
      <w:r w:rsidRPr="00A31B4C">
        <w:rPr>
          <w:rFonts w:eastAsia="Times New Roman"/>
          <w:bCs/>
          <w:color w:val="4472C4" w:themeColor="accent5"/>
          <w:sz w:val="20"/>
          <w:szCs w:val="20"/>
          <w:vertAlign w:val="superscript"/>
          <w:lang w:val="fr-CH" w:eastAsia="fr-CH"/>
        </w:rPr>
        <w:t xml:space="preserve">1 </w:t>
      </w:r>
      <w:r w:rsidR="00D82567" w:rsidRPr="00D82567">
        <w:rPr>
          <w:rFonts w:eastAsia="Times New Roman"/>
          <w:bCs/>
          <w:color w:val="4472C4" w:themeColor="accent5"/>
          <w:sz w:val="20"/>
          <w:szCs w:val="20"/>
          <w:lang w:val="fr-CH" w:eastAsia="fr-CH"/>
        </w:rPr>
        <w:t>Vessels Tech, Adelaide, Australia</w:t>
      </w:r>
    </w:p>
    <w:p w14:paraId="794D0B6B" w14:textId="77777777" w:rsidR="00A31B4C" w:rsidRDefault="00A31B4C" w:rsidP="00A31B4C">
      <w:pPr>
        <w:jc w:val="both"/>
        <w:rPr>
          <w:rFonts w:eastAsia="Times New Roman"/>
          <w:bCs/>
          <w:color w:val="4472C4" w:themeColor="accent5"/>
          <w:sz w:val="20"/>
          <w:szCs w:val="20"/>
          <w:lang w:eastAsia="fr-CH"/>
        </w:rPr>
      </w:pPr>
      <w:r w:rsidRPr="00A31B4C">
        <w:rPr>
          <w:rFonts w:eastAsia="Times New Roman"/>
          <w:bCs/>
          <w:color w:val="4472C4" w:themeColor="accent5"/>
          <w:sz w:val="20"/>
          <w:szCs w:val="20"/>
          <w:vertAlign w:val="superscript"/>
          <w:lang w:eastAsia="fr-CH"/>
        </w:rPr>
        <w:t xml:space="preserve">2 </w:t>
      </w:r>
      <w:r w:rsidR="00D82567" w:rsidRPr="00D82567">
        <w:rPr>
          <w:rFonts w:eastAsia="Times New Roman"/>
          <w:bCs/>
          <w:color w:val="4472C4" w:themeColor="accent5"/>
          <w:sz w:val="20"/>
          <w:szCs w:val="20"/>
          <w:lang w:eastAsia="fr-CH"/>
        </w:rPr>
        <w:t>Western Sydney University, Syndey, Australia</w:t>
      </w:r>
    </w:p>
    <w:p w14:paraId="1BBC0CDF" w14:textId="77777777" w:rsidR="00A31B4C" w:rsidRPr="00A31B4C" w:rsidRDefault="00A31B4C" w:rsidP="00A31B4C">
      <w:pPr>
        <w:jc w:val="both"/>
        <w:rPr>
          <w:rFonts w:eastAsia="Times New Roman"/>
          <w:bCs/>
          <w:color w:val="4472C4" w:themeColor="accent5"/>
          <w:sz w:val="20"/>
          <w:szCs w:val="20"/>
          <w:lang w:eastAsia="fr-CH"/>
        </w:rPr>
      </w:pPr>
    </w:p>
    <w:p w14:paraId="18468A60" w14:textId="77777777" w:rsidR="00A31B4C" w:rsidRPr="00A31B4C" w:rsidRDefault="00A31B4C" w:rsidP="00A31B4C">
      <w:pPr>
        <w:jc w:val="both"/>
        <w:rPr>
          <w:rFonts w:eastAsia="Times New Roman"/>
          <w:b/>
          <w:bCs/>
          <w:color w:val="4472C4" w:themeColor="accent5"/>
          <w:sz w:val="20"/>
          <w:szCs w:val="20"/>
          <w:lang w:eastAsia="fr-CH"/>
        </w:rPr>
      </w:pPr>
      <w:r w:rsidRPr="00A31B4C">
        <w:rPr>
          <w:rFonts w:eastAsia="Times New Roman"/>
          <w:b/>
          <w:bCs/>
          <w:color w:val="000000" w:themeColor="text1"/>
          <w:sz w:val="20"/>
          <w:szCs w:val="20"/>
          <w:lang w:eastAsia="fr-CH"/>
        </w:rPr>
        <w:t xml:space="preserve">Presenting author’s email address: </w:t>
      </w:r>
      <w:r w:rsidR="00D82567">
        <w:rPr>
          <w:rFonts w:eastAsia="Times New Roman"/>
          <w:bCs/>
          <w:color w:val="4472C4" w:themeColor="accent5"/>
          <w:sz w:val="20"/>
          <w:szCs w:val="20"/>
          <w:lang w:eastAsia="fr-CH"/>
        </w:rPr>
        <w:t>lewis@vesselstech.com</w:t>
      </w:r>
    </w:p>
    <w:p w14:paraId="653743AA" w14:textId="77777777" w:rsidR="00A31B4C" w:rsidRPr="00A31B4C" w:rsidRDefault="00A31B4C" w:rsidP="00A31B4C">
      <w:pPr>
        <w:jc w:val="both"/>
        <w:rPr>
          <w:rFonts w:eastAsia="Times New Roman"/>
          <w:bCs/>
          <w:color w:val="4472C4" w:themeColor="accent5"/>
          <w:sz w:val="20"/>
          <w:szCs w:val="20"/>
          <w:lang w:eastAsia="fr-CH"/>
        </w:rPr>
      </w:pPr>
    </w:p>
    <w:p w14:paraId="5AD02915" w14:textId="77777777" w:rsidR="00D80F24" w:rsidRDefault="00A31B4C" w:rsidP="00A31B4C">
      <w:pPr>
        <w:jc w:val="both"/>
        <w:rPr>
          <w:b/>
          <w:color w:val="000000" w:themeColor="text1"/>
          <w:sz w:val="20"/>
          <w:szCs w:val="20"/>
        </w:rPr>
      </w:pPr>
      <w:r w:rsidRPr="00A31B4C">
        <w:rPr>
          <w:rFonts w:eastAsia="Times New Roman"/>
          <w:b/>
          <w:bCs/>
          <w:i/>
          <w:color w:val="000000" w:themeColor="text1"/>
          <w:sz w:val="20"/>
          <w:szCs w:val="20"/>
          <w:lang w:eastAsia="fr-CH"/>
        </w:rPr>
        <w:t xml:space="preserve">Biography of Presenting Author </w:t>
      </w:r>
      <w:r w:rsidRPr="00A31B4C">
        <w:rPr>
          <w:b/>
          <w:color w:val="000000" w:themeColor="text1"/>
          <w:sz w:val="20"/>
          <w:szCs w:val="20"/>
        </w:rPr>
        <w:t xml:space="preserve">(80 words): </w:t>
      </w:r>
    </w:p>
    <w:p w14:paraId="142BB2D8" w14:textId="0DD51B88" w:rsidR="00A31B4C" w:rsidRPr="008443BC" w:rsidRDefault="00D82567" w:rsidP="00A31B4C">
      <w:pPr>
        <w:jc w:val="both"/>
        <w:rPr>
          <w:color w:val="000000" w:themeColor="text1"/>
          <w:sz w:val="20"/>
          <w:szCs w:val="20"/>
        </w:rPr>
      </w:pPr>
      <w:r w:rsidRPr="008443BC">
        <w:rPr>
          <w:color w:val="000000" w:themeColor="text1"/>
          <w:sz w:val="20"/>
          <w:szCs w:val="20"/>
        </w:rPr>
        <w:t>Lewis Daly is the Founder and CTO of Vessels Tech in Australia.</w:t>
      </w:r>
      <w:r w:rsidR="008443BC" w:rsidRPr="008443BC">
        <w:rPr>
          <w:color w:val="000000" w:themeColor="text1"/>
          <w:sz w:val="20"/>
          <w:szCs w:val="20"/>
        </w:rPr>
        <w:t xml:space="preserve"> He has a background in IT and B</w:t>
      </w:r>
      <w:r w:rsidRPr="008443BC">
        <w:rPr>
          <w:color w:val="000000" w:themeColor="text1"/>
          <w:sz w:val="20"/>
          <w:szCs w:val="20"/>
        </w:rPr>
        <w:t>usiness, with a Masters degree from Carnegie Mellon University in Adelaide. He has also worked as an IT Systems research intern at Hitachi in Japan.</w:t>
      </w:r>
    </w:p>
    <w:p w14:paraId="6B78B307" w14:textId="77777777" w:rsidR="00D82567" w:rsidRPr="00A31B4C" w:rsidRDefault="00D82567" w:rsidP="00A31B4C">
      <w:pPr>
        <w:jc w:val="both"/>
        <w:rPr>
          <w:b/>
          <w:color w:val="4472C4" w:themeColor="accent5"/>
          <w:sz w:val="20"/>
          <w:szCs w:val="20"/>
        </w:rPr>
      </w:pPr>
    </w:p>
    <w:p w14:paraId="1078F3FB" w14:textId="79F22DB3" w:rsidR="00A31B4C" w:rsidRDefault="00A31B4C" w:rsidP="00A31B4C">
      <w:pPr>
        <w:jc w:val="both"/>
        <w:rPr>
          <w:b/>
          <w:color w:val="4472C4" w:themeColor="accent5"/>
          <w:sz w:val="20"/>
          <w:szCs w:val="20"/>
        </w:rPr>
      </w:pPr>
      <w:r w:rsidRPr="00A31B4C">
        <w:rPr>
          <w:rFonts w:eastAsia="Times New Roman"/>
          <w:b/>
          <w:bCs/>
          <w:color w:val="000000" w:themeColor="text1"/>
          <w:sz w:val="20"/>
          <w:szCs w:val="20"/>
          <w:lang w:eastAsia="fr-CH"/>
        </w:rPr>
        <w:t>Abstract:</w:t>
      </w:r>
    </w:p>
    <w:p w14:paraId="0996E7C8" w14:textId="47BDE564" w:rsidR="00D80F24" w:rsidRDefault="00D80F24" w:rsidP="00A31B4C">
      <w:pPr>
        <w:jc w:val="both"/>
        <w:rPr>
          <w:color w:val="000000" w:themeColor="text1"/>
          <w:sz w:val="20"/>
          <w:szCs w:val="20"/>
        </w:rPr>
      </w:pPr>
      <w:r w:rsidRPr="00D80F24">
        <w:rPr>
          <w:color w:val="000000" w:themeColor="text1"/>
          <w:sz w:val="20"/>
          <w:szCs w:val="20"/>
        </w:rPr>
        <w:t>Across India, over 60% of agriculture relies on groundwater. Groundwater is often over-exploited, and groundwater depletion threatens many livelihoods. Existing interventions have been insufficient, and often fail to engage farmers at the lowest level. MyWell sets out to build a participatory, bottom-up approach to groundwater management. MyWell is an application for data-driven insights of groundwater at the village level. MyWell crowdsources groundwater indicators from a group of connected farmers using SMS or a smartphone application. In this paper, we show how MyWell has the potential to impact the lives of farmers by (1) empowering them to participate in science, and finding solutions to groundwater scarcity, and (2) assist them in building communities which work together to conserve groundwater. Then, we assess MyWell's application across two watersheds in rural India. We show how farmers are using MyWell to gain visibility into the groundwater situation, and examine the limitations of MyWell's approach.</w:t>
      </w:r>
    </w:p>
    <w:p w14:paraId="16B3B573" w14:textId="77777777" w:rsidR="00D80F24" w:rsidRPr="00A31B4C" w:rsidRDefault="00D80F24" w:rsidP="00A31B4C">
      <w:pPr>
        <w:jc w:val="both"/>
        <w:rPr>
          <w:b/>
          <w:color w:val="4472C4" w:themeColor="accent5"/>
          <w:sz w:val="20"/>
          <w:szCs w:val="20"/>
        </w:rPr>
      </w:pPr>
    </w:p>
    <w:p w14:paraId="0B348EF9" w14:textId="77777777" w:rsidR="00A31B4C" w:rsidRPr="00A31B4C" w:rsidRDefault="00A31B4C" w:rsidP="00A31B4C">
      <w:pPr>
        <w:jc w:val="both"/>
        <w:rPr>
          <w:rFonts w:eastAsia="Times New Roman"/>
          <w:b/>
          <w:bCs/>
          <w:color w:val="4472C4" w:themeColor="accent5"/>
          <w:sz w:val="20"/>
          <w:szCs w:val="20"/>
          <w:lang w:eastAsia="fr-CH"/>
        </w:rPr>
      </w:pPr>
    </w:p>
    <w:p w14:paraId="438DEB87" w14:textId="77777777" w:rsidR="008443BC" w:rsidRDefault="00A31B4C" w:rsidP="00A31B4C">
      <w:pPr>
        <w:jc w:val="both"/>
        <w:rPr>
          <w:rFonts w:eastAsia="Times New Roman"/>
          <w:b/>
          <w:bCs/>
          <w:color w:val="000000" w:themeColor="text1"/>
          <w:sz w:val="20"/>
          <w:szCs w:val="20"/>
          <w:lang w:eastAsia="fr-CH"/>
        </w:rPr>
      </w:pPr>
      <w:r w:rsidRPr="00A31B4C">
        <w:rPr>
          <w:rFonts w:eastAsia="Times New Roman"/>
          <w:b/>
          <w:bCs/>
          <w:color w:val="000000" w:themeColor="text1"/>
          <w:sz w:val="20"/>
          <w:szCs w:val="20"/>
          <w:lang w:eastAsia="fr-CH"/>
        </w:rPr>
        <w:t xml:space="preserve">Keywords: </w:t>
      </w:r>
    </w:p>
    <w:p w14:paraId="7A5D8F11" w14:textId="36916516" w:rsidR="00A31B4C" w:rsidRPr="008443BC" w:rsidRDefault="00D82567" w:rsidP="00A31B4C">
      <w:pPr>
        <w:jc w:val="both"/>
        <w:rPr>
          <w:rFonts w:eastAsia="Times New Roman"/>
          <w:bCs/>
          <w:color w:val="000000" w:themeColor="text1"/>
          <w:sz w:val="20"/>
          <w:szCs w:val="20"/>
          <w:lang w:eastAsia="fr-CH"/>
        </w:rPr>
      </w:pPr>
      <w:r w:rsidRPr="008443BC">
        <w:rPr>
          <w:color w:val="000000" w:themeColor="text1"/>
          <w:sz w:val="20"/>
          <w:szCs w:val="20"/>
        </w:rPr>
        <w:t>Data Collection, Crowdsourcing, Groundwater</w:t>
      </w:r>
    </w:p>
    <w:p w14:paraId="72466A3F" w14:textId="77777777" w:rsidR="00A31B4C" w:rsidRPr="00A31B4C" w:rsidRDefault="00A31B4C" w:rsidP="00A31B4C">
      <w:pPr>
        <w:jc w:val="both"/>
        <w:rPr>
          <w:rFonts w:eastAsia="Times New Roman"/>
          <w:b/>
          <w:bCs/>
          <w:color w:val="4472C4" w:themeColor="accent5"/>
          <w:sz w:val="20"/>
          <w:szCs w:val="20"/>
          <w:lang w:eastAsia="fr-CH"/>
        </w:rPr>
      </w:pPr>
    </w:p>
    <w:p w14:paraId="1266E275" w14:textId="77777777" w:rsidR="00A31B4C" w:rsidRPr="00A31B4C" w:rsidRDefault="00A31B4C" w:rsidP="00A31B4C">
      <w:pPr>
        <w:jc w:val="both"/>
        <w:rPr>
          <w:rFonts w:eastAsia="Times New Roman"/>
          <w:b/>
          <w:bCs/>
          <w:color w:val="4472C4" w:themeColor="accent5"/>
          <w:sz w:val="20"/>
          <w:szCs w:val="20"/>
          <w:lang w:eastAsia="fr-CH"/>
        </w:rPr>
      </w:pPr>
    </w:p>
    <w:p w14:paraId="100A67D1" w14:textId="77777777" w:rsidR="00A31B4C" w:rsidRPr="00A31B4C" w:rsidRDefault="00A31B4C" w:rsidP="00A31B4C">
      <w:pPr>
        <w:jc w:val="both"/>
        <w:rPr>
          <w:rFonts w:eastAsia="Times New Roman"/>
          <w:b/>
          <w:bCs/>
          <w:color w:val="000000" w:themeColor="text1"/>
          <w:sz w:val="20"/>
          <w:szCs w:val="20"/>
          <w:lang w:eastAsia="fr-CH"/>
        </w:rPr>
      </w:pPr>
      <w:r w:rsidRPr="00A31B4C">
        <w:rPr>
          <w:rFonts w:eastAsia="Times New Roman"/>
          <w:b/>
          <w:bCs/>
          <w:color w:val="000000" w:themeColor="text1"/>
          <w:sz w:val="20"/>
          <w:szCs w:val="20"/>
          <w:lang w:eastAsia="fr-CH"/>
        </w:rPr>
        <w:t xml:space="preserve">Extended Abstract </w:t>
      </w:r>
    </w:p>
    <w:p w14:paraId="7A3D7113" w14:textId="77777777" w:rsidR="00A31B4C" w:rsidRPr="00A31B4C" w:rsidRDefault="00A31B4C" w:rsidP="00A31B4C">
      <w:pPr>
        <w:jc w:val="both"/>
        <w:rPr>
          <w:rFonts w:eastAsia="Times New Roman"/>
          <w:b/>
          <w:bCs/>
          <w:color w:val="4472C4" w:themeColor="accent5"/>
          <w:sz w:val="20"/>
          <w:szCs w:val="20"/>
          <w:lang w:eastAsia="fr-CH"/>
        </w:rPr>
      </w:pPr>
    </w:p>
    <w:p w14:paraId="26EAEAA4" w14:textId="77777777" w:rsidR="008443BC" w:rsidRPr="008443BC" w:rsidRDefault="008443BC" w:rsidP="008443BC">
      <w:pPr>
        <w:pStyle w:val="ListParagraph"/>
        <w:ind w:left="0"/>
        <w:rPr>
          <w:rFonts w:ascii="Times New Roman" w:hAnsi="Times New Roman" w:cs="Times New Roman"/>
          <w:b/>
          <w:color w:val="000000" w:themeColor="text1"/>
          <w:sz w:val="20"/>
          <w:szCs w:val="20"/>
        </w:rPr>
      </w:pPr>
      <w:r w:rsidRPr="008443BC">
        <w:rPr>
          <w:rFonts w:ascii="Times New Roman" w:hAnsi="Times New Roman" w:cs="Times New Roman"/>
          <w:b/>
          <w:color w:val="000000" w:themeColor="text1"/>
          <w:sz w:val="20"/>
          <w:szCs w:val="20"/>
        </w:rPr>
        <w:t>Background</w:t>
      </w:r>
    </w:p>
    <w:p w14:paraId="1D3864EE"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1784BFA7" w14:textId="4EE1EABF" w:rsidR="008443BC" w:rsidRPr="008443BC" w:rsidRDefault="008443BC" w:rsidP="008443BC">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India uses the largest amount of groundwater in the world, estimated at 230 cubic kilometers per year, more than 25% of the global total (World Bank, 2010). A cheap and accessible resource, groundwater is often over exploited for food production, with rainfall insufficient to recharge the g</w:t>
      </w:r>
      <w:r w:rsidR="001F004F">
        <w:rPr>
          <w:rFonts w:ascii="Times New Roman" w:hAnsi="Times New Roman" w:cs="Times New Roman"/>
          <w:color w:val="000000" w:themeColor="text1"/>
          <w:sz w:val="20"/>
          <w:szCs w:val="20"/>
        </w:rPr>
        <w:t>roundwater levels (Rathore, 2004</w:t>
      </w:r>
      <w:r w:rsidRPr="008443BC">
        <w:rPr>
          <w:rFonts w:ascii="Times New Roman" w:hAnsi="Times New Roman" w:cs="Times New Roman"/>
          <w:color w:val="000000" w:themeColor="text1"/>
          <w:sz w:val="20"/>
          <w:szCs w:val="20"/>
        </w:rPr>
        <w:t>).</w:t>
      </w:r>
    </w:p>
    <w:p w14:paraId="5AB91E31"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0AC8244E" w14:textId="7E2F40D4" w:rsidR="008443BC" w:rsidRPr="008443BC" w:rsidRDefault="008443BC" w:rsidP="008443BC">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Groundwater is fundamental to the livelihoods of many farmers across India. In rural India, over 60 percent of agriculture is dependent on groundwater irrigation (World Bank, 2010). Groundwater allows farmers to grow crops in the dry season and manage deficiencies in monsoonal rainfall, contributing to improved livelihoods and poverty alleviation (</w:t>
      </w:r>
      <w:r w:rsidR="00606566" w:rsidRPr="001F004F">
        <w:rPr>
          <w:rFonts w:ascii="Times New Roman" w:eastAsia="Times New Roman" w:hAnsi="Times New Roman" w:cs="Times New Roman"/>
          <w:bCs/>
          <w:color w:val="000000" w:themeColor="text1"/>
          <w:sz w:val="20"/>
          <w:szCs w:val="20"/>
          <w:lang w:eastAsia="fr-CH"/>
        </w:rPr>
        <w:t>Maheshwari</w:t>
      </w:r>
      <w:r w:rsidR="00606566">
        <w:rPr>
          <w:rFonts w:ascii="Times New Roman" w:eastAsia="Times New Roman" w:hAnsi="Times New Roman" w:cs="Times New Roman"/>
          <w:bCs/>
          <w:color w:val="000000" w:themeColor="text1"/>
          <w:sz w:val="20"/>
          <w:szCs w:val="20"/>
          <w:lang w:eastAsia="fr-CH"/>
        </w:rPr>
        <w:t xml:space="preserve"> and </w:t>
      </w:r>
      <w:r w:rsidR="00606566" w:rsidRPr="001F004F">
        <w:rPr>
          <w:rFonts w:ascii="Times New Roman" w:eastAsia="Times New Roman" w:hAnsi="Times New Roman" w:cs="Times New Roman"/>
          <w:bCs/>
          <w:color w:val="000000" w:themeColor="text1"/>
          <w:sz w:val="20"/>
          <w:szCs w:val="20"/>
          <w:lang w:eastAsia="fr-CH"/>
        </w:rPr>
        <w:t>Prathapar</w:t>
      </w:r>
      <w:r w:rsidR="00606566">
        <w:rPr>
          <w:rFonts w:ascii="Times New Roman" w:hAnsi="Times New Roman" w:cs="Times New Roman"/>
          <w:color w:val="000000" w:themeColor="text1"/>
          <w:sz w:val="20"/>
          <w:szCs w:val="20"/>
        </w:rPr>
        <w:t xml:space="preserve">, </w:t>
      </w:r>
      <w:r w:rsidRPr="008443BC">
        <w:rPr>
          <w:rFonts w:ascii="Times New Roman" w:hAnsi="Times New Roman" w:cs="Times New Roman"/>
          <w:color w:val="000000" w:themeColor="text1"/>
          <w:sz w:val="20"/>
          <w:szCs w:val="20"/>
        </w:rPr>
        <w:t>2014).</w:t>
      </w:r>
    </w:p>
    <w:p w14:paraId="3B258A65"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2A3B182A" w14:textId="77777777" w:rsidR="008443BC" w:rsidRPr="008443BC" w:rsidRDefault="008443BC" w:rsidP="008443BC">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To ensure the future livelihoods of these farmers, intervention is required. Many existing intervention approaches are top-down; policy makers and researchers with a clear view of watershed-level issues instruct farmers to use less water. With these approaches, farmers are often left out of the conversation, and aren't able to engage in groundwater management. MyWell, within the scope of a larger project MARVI - Managed Aquifer Recharge for Village level Intervention - set out to build participatory approaches for groundwater management from the bottom, the farmers and villages themselves.</w:t>
      </w:r>
    </w:p>
    <w:p w14:paraId="381AC412"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75E0C4F2"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4AF07305" w14:textId="77777777" w:rsidR="008443BC" w:rsidRPr="008443BC" w:rsidRDefault="008443BC" w:rsidP="008443BC">
      <w:pPr>
        <w:pStyle w:val="ListParagraph"/>
        <w:ind w:left="0"/>
        <w:rPr>
          <w:rFonts w:ascii="Times New Roman" w:hAnsi="Times New Roman" w:cs="Times New Roman"/>
          <w:b/>
          <w:color w:val="000000" w:themeColor="text1"/>
          <w:sz w:val="20"/>
          <w:szCs w:val="20"/>
        </w:rPr>
      </w:pPr>
      <w:r w:rsidRPr="008443BC">
        <w:rPr>
          <w:rFonts w:ascii="Times New Roman" w:hAnsi="Times New Roman" w:cs="Times New Roman"/>
          <w:b/>
          <w:color w:val="000000" w:themeColor="text1"/>
          <w:sz w:val="20"/>
          <w:szCs w:val="20"/>
        </w:rPr>
        <w:t>MyWell</w:t>
      </w:r>
    </w:p>
    <w:p w14:paraId="05797171"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1F01C1BD" w14:textId="2C1FA217" w:rsidR="008443BC" w:rsidRDefault="008443BC" w:rsidP="008443BC">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MyWell is a smartphone and SMS application for crowdsourcing groundwater, rainfall, water quality and check</w:t>
      </w:r>
      <w:r w:rsidR="00276485">
        <w:rPr>
          <w:rFonts w:ascii="Times New Roman" w:hAnsi="Times New Roman" w:cs="Times New Roman"/>
          <w:color w:val="000000" w:themeColor="text1"/>
          <w:sz w:val="20"/>
          <w:szCs w:val="20"/>
        </w:rPr>
        <w:t xml:space="preserve"> </w:t>
      </w:r>
      <w:r w:rsidRPr="008443BC">
        <w:rPr>
          <w:rFonts w:ascii="Times New Roman" w:hAnsi="Times New Roman" w:cs="Times New Roman"/>
          <w:color w:val="000000" w:themeColor="text1"/>
          <w:sz w:val="20"/>
          <w:szCs w:val="20"/>
        </w:rPr>
        <w:t xml:space="preserve">dam water levels in rural India. Farmers armed with a smartphone or feature phone can participate in a network </w:t>
      </w:r>
      <w:r w:rsidRPr="008443BC">
        <w:rPr>
          <w:rFonts w:ascii="Times New Roman" w:hAnsi="Times New Roman" w:cs="Times New Roman"/>
          <w:color w:val="000000" w:themeColor="text1"/>
          <w:sz w:val="20"/>
          <w:szCs w:val="20"/>
        </w:rPr>
        <w:lastRenderedPageBreak/>
        <w:t>of connected farmers who collect information, and glean insights into the groundwater situation.</w:t>
      </w:r>
      <w:r>
        <w:rPr>
          <w:rFonts w:ascii="Times New Roman" w:hAnsi="Times New Roman" w:cs="Times New Roman"/>
          <w:color w:val="000000" w:themeColor="text1"/>
          <w:sz w:val="20"/>
          <w:szCs w:val="20"/>
        </w:rPr>
        <w:t xml:space="preserve"> Fig. 1 </w:t>
      </w:r>
      <w:r w:rsidR="007E5A0A">
        <w:rPr>
          <w:rFonts w:ascii="Times New Roman" w:hAnsi="Times New Roman" w:cs="Times New Roman"/>
          <w:color w:val="000000" w:themeColor="text1"/>
          <w:sz w:val="20"/>
          <w:szCs w:val="20"/>
        </w:rPr>
        <w:t>has a</w:t>
      </w:r>
      <w:r w:rsidR="00276485">
        <w:rPr>
          <w:rFonts w:ascii="Times New Roman" w:hAnsi="Times New Roman" w:cs="Times New Roman"/>
          <w:color w:val="000000" w:themeColor="text1"/>
          <w:sz w:val="20"/>
          <w:szCs w:val="20"/>
        </w:rPr>
        <w:t xml:space="preserve">n </w:t>
      </w:r>
      <w:r>
        <w:rPr>
          <w:rFonts w:ascii="Times New Roman" w:hAnsi="Times New Roman" w:cs="Times New Roman"/>
          <w:color w:val="000000" w:themeColor="text1"/>
          <w:sz w:val="20"/>
          <w:szCs w:val="20"/>
        </w:rPr>
        <w:t>example of MyWell running on a smartphone.</w:t>
      </w:r>
    </w:p>
    <w:p w14:paraId="03503551"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6D48416D" w14:textId="77777777" w:rsidR="008443BC" w:rsidRDefault="008443BC" w:rsidP="008443BC">
      <w:pPr>
        <w:pStyle w:val="ListParagraph"/>
        <w:keepNext/>
        <w:ind w:left="0"/>
        <w:jc w:val="center"/>
      </w:pPr>
      <w:r>
        <w:rPr>
          <w:rFonts w:ascii="Times New Roman" w:hAnsi="Times New Roman" w:cs="Times New Roman"/>
          <w:noProof/>
          <w:color w:val="000000" w:themeColor="text1"/>
          <w:sz w:val="20"/>
          <w:szCs w:val="20"/>
          <w:lang w:eastAsia="ko-KR"/>
        </w:rPr>
        <w:drawing>
          <wp:inline distT="0" distB="0" distL="0" distR="0" wp14:anchorId="66CB6356" wp14:editId="1DB8BD44">
            <wp:extent cx="5757545" cy="3259455"/>
            <wp:effectExtent l="0" t="0" r="8255" b="0"/>
            <wp:docPr id="1" name="Picture 1" descr="tech4dev_image-0-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4dev_image-0-overvi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545" cy="3259455"/>
                    </a:xfrm>
                    <a:prstGeom prst="rect">
                      <a:avLst/>
                    </a:prstGeom>
                    <a:noFill/>
                    <a:ln>
                      <a:noFill/>
                    </a:ln>
                  </pic:spPr>
                </pic:pic>
              </a:graphicData>
            </a:graphic>
          </wp:inline>
        </w:drawing>
      </w:r>
    </w:p>
    <w:p w14:paraId="324D8C4D" w14:textId="20D51635" w:rsidR="008443BC" w:rsidRPr="008443BC" w:rsidRDefault="008443BC" w:rsidP="008443BC">
      <w:pPr>
        <w:pStyle w:val="Caption"/>
        <w:jc w:val="center"/>
        <w:rPr>
          <w:rFonts w:asciiTheme="minorEastAsia" w:hAnsiTheme="minorEastAsia" w:cstheme="minorEastAsia"/>
          <w:i w:val="0"/>
          <w:color w:val="000000" w:themeColor="text1"/>
          <w:sz w:val="20"/>
          <w:szCs w:val="20"/>
        </w:rPr>
      </w:pPr>
      <w:r w:rsidRPr="008443BC">
        <w:rPr>
          <w:rFonts w:asciiTheme="minorEastAsia" w:hAnsiTheme="minorEastAsia" w:cstheme="minorEastAsia"/>
          <w:i w:val="0"/>
          <w:color w:val="000000" w:themeColor="text1"/>
        </w:rPr>
        <w:t>Fig.</w:t>
      </w:r>
      <w:r w:rsidRPr="008443BC">
        <w:rPr>
          <w:rFonts w:asciiTheme="minorEastAsia" w:hAnsiTheme="minorEastAsia" w:cstheme="minorEastAsia" w:hint="eastAsia"/>
          <w:i w:val="0"/>
          <w:color w:val="000000" w:themeColor="text1"/>
        </w:rPr>
        <w:t xml:space="preserve"> </w:t>
      </w:r>
      <w:r w:rsidRPr="008443BC">
        <w:rPr>
          <w:rFonts w:asciiTheme="minorEastAsia" w:hAnsiTheme="minorEastAsia" w:cstheme="minorEastAsia" w:hint="eastAsia"/>
          <w:i w:val="0"/>
          <w:color w:val="000000" w:themeColor="text1"/>
        </w:rPr>
        <w:fldChar w:fldCharType="begin"/>
      </w:r>
      <w:r w:rsidRPr="008443BC">
        <w:rPr>
          <w:rFonts w:asciiTheme="minorEastAsia" w:hAnsiTheme="minorEastAsia" w:cstheme="minorEastAsia" w:hint="eastAsia"/>
          <w:i w:val="0"/>
          <w:color w:val="000000" w:themeColor="text1"/>
        </w:rPr>
        <w:instrText xml:space="preserve"> SEQ Figure \* ARABIC </w:instrText>
      </w:r>
      <w:r w:rsidRPr="008443BC">
        <w:rPr>
          <w:rFonts w:asciiTheme="minorEastAsia" w:hAnsiTheme="minorEastAsia" w:cstheme="minorEastAsia" w:hint="eastAsia"/>
          <w:i w:val="0"/>
          <w:color w:val="000000" w:themeColor="text1"/>
        </w:rPr>
        <w:fldChar w:fldCharType="separate"/>
      </w:r>
      <w:r>
        <w:rPr>
          <w:rFonts w:asciiTheme="minorEastAsia" w:hAnsiTheme="minorEastAsia" w:cstheme="minorEastAsia"/>
          <w:i w:val="0"/>
          <w:noProof/>
          <w:color w:val="000000" w:themeColor="text1"/>
        </w:rPr>
        <w:t>1</w:t>
      </w:r>
      <w:r w:rsidRPr="008443BC">
        <w:rPr>
          <w:rFonts w:asciiTheme="minorEastAsia" w:hAnsiTheme="minorEastAsia" w:cstheme="minorEastAsia" w:hint="eastAsia"/>
          <w:i w:val="0"/>
          <w:color w:val="000000" w:themeColor="text1"/>
        </w:rPr>
        <w:fldChar w:fldCharType="end"/>
      </w:r>
      <w:r w:rsidRPr="008443BC">
        <w:rPr>
          <w:rFonts w:asciiTheme="minorEastAsia" w:hAnsiTheme="minorEastAsia" w:cstheme="minorEastAsia" w:hint="eastAsia"/>
          <w:i w:val="0"/>
          <w:color w:val="000000" w:themeColor="text1"/>
        </w:rPr>
        <w:t xml:space="preserve"> MyWell running on a</w:t>
      </w:r>
      <w:r>
        <w:rPr>
          <w:rFonts w:asciiTheme="minorEastAsia" w:hAnsiTheme="minorEastAsia" w:cstheme="minorEastAsia" w:hint="eastAsia"/>
          <w:i w:val="0"/>
          <w:color w:val="000000" w:themeColor="text1"/>
        </w:rPr>
        <w:t xml:space="preserve"> smartphone</w:t>
      </w:r>
    </w:p>
    <w:p w14:paraId="640C4282"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45605B94" w14:textId="77777777" w:rsidR="008443BC" w:rsidRPr="008443BC" w:rsidRDefault="008443BC" w:rsidP="008443BC">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Farmers record readings on Android or iOS devices using the MyWell app, or over SMS for those without smartphones or in poor coverage areas.</w:t>
      </w:r>
    </w:p>
    <w:p w14:paraId="1CA61B41"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2B7041F7" w14:textId="1C5F1323" w:rsidR="008443BC" w:rsidRPr="008443BC" w:rsidRDefault="008443BC" w:rsidP="008443BC">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 xml:space="preserve">MyWell </w:t>
      </w:r>
      <w:r w:rsidR="00276485">
        <w:rPr>
          <w:rFonts w:ascii="Times New Roman" w:hAnsi="Times New Roman" w:cs="Times New Roman"/>
          <w:color w:val="000000" w:themeColor="text1"/>
          <w:sz w:val="20"/>
          <w:szCs w:val="20"/>
        </w:rPr>
        <w:t>is</w:t>
      </w:r>
      <w:r w:rsidRPr="008443BC">
        <w:rPr>
          <w:rFonts w:ascii="Times New Roman" w:hAnsi="Times New Roman" w:cs="Times New Roman"/>
          <w:color w:val="000000" w:themeColor="text1"/>
          <w:sz w:val="20"/>
          <w:szCs w:val="20"/>
        </w:rPr>
        <w:t xml:space="preserve"> able to provide valuable data-driven insights into the groundwater situation. MyWell displays simple graphs; sn</w:t>
      </w:r>
      <w:r w:rsidR="00276485">
        <w:rPr>
          <w:rFonts w:ascii="Times New Roman" w:hAnsi="Times New Roman" w:cs="Times New Roman"/>
          <w:color w:val="000000" w:themeColor="text1"/>
          <w:sz w:val="20"/>
          <w:szCs w:val="20"/>
        </w:rPr>
        <w:t>apshots of the readings from a well, r</w:t>
      </w:r>
      <w:r w:rsidRPr="008443BC">
        <w:rPr>
          <w:rFonts w:ascii="Times New Roman" w:hAnsi="Times New Roman" w:cs="Times New Roman"/>
          <w:color w:val="000000" w:themeColor="text1"/>
          <w:sz w:val="20"/>
          <w:szCs w:val="20"/>
        </w:rPr>
        <w:t>ain</w:t>
      </w:r>
      <w:r w:rsidR="00276485">
        <w:rPr>
          <w:rFonts w:ascii="Times New Roman" w:hAnsi="Times New Roman" w:cs="Times New Roman"/>
          <w:color w:val="000000" w:themeColor="text1"/>
          <w:sz w:val="20"/>
          <w:szCs w:val="20"/>
        </w:rPr>
        <w:t xml:space="preserve"> gauge or c</w:t>
      </w:r>
      <w:r w:rsidRPr="008443BC">
        <w:rPr>
          <w:rFonts w:ascii="Times New Roman" w:hAnsi="Times New Roman" w:cs="Times New Roman"/>
          <w:color w:val="000000" w:themeColor="text1"/>
          <w:sz w:val="20"/>
          <w:szCs w:val="20"/>
        </w:rPr>
        <w:t>heck</w:t>
      </w:r>
      <w:r w:rsidR="00276485">
        <w:rPr>
          <w:rFonts w:ascii="Times New Roman" w:hAnsi="Times New Roman" w:cs="Times New Roman"/>
          <w:color w:val="000000" w:themeColor="text1"/>
          <w:sz w:val="20"/>
          <w:szCs w:val="20"/>
        </w:rPr>
        <w:t xml:space="preserve"> </w:t>
      </w:r>
      <w:r w:rsidRPr="008443BC">
        <w:rPr>
          <w:rFonts w:ascii="Times New Roman" w:hAnsi="Times New Roman" w:cs="Times New Roman"/>
          <w:color w:val="000000" w:themeColor="text1"/>
          <w:sz w:val="20"/>
          <w:szCs w:val="20"/>
        </w:rPr>
        <w:t>dam over the last 3 years.  MyWell also calculates village level statistics. These tools allow farmers to compare and benchmark their</w:t>
      </w:r>
      <w:r w:rsidR="00260C4F">
        <w:rPr>
          <w:rFonts w:ascii="Times New Roman" w:hAnsi="Times New Roman" w:cs="Times New Roman"/>
          <w:color w:val="000000" w:themeColor="text1"/>
          <w:sz w:val="20"/>
          <w:szCs w:val="20"/>
        </w:rPr>
        <w:t xml:space="preserve"> own well and groundwater usage against each other, and against previous years.</w:t>
      </w:r>
    </w:p>
    <w:p w14:paraId="0C9F60CC"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59513133" w14:textId="2D350BFC" w:rsidR="008443BC" w:rsidRPr="008443BC" w:rsidRDefault="008443BC" w:rsidP="008443BC">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MyWell also has a host of tools for farmers to manage the MyWell syst</w:t>
      </w:r>
      <w:r w:rsidR="00260C4F">
        <w:rPr>
          <w:rFonts w:ascii="Times New Roman" w:hAnsi="Times New Roman" w:cs="Times New Roman"/>
          <w:color w:val="000000" w:themeColor="text1"/>
          <w:sz w:val="20"/>
          <w:szCs w:val="20"/>
        </w:rPr>
        <w:t>em. Farmers can register a new w</w:t>
      </w:r>
      <w:r w:rsidRPr="008443BC">
        <w:rPr>
          <w:rFonts w:ascii="Times New Roman" w:hAnsi="Times New Roman" w:cs="Times New Roman"/>
          <w:color w:val="000000" w:themeColor="text1"/>
          <w:sz w:val="20"/>
          <w:szCs w:val="20"/>
        </w:rPr>
        <w:t xml:space="preserve">ell, </w:t>
      </w:r>
      <w:r w:rsidR="00260C4F">
        <w:rPr>
          <w:rFonts w:ascii="Times New Roman" w:hAnsi="Times New Roman" w:cs="Times New Roman"/>
          <w:color w:val="000000" w:themeColor="text1"/>
          <w:sz w:val="20"/>
          <w:szCs w:val="20"/>
        </w:rPr>
        <w:t>rain gauge or c</w:t>
      </w:r>
      <w:r w:rsidRPr="008443BC">
        <w:rPr>
          <w:rFonts w:ascii="Times New Roman" w:hAnsi="Times New Roman" w:cs="Times New Roman"/>
          <w:color w:val="000000" w:themeColor="text1"/>
          <w:sz w:val="20"/>
          <w:szCs w:val="20"/>
        </w:rPr>
        <w:t>heck</w:t>
      </w:r>
      <w:r w:rsidR="00260C4F">
        <w:rPr>
          <w:rFonts w:ascii="Times New Roman" w:hAnsi="Times New Roman" w:cs="Times New Roman"/>
          <w:color w:val="000000" w:themeColor="text1"/>
          <w:sz w:val="20"/>
          <w:szCs w:val="20"/>
        </w:rPr>
        <w:t xml:space="preserve"> dam, </w:t>
      </w:r>
      <w:r w:rsidRPr="008443BC">
        <w:rPr>
          <w:rFonts w:ascii="Times New Roman" w:hAnsi="Times New Roman" w:cs="Times New Roman"/>
          <w:color w:val="000000" w:themeColor="text1"/>
          <w:sz w:val="20"/>
          <w:szCs w:val="20"/>
        </w:rPr>
        <w:t>using their device's inbuilt GPS to pinpoint the location. Each well also has a unique Banner Image - usually of the well and well's owner -  allowing for greater personalization and buy-in</w:t>
      </w:r>
      <w:r w:rsidR="00260C4F">
        <w:rPr>
          <w:rFonts w:ascii="Times New Roman" w:hAnsi="Times New Roman" w:cs="Times New Roman"/>
          <w:color w:val="000000" w:themeColor="text1"/>
          <w:sz w:val="20"/>
          <w:szCs w:val="20"/>
        </w:rPr>
        <w:t>.</w:t>
      </w:r>
    </w:p>
    <w:p w14:paraId="1AD9491F"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1CD6EAB4" w14:textId="77777777" w:rsidR="008443BC" w:rsidRPr="008443BC" w:rsidRDefault="008443BC" w:rsidP="008443BC">
      <w:pPr>
        <w:pStyle w:val="ListParagraph"/>
        <w:ind w:left="0"/>
        <w:rPr>
          <w:rFonts w:ascii="Times New Roman" w:hAnsi="Times New Roman" w:cs="Times New Roman"/>
          <w:b/>
          <w:color w:val="000000" w:themeColor="text1"/>
          <w:sz w:val="20"/>
          <w:szCs w:val="20"/>
        </w:rPr>
      </w:pPr>
      <w:r w:rsidRPr="008443BC">
        <w:rPr>
          <w:rFonts w:ascii="Times New Roman" w:hAnsi="Times New Roman" w:cs="Times New Roman"/>
          <w:b/>
          <w:color w:val="000000" w:themeColor="text1"/>
          <w:sz w:val="20"/>
          <w:szCs w:val="20"/>
        </w:rPr>
        <w:t>Impact</w:t>
      </w:r>
    </w:p>
    <w:p w14:paraId="7BF6B6F5"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67CDAB93" w14:textId="5A0251AA" w:rsidR="008443BC" w:rsidRPr="008443BC" w:rsidRDefault="008443BC" w:rsidP="008443BC">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MyWell has the potential to impact the livelihoods of farmers across a variety of areas.</w:t>
      </w:r>
      <w:r w:rsidR="00260C4F">
        <w:rPr>
          <w:rFonts w:ascii="Times New Roman" w:hAnsi="Times New Roman" w:cs="Times New Roman"/>
          <w:color w:val="000000" w:themeColor="text1"/>
          <w:sz w:val="20"/>
          <w:szCs w:val="20"/>
        </w:rPr>
        <w:t xml:space="preserve"> </w:t>
      </w:r>
      <w:r w:rsidR="00382A29">
        <w:rPr>
          <w:rFonts w:ascii="Times New Roman" w:hAnsi="Times New Roman" w:cs="Times New Roman"/>
          <w:color w:val="000000" w:themeColor="text1"/>
          <w:sz w:val="20"/>
          <w:szCs w:val="20"/>
        </w:rPr>
        <w:t>We see the greatest potential for</w:t>
      </w:r>
      <w:r w:rsidRPr="008443BC">
        <w:rPr>
          <w:rFonts w:ascii="Times New Roman" w:hAnsi="Times New Roman" w:cs="Times New Roman"/>
          <w:color w:val="000000" w:themeColor="text1"/>
          <w:sz w:val="20"/>
          <w:szCs w:val="20"/>
        </w:rPr>
        <w:t xml:space="preserve"> MyWell </w:t>
      </w:r>
      <w:r w:rsidR="00260C4F">
        <w:rPr>
          <w:rFonts w:ascii="Times New Roman" w:hAnsi="Times New Roman" w:cs="Times New Roman"/>
          <w:color w:val="000000" w:themeColor="text1"/>
          <w:sz w:val="20"/>
          <w:szCs w:val="20"/>
        </w:rPr>
        <w:t xml:space="preserve">to empower </w:t>
      </w:r>
      <w:r w:rsidRPr="008443BC">
        <w:rPr>
          <w:rFonts w:ascii="Times New Roman" w:hAnsi="Times New Roman" w:cs="Times New Roman"/>
          <w:color w:val="000000" w:themeColor="text1"/>
          <w:sz w:val="20"/>
          <w:szCs w:val="20"/>
        </w:rPr>
        <w:t xml:space="preserve">smallholder farmers to be actively involved in science through data collection, and </w:t>
      </w:r>
      <w:r w:rsidR="00382A29">
        <w:rPr>
          <w:rFonts w:ascii="Times New Roman" w:hAnsi="Times New Roman" w:cs="Times New Roman"/>
          <w:color w:val="000000" w:themeColor="text1"/>
          <w:sz w:val="20"/>
          <w:szCs w:val="20"/>
        </w:rPr>
        <w:t xml:space="preserve">take part in </w:t>
      </w:r>
      <w:bookmarkStart w:id="0" w:name="_GoBack"/>
      <w:bookmarkEnd w:id="0"/>
      <w:r w:rsidRPr="008443BC">
        <w:rPr>
          <w:rFonts w:ascii="Times New Roman" w:hAnsi="Times New Roman" w:cs="Times New Roman"/>
          <w:color w:val="000000" w:themeColor="text1"/>
          <w:sz w:val="20"/>
          <w:szCs w:val="20"/>
        </w:rPr>
        <w:t>the solution to groundwater scarcity.</w:t>
      </w:r>
    </w:p>
    <w:p w14:paraId="583C1392"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13C7BAD5" w14:textId="3DF55DFB" w:rsidR="008443BC" w:rsidRPr="008443BC" w:rsidRDefault="008443BC" w:rsidP="008443BC">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MyWell also allows communities of farmers to make data-driven decisions about using groundwater. In the short term, these communities will allow for more efficient allocation of water</w:t>
      </w:r>
      <w:r w:rsidR="00260C4F">
        <w:rPr>
          <w:rFonts w:ascii="Times New Roman" w:hAnsi="Times New Roman" w:cs="Times New Roman"/>
          <w:color w:val="000000" w:themeColor="text1"/>
          <w:sz w:val="20"/>
          <w:szCs w:val="20"/>
        </w:rPr>
        <w:t>, helping to prevent crop failure</w:t>
      </w:r>
      <w:r w:rsidRPr="008443BC">
        <w:rPr>
          <w:rFonts w:ascii="Times New Roman" w:hAnsi="Times New Roman" w:cs="Times New Roman"/>
          <w:color w:val="000000" w:themeColor="text1"/>
          <w:sz w:val="20"/>
          <w:szCs w:val="20"/>
        </w:rPr>
        <w:t>. Long term, MyWell provides a platform for taking steps towards ensuring the future of water security.</w:t>
      </w:r>
    </w:p>
    <w:p w14:paraId="70573B58"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5D8C8120" w14:textId="77777777" w:rsidR="008443BC" w:rsidRPr="008443BC" w:rsidRDefault="008443BC" w:rsidP="008443BC">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MyWell is a tool for helping build communities around the need to share groundwater. While not a solution in and of itself, we see MyWell as an instrument that can be used to facilitate conversations about groundwater.</w:t>
      </w:r>
    </w:p>
    <w:p w14:paraId="724280AA"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7C4EE401"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798DEA14" w14:textId="77777777" w:rsidR="008443BC" w:rsidRPr="008443BC" w:rsidRDefault="008443BC" w:rsidP="008443BC">
      <w:pPr>
        <w:pStyle w:val="ListParagraph"/>
        <w:ind w:left="0"/>
        <w:rPr>
          <w:rFonts w:ascii="Times New Roman" w:hAnsi="Times New Roman" w:cs="Times New Roman"/>
          <w:b/>
          <w:color w:val="000000" w:themeColor="text1"/>
          <w:sz w:val="20"/>
          <w:szCs w:val="20"/>
        </w:rPr>
      </w:pPr>
      <w:r w:rsidRPr="008443BC">
        <w:rPr>
          <w:rFonts w:ascii="Times New Roman" w:hAnsi="Times New Roman" w:cs="Times New Roman"/>
          <w:b/>
          <w:color w:val="000000" w:themeColor="text1"/>
          <w:sz w:val="20"/>
          <w:szCs w:val="20"/>
        </w:rPr>
        <w:t>Results</w:t>
      </w:r>
    </w:p>
    <w:p w14:paraId="5459FAE0"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1AFA35B9" w14:textId="57DDFFA0" w:rsidR="008443BC" w:rsidRPr="008443BC" w:rsidRDefault="00A31D8B" w:rsidP="008443BC">
      <w:pPr>
        <w:pStyle w:val="ListParagraph"/>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We evaluate </w:t>
      </w:r>
      <w:r w:rsidR="008443BC" w:rsidRPr="008443BC">
        <w:rPr>
          <w:rFonts w:ascii="Times New Roman" w:hAnsi="Times New Roman" w:cs="Times New Roman"/>
          <w:color w:val="000000" w:themeColor="text1"/>
          <w:sz w:val="20"/>
          <w:szCs w:val="20"/>
        </w:rPr>
        <w:t>MyWell's implementation in the Meghraj and Dharta watersheds in two Indian states, Guj</w:t>
      </w:r>
      <w:r w:rsidR="00260C4F">
        <w:rPr>
          <w:rFonts w:ascii="Times New Roman" w:hAnsi="Times New Roman" w:cs="Times New Roman"/>
          <w:color w:val="000000" w:themeColor="text1"/>
          <w:sz w:val="20"/>
          <w:szCs w:val="20"/>
        </w:rPr>
        <w:t>arat and Rajasthan</w:t>
      </w:r>
      <w:r>
        <w:rPr>
          <w:rFonts w:ascii="Times New Roman" w:hAnsi="Times New Roman" w:cs="Times New Roman"/>
          <w:color w:val="000000" w:themeColor="text1"/>
          <w:sz w:val="20"/>
          <w:szCs w:val="20"/>
        </w:rPr>
        <w:t>, as shown in Fig. 2.</w:t>
      </w:r>
    </w:p>
    <w:p w14:paraId="0BEBC597"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00F1EDA1" w14:textId="77777777" w:rsidR="008443BC" w:rsidRDefault="008443BC" w:rsidP="008443BC">
      <w:pPr>
        <w:pStyle w:val="ListParagraph"/>
        <w:keepNext/>
        <w:ind w:left="0"/>
        <w:jc w:val="center"/>
      </w:pPr>
      <w:r>
        <w:rPr>
          <w:rFonts w:ascii="Times New Roman" w:hAnsi="Times New Roman" w:cs="Times New Roman"/>
          <w:noProof/>
          <w:color w:val="000000" w:themeColor="text1"/>
          <w:sz w:val="20"/>
          <w:szCs w:val="20"/>
          <w:lang w:eastAsia="ko-KR"/>
        </w:rPr>
        <w:drawing>
          <wp:inline distT="0" distB="0" distL="0" distR="0" wp14:anchorId="1C6635FB" wp14:editId="1831A73E">
            <wp:extent cx="2916601" cy="3774690"/>
            <wp:effectExtent l="0" t="0" r="4445" b="10160"/>
            <wp:docPr id="2" name="Picture 2" descr="tech4dev_study_ar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4dev_study_area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7225" cy="3788440"/>
                    </a:xfrm>
                    <a:prstGeom prst="rect">
                      <a:avLst/>
                    </a:prstGeom>
                    <a:noFill/>
                    <a:ln>
                      <a:noFill/>
                    </a:ln>
                  </pic:spPr>
                </pic:pic>
              </a:graphicData>
            </a:graphic>
          </wp:inline>
        </w:drawing>
      </w:r>
    </w:p>
    <w:p w14:paraId="6F07DAFD" w14:textId="590FA167" w:rsidR="008443BC" w:rsidRPr="008443BC" w:rsidRDefault="008443BC" w:rsidP="008443BC">
      <w:pPr>
        <w:pStyle w:val="Caption"/>
        <w:jc w:val="center"/>
        <w:rPr>
          <w:rFonts w:asciiTheme="minorEastAsia" w:hAnsiTheme="minorEastAsia" w:cstheme="minorEastAsia"/>
          <w:i w:val="0"/>
          <w:color w:val="000000" w:themeColor="text1"/>
          <w:sz w:val="20"/>
          <w:szCs w:val="20"/>
        </w:rPr>
      </w:pPr>
      <w:r w:rsidRPr="008443BC">
        <w:rPr>
          <w:rFonts w:asciiTheme="minorEastAsia" w:hAnsiTheme="minorEastAsia" w:cstheme="minorEastAsia" w:hint="eastAsia"/>
          <w:i w:val="0"/>
          <w:color w:val="000000" w:themeColor="text1"/>
        </w:rPr>
        <w:t xml:space="preserve">Fig. </w:t>
      </w:r>
      <w:r w:rsidRPr="008443BC">
        <w:rPr>
          <w:rFonts w:asciiTheme="minorEastAsia" w:hAnsiTheme="minorEastAsia" w:cstheme="minorEastAsia" w:hint="eastAsia"/>
          <w:i w:val="0"/>
          <w:color w:val="000000" w:themeColor="text1"/>
        </w:rPr>
        <w:fldChar w:fldCharType="begin"/>
      </w:r>
      <w:r w:rsidRPr="008443BC">
        <w:rPr>
          <w:rFonts w:asciiTheme="minorEastAsia" w:hAnsiTheme="minorEastAsia" w:cstheme="minorEastAsia" w:hint="eastAsia"/>
          <w:i w:val="0"/>
          <w:color w:val="000000" w:themeColor="text1"/>
        </w:rPr>
        <w:instrText xml:space="preserve"> SEQ Figure \* ARABIC </w:instrText>
      </w:r>
      <w:r w:rsidRPr="008443BC">
        <w:rPr>
          <w:rFonts w:asciiTheme="minorEastAsia" w:hAnsiTheme="minorEastAsia" w:cstheme="minorEastAsia" w:hint="eastAsia"/>
          <w:i w:val="0"/>
          <w:color w:val="000000" w:themeColor="text1"/>
        </w:rPr>
        <w:fldChar w:fldCharType="separate"/>
      </w:r>
      <w:r w:rsidRPr="008443BC">
        <w:rPr>
          <w:rFonts w:asciiTheme="minorEastAsia" w:hAnsiTheme="minorEastAsia" w:cstheme="minorEastAsia" w:hint="eastAsia"/>
          <w:i w:val="0"/>
          <w:noProof/>
          <w:color w:val="000000" w:themeColor="text1"/>
        </w:rPr>
        <w:t>2</w:t>
      </w:r>
      <w:r w:rsidRPr="008443BC">
        <w:rPr>
          <w:rFonts w:asciiTheme="minorEastAsia" w:hAnsiTheme="minorEastAsia" w:cstheme="minorEastAsia" w:hint="eastAsia"/>
          <w:i w:val="0"/>
          <w:color w:val="000000" w:themeColor="text1"/>
        </w:rPr>
        <w:fldChar w:fldCharType="end"/>
      </w:r>
      <w:r w:rsidRPr="008443BC">
        <w:rPr>
          <w:rFonts w:asciiTheme="minorEastAsia" w:hAnsiTheme="minorEastAsia" w:cstheme="minorEastAsia" w:hint="eastAsia"/>
          <w:i w:val="0"/>
          <w:color w:val="000000" w:themeColor="text1"/>
        </w:rPr>
        <w:t xml:space="preserve"> MyWell study ar</w:t>
      </w:r>
      <w:r>
        <w:rPr>
          <w:rFonts w:asciiTheme="minorEastAsia" w:hAnsiTheme="minorEastAsia" w:cstheme="minorEastAsia" w:hint="eastAsia"/>
          <w:i w:val="0"/>
          <w:color w:val="000000" w:themeColor="text1"/>
        </w:rPr>
        <w:t xml:space="preserve">eas </w:t>
      </w:r>
      <w:r w:rsidRPr="008443BC">
        <w:rPr>
          <w:rFonts w:asciiTheme="minorEastAsia" w:hAnsiTheme="minorEastAsia" w:cstheme="minorEastAsia" w:hint="eastAsia"/>
          <w:i w:val="0"/>
          <w:color w:val="000000" w:themeColor="text1"/>
        </w:rPr>
        <w:t>in West India</w:t>
      </w:r>
      <w:r>
        <w:rPr>
          <w:rFonts w:asciiTheme="minorEastAsia" w:hAnsiTheme="minorEastAsia" w:cstheme="minorEastAsia"/>
          <w:i w:val="0"/>
          <w:color w:val="000000" w:themeColor="text1"/>
        </w:rPr>
        <w:t>.</w:t>
      </w:r>
    </w:p>
    <w:p w14:paraId="1B691166"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28CD48B4"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61BB9F9B" w14:textId="25D9FF46" w:rsidR="008443BC" w:rsidRPr="008443BC" w:rsidRDefault="008443BC" w:rsidP="008443BC">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We show that MyWell can be used from</w:t>
      </w:r>
      <w:r w:rsidR="00A31D8B">
        <w:rPr>
          <w:rFonts w:ascii="Times New Roman" w:hAnsi="Times New Roman" w:cs="Times New Roman"/>
          <w:color w:val="000000" w:themeColor="text1"/>
          <w:sz w:val="20"/>
          <w:szCs w:val="20"/>
        </w:rPr>
        <w:t xml:space="preserve"> both</w:t>
      </w:r>
      <w:r w:rsidRPr="008443BC">
        <w:rPr>
          <w:rFonts w:ascii="Times New Roman" w:hAnsi="Times New Roman" w:cs="Times New Roman"/>
          <w:color w:val="000000" w:themeColor="text1"/>
          <w:sz w:val="20"/>
          <w:szCs w:val="20"/>
        </w:rPr>
        <w:t xml:space="preserve"> feature and smartphones, and allow farmers to crowdsource well, rainfall and check</w:t>
      </w:r>
      <w:r w:rsidR="00260C4F">
        <w:rPr>
          <w:rFonts w:ascii="Times New Roman" w:hAnsi="Times New Roman" w:cs="Times New Roman"/>
          <w:color w:val="000000" w:themeColor="text1"/>
          <w:sz w:val="20"/>
          <w:szCs w:val="20"/>
        </w:rPr>
        <w:t xml:space="preserve"> </w:t>
      </w:r>
      <w:r w:rsidRPr="008443BC">
        <w:rPr>
          <w:rFonts w:ascii="Times New Roman" w:hAnsi="Times New Roman" w:cs="Times New Roman"/>
          <w:color w:val="000000" w:themeColor="text1"/>
          <w:sz w:val="20"/>
          <w:szCs w:val="20"/>
        </w:rPr>
        <w:t>dam readings,</w:t>
      </w:r>
      <w:r w:rsidR="00260C4F">
        <w:rPr>
          <w:rFonts w:ascii="Times New Roman" w:hAnsi="Times New Roman" w:cs="Times New Roman"/>
          <w:color w:val="000000" w:themeColor="text1"/>
          <w:sz w:val="20"/>
          <w:szCs w:val="20"/>
        </w:rPr>
        <w:t xml:space="preserve"> as well as </w:t>
      </w:r>
      <w:r w:rsidRPr="008443BC">
        <w:rPr>
          <w:rFonts w:ascii="Times New Roman" w:hAnsi="Times New Roman" w:cs="Times New Roman"/>
          <w:color w:val="000000" w:themeColor="text1"/>
          <w:sz w:val="20"/>
          <w:szCs w:val="20"/>
        </w:rPr>
        <w:t>access data-driven insights into the groundwater situation.</w:t>
      </w:r>
      <w:r>
        <w:rPr>
          <w:rFonts w:ascii="Times New Roman" w:hAnsi="Times New Roman" w:cs="Times New Roman"/>
          <w:color w:val="000000" w:themeColor="text1"/>
          <w:sz w:val="20"/>
          <w:szCs w:val="20"/>
        </w:rPr>
        <w:t xml:space="preserve"> </w:t>
      </w:r>
      <w:r w:rsidRPr="008443BC">
        <w:rPr>
          <w:rFonts w:ascii="Times New Roman" w:hAnsi="Times New Roman" w:cs="Times New Roman"/>
          <w:color w:val="000000" w:themeColor="text1"/>
          <w:sz w:val="20"/>
          <w:szCs w:val="20"/>
        </w:rPr>
        <w:t>We also show the potential for MyWell to empower smallholder farmers and villages to contribute to science, and be actively involved seeking village-led solutions to groundwater scarcity.</w:t>
      </w:r>
    </w:p>
    <w:p w14:paraId="75E6E83A"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366800FE" w14:textId="504B647D" w:rsidR="008443BC" w:rsidRPr="008443BC" w:rsidRDefault="008443BC" w:rsidP="008443BC">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We see limitations in what MyWell - as a technological tool - can do alone, and show how technology facilitating groundwater intervention must exist within a larger program targeting social and economic aspects of groundwater management.</w:t>
      </w:r>
    </w:p>
    <w:p w14:paraId="4EFAD6EE"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08144D51" w14:textId="77777777" w:rsidR="008443BC" w:rsidRPr="008443BC" w:rsidRDefault="008443BC" w:rsidP="008443BC">
      <w:pPr>
        <w:pStyle w:val="ListParagraph"/>
        <w:ind w:left="0"/>
        <w:rPr>
          <w:rFonts w:ascii="Times New Roman" w:hAnsi="Times New Roman" w:cs="Times New Roman"/>
          <w:b/>
          <w:color w:val="000000" w:themeColor="text1"/>
          <w:sz w:val="20"/>
          <w:szCs w:val="20"/>
        </w:rPr>
      </w:pPr>
      <w:r w:rsidRPr="008443BC">
        <w:rPr>
          <w:rFonts w:ascii="Times New Roman" w:hAnsi="Times New Roman" w:cs="Times New Roman"/>
          <w:b/>
          <w:color w:val="000000" w:themeColor="text1"/>
          <w:sz w:val="20"/>
          <w:szCs w:val="20"/>
        </w:rPr>
        <w:t>Future</w:t>
      </w:r>
    </w:p>
    <w:p w14:paraId="0DE6E2A3"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6D914242" w14:textId="6CDCFA84" w:rsidR="008443BC" w:rsidRPr="008443BC" w:rsidRDefault="008443BC" w:rsidP="008443BC">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 xml:space="preserve">While this study evaluates MyWell's use in 2 watersheds in rural India, MyWell is not limited to these </w:t>
      </w:r>
      <w:r w:rsidR="00260C4F">
        <w:rPr>
          <w:rFonts w:ascii="Times New Roman" w:hAnsi="Times New Roman" w:cs="Times New Roman"/>
          <w:color w:val="000000" w:themeColor="text1"/>
          <w:sz w:val="20"/>
          <w:szCs w:val="20"/>
        </w:rPr>
        <w:t>areas</w:t>
      </w:r>
      <w:r w:rsidRPr="008443BC">
        <w:rPr>
          <w:rFonts w:ascii="Times New Roman" w:hAnsi="Times New Roman" w:cs="Times New Roman"/>
          <w:color w:val="000000" w:themeColor="text1"/>
          <w:sz w:val="20"/>
          <w:szCs w:val="20"/>
        </w:rPr>
        <w:t>, or even India. Future research and applications of MyWell will translate t</w:t>
      </w:r>
      <w:r w:rsidR="00137697">
        <w:rPr>
          <w:rFonts w:ascii="Times New Roman" w:hAnsi="Times New Roman" w:cs="Times New Roman"/>
          <w:color w:val="000000" w:themeColor="text1"/>
          <w:sz w:val="20"/>
          <w:szCs w:val="20"/>
        </w:rPr>
        <w:t>his approach to other countries</w:t>
      </w:r>
      <w:r w:rsidRPr="008443BC">
        <w:rPr>
          <w:rFonts w:ascii="Times New Roman" w:hAnsi="Times New Roman" w:cs="Times New Roman"/>
          <w:color w:val="000000" w:themeColor="text1"/>
          <w:sz w:val="20"/>
          <w:szCs w:val="20"/>
        </w:rPr>
        <w:t xml:space="preserve"> with differing groundwater situations.</w:t>
      </w:r>
    </w:p>
    <w:p w14:paraId="78A7BCE8"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560715E1" w14:textId="7E621A99" w:rsidR="008443BC" w:rsidRPr="008443BC" w:rsidRDefault="008443BC" w:rsidP="008443BC">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 xml:space="preserve">The value of data collected by MyWell also has considerable network effects. Increasing the number of wells and watersheds monitored by MyWell will increase the value of information delivered by MyWell. The more insights to be gained from MyWell, the more valuable the information gathered is, </w:t>
      </w:r>
      <w:r w:rsidR="00137697">
        <w:rPr>
          <w:rFonts w:ascii="Times New Roman" w:hAnsi="Times New Roman" w:cs="Times New Roman"/>
          <w:color w:val="000000" w:themeColor="text1"/>
          <w:sz w:val="20"/>
          <w:szCs w:val="20"/>
        </w:rPr>
        <w:t>driving greater usage and value to its users.</w:t>
      </w:r>
    </w:p>
    <w:p w14:paraId="68DF2D7B" w14:textId="77777777" w:rsidR="008443BC" w:rsidRPr="008443BC" w:rsidRDefault="008443BC" w:rsidP="008443BC">
      <w:pPr>
        <w:pStyle w:val="ListParagraph"/>
        <w:ind w:left="0"/>
        <w:rPr>
          <w:rFonts w:ascii="Times New Roman" w:hAnsi="Times New Roman" w:cs="Times New Roman"/>
          <w:color w:val="000000" w:themeColor="text1"/>
          <w:sz w:val="20"/>
          <w:szCs w:val="20"/>
        </w:rPr>
      </w:pPr>
    </w:p>
    <w:p w14:paraId="6C6B0ED6" w14:textId="57629903" w:rsidR="00237AE8" w:rsidRPr="00237AE8" w:rsidRDefault="008443BC" w:rsidP="00237AE8">
      <w:pPr>
        <w:pStyle w:val="ListParagraph"/>
        <w:ind w:left="0"/>
        <w:rPr>
          <w:rFonts w:ascii="Times New Roman" w:hAnsi="Times New Roman" w:cs="Times New Roman"/>
          <w:color w:val="000000" w:themeColor="text1"/>
          <w:sz w:val="20"/>
          <w:szCs w:val="20"/>
        </w:rPr>
      </w:pPr>
      <w:r w:rsidRPr="008443BC">
        <w:rPr>
          <w:rFonts w:ascii="Times New Roman" w:hAnsi="Times New Roman" w:cs="Times New Roman"/>
          <w:color w:val="000000" w:themeColor="text1"/>
          <w:sz w:val="20"/>
          <w:szCs w:val="20"/>
        </w:rPr>
        <w:t xml:space="preserve">MyWell's primary target is smallholder farmers, but the insights it delivers can be applied across many levels of groundwater management, from researchers to policy makers. We would see MyWell expand its features and </w:t>
      </w:r>
      <w:r w:rsidRPr="008443BC">
        <w:rPr>
          <w:rFonts w:ascii="Times New Roman" w:hAnsi="Times New Roman" w:cs="Times New Roman"/>
          <w:color w:val="000000" w:themeColor="text1"/>
          <w:sz w:val="20"/>
          <w:szCs w:val="20"/>
        </w:rPr>
        <w:lastRenderedPageBreak/>
        <w:t xml:space="preserve">integrations with other platforms, to allow for groundwater stakeholders </w:t>
      </w:r>
      <w:r w:rsidR="00137697">
        <w:rPr>
          <w:rFonts w:ascii="Times New Roman" w:hAnsi="Times New Roman" w:cs="Times New Roman"/>
          <w:color w:val="000000" w:themeColor="text1"/>
          <w:sz w:val="20"/>
          <w:szCs w:val="20"/>
        </w:rPr>
        <w:t xml:space="preserve">at multiple levels </w:t>
      </w:r>
      <w:r w:rsidRPr="008443BC">
        <w:rPr>
          <w:rFonts w:ascii="Times New Roman" w:hAnsi="Times New Roman" w:cs="Times New Roman"/>
          <w:color w:val="000000" w:themeColor="text1"/>
          <w:sz w:val="20"/>
          <w:szCs w:val="20"/>
        </w:rPr>
        <w:t>to glean insights from MyWell.</w:t>
      </w:r>
    </w:p>
    <w:p w14:paraId="2B069A1A" w14:textId="761E0097" w:rsidR="00237AE8" w:rsidRDefault="00237AE8" w:rsidP="008443BC">
      <w:pPr>
        <w:pStyle w:val="ListParagraph"/>
        <w:ind w:left="0"/>
        <w:rPr>
          <w:rFonts w:ascii="Times New Roman" w:hAnsi="Times New Roman" w:cs="Times New Roman"/>
          <w:b/>
          <w:color w:val="4472C4" w:themeColor="accent5"/>
          <w:sz w:val="20"/>
          <w:szCs w:val="20"/>
        </w:rPr>
      </w:pPr>
    </w:p>
    <w:p w14:paraId="21974CFA" w14:textId="77777777" w:rsidR="00A31B4C" w:rsidRPr="00A31B4C" w:rsidRDefault="00A31B4C" w:rsidP="00A31B4C">
      <w:pPr>
        <w:ind w:left="720"/>
        <w:contextualSpacing/>
        <w:jc w:val="both"/>
        <w:rPr>
          <w:b/>
          <w:color w:val="4472C4" w:themeColor="accent5"/>
          <w:sz w:val="20"/>
          <w:szCs w:val="20"/>
        </w:rPr>
      </w:pPr>
    </w:p>
    <w:p w14:paraId="4470CF10" w14:textId="77777777" w:rsidR="00A31B4C" w:rsidRDefault="00A31B4C" w:rsidP="00A31B4C">
      <w:pPr>
        <w:contextualSpacing/>
        <w:jc w:val="both"/>
        <w:rPr>
          <w:rFonts w:eastAsia="Times New Roman"/>
          <w:b/>
          <w:bCs/>
          <w:color w:val="000000" w:themeColor="text1"/>
          <w:sz w:val="20"/>
          <w:szCs w:val="20"/>
          <w:lang w:eastAsia="fr-CH"/>
        </w:rPr>
      </w:pPr>
      <w:r w:rsidRPr="00A31B4C">
        <w:rPr>
          <w:rFonts w:eastAsia="Times New Roman"/>
          <w:b/>
          <w:bCs/>
          <w:color w:val="000000" w:themeColor="text1"/>
          <w:sz w:val="20"/>
          <w:szCs w:val="20"/>
          <w:lang w:eastAsia="fr-CH"/>
        </w:rPr>
        <w:t>References</w:t>
      </w:r>
    </w:p>
    <w:p w14:paraId="50A13CDB" w14:textId="77777777" w:rsidR="00E9389B" w:rsidRDefault="00E9389B" w:rsidP="00A31B4C">
      <w:pPr>
        <w:contextualSpacing/>
        <w:jc w:val="both"/>
        <w:rPr>
          <w:rFonts w:eastAsia="Times New Roman"/>
          <w:b/>
          <w:bCs/>
          <w:color w:val="000000" w:themeColor="text1"/>
          <w:sz w:val="20"/>
          <w:szCs w:val="20"/>
          <w:lang w:eastAsia="fr-CH"/>
        </w:rPr>
      </w:pPr>
    </w:p>
    <w:p w14:paraId="7D56D925" w14:textId="77777777" w:rsidR="001F004F" w:rsidRPr="001F004F" w:rsidRDefault="001F004F" w:rsidP="00E9389B">
      <w:pPr>
        <w:contextualSpacing/>
        <w:jc w:val="both"/>
        <w:rPr>
          <w:rFonts w:eastAsia="Times New Roman"/>
          <w:bCs/>
          <w:color w:val="000000" w:themeColor="text1"/>
          <w:sz w:val="20"/>
          <w:szCs w:val="20"/>
          <w:lang w:eastAsia="fr-CH"/>
        </w:rPr>
      </w:pPr>
    </w:p>
    <w:p w14:paraId="630784B7" w14:textId="5B3B30D8" w:rsidR="001F004F" w:rsidRDefault="001F004F" w:rsidP="00E9389B">
      <w:pPr>
        <w:contextualSpacing/>
        <w:jc w:val="both"/>
        <w:rPr>
          <w:rFonts w:eastAsia="Times New Roman"/>
          <w:bCs/>
          <w:color w:val="000000" w:themeColor="text1"/>
          <w:sz w:val="20"/>
          <w:szCs w:val="20"/>
          <w:lang w:eastAsia="fr-CH"/>
        </w:rPr>
      </w:pPr>
      <w:r>
        <w:rPr>
          <w:rFonts w:eastAsia="Times New Roman"/>
          <w:bCs/>
          <w:color w:val="000000" w:themeColor="text1"/>
          <w:sz w:val="20"/>
          <w:szCs w:val="20"/>
          <w:lang w:eastAsia="fr-CH"/>
        </w:rPr>
        <w:t>World Bank</w:t>
      </w:r>
      <w:r w:rsidRPr="001F004F">
        <w:rPr>
          <w:rFonts w:eastAsia="Times New Roman"/>
          <w:bCs/>
          <w:color w:val="000000" w:themeColor="text1"/>
          <w:sz w:val="20"/>
          <w:szCs w:val="20"/>
          <w:lang w:eastAsia="fr-CH"/>
        </w:rPr>
        <w:t xml:space="preserve"> (2010). Deep wells and prudence. Washington D.C.: World Bank</w:t>
      </w:r>
    </w:p>
    <w:p w14:paraId="7F957178" w14:textId="77777777" w:rsidR="001F004F" w:rsidRPr="001F004F" w:rsidRDefault="001F004F" w:rsidP="00E9389B">
      <w:pPr>
        <w:contextualSpacing/>
        <w:jc w:val="both"/>
        <w:rPr>
          <w:rFonts w:eastAsia="Times New Roman"/>
          <w:bCs/>
          <w:color w:val="000000" w:themeColor="text1"/>
          <w:sz w:val="20"/>
          <w:szCs w:val="20"/>
          <w:lang w:eastAsia="fr-CH"/>
        </w:rPr>
      </w:pPr>
    </w:p>
    <w:p w14:paraId="07D558C8" w14:textId="4C5E3AF9" w:rsidR="001F004F" w:rsidRPr="001F004F" w:rsidRDefault="001F004F" w:rsidP="00E9389B">
      <w:pPr>
        <w:contextualSpacing/>
        <w:jc w:val="both"/>
        <w:rPr>
          <w:rFonts w:eastAsia="Times New Roman"/>
          <w:bCs/>
          <w:color w:val="000000" w:themeColor="text1"/>
          <w:sz w:val="20"/>
          <w:szCs w:val="20"/>
          <w:lang w:eastAsia="fr-CH"/>
        </w:rPr>
      </w:pPr>
      <w:r w:rsidRPr="001F004F">
        <w:rPr>
          <w:rFonts w:eastAsia="Times New Roman"/>
          <w:bCs/>
          <w:color w:val="000000" w:themeColor="text1"/>
          <w:sz w:val="20"/>
          <w:szCs w:val="20"/>
          <w:lang w:eastAsia="fr-CH"/>
        </w:rPr>
        <w:t>Rathore, M. S. (2004). State level analysis of drought policies and i</w:t>
      </w:r>
      <w:r w:rsidRPr="001F004F">
        <w:rPr>
          <w:rFonts w:eastAsia="Times New Roman"/>
          <w:bCs/>
          <w:color w:val="000000" w:themeColor="text1"/>
          <w:sz w:val="20"/>
          <w:szCs w:val="20"/>
          <w:lang w:eastAsia="fr-CH"/>
        </w:rPr>
        <w:t>mpacts in Rajasthan, India</w:t>
      </w:r>
      <w:r w:rsidRPr="001F004F">
        <w:rPr>
          <w:rFonts w:eastAsia="Times New Roman"/>
          <w:bCs/>
          <w:color w:val="000000" w:themeColor="text1"/>
          <w:sz w:val="20"/>
          <w:szCs w:val="20"/>
          <w:lang w:eastAsia="fr-CH"/>
        </w:rPr>
        <w:t>. Colombo, Sri Lanka: IMWI.</w:t>
      </w:r>
    </w:p>
    <w:p w14:paraId="3D019A62" w14:textId="77777777" w:rsidR="00E9389B" w:rsidRPr="001F004F" w:rsidRDefault="00E9389B" w:rsidP="00E9389B">
      <w:pPr>
        <w:contextualSpacing/>
        <w:jc w:val="both"/>
        <w:rPr>
          <w:rFonts w:eastAsia="Times New Roman"/>
          <w:bCs/>
          <w:color w:val="000000" w:themeColor="text1"/>
          <w:sz w:val="20"/>
          <w:szCs w:val="20"/>
          <w:lang w:eastAsia="fr-CH"/>
        </w:rPr>
      </w:pPr>
    </w:p>
    <w:p w14:paraId="779BAE11" w14:textId="79D871DF" w:rsidR="008B5F9C" w:rsidRPr="001F004F" w:rsidRDefault="00E9389B">
      <w:pPr>
        <w:contextualSpacing/>
        <w:rPr>
          <w:rFonts w:eastAsia="Times New Roman"/>
          <w:bCs/>
          <w:color w:val="000000" w:themeColor="text1"/>
          <w:sz w:val="20"/>
          <w:szCs w:val="20"/>
          <w:lang w:eastAsia="fr-CH"/>
        </w:rPr>
      </w:pPr>
      <w:r w:rsidRPr="001F004F">
        <w:rPr>
          <w:rFonts w:eastAsia="Times New Roman"/>
          <w:bCs/>
          <w:color w:val="000000" w:themeColor="text1"/>
          <w:sz w:val="20"/>
          <w:szCs w:val="20"/>
          <w:lang w:eastAsia="fr-CH"/>
        </w:rPr>
        <w:t>Maheshwari</w:t>
      </w:r>
      <w:r w:rsidRPr="001F004F">
        <w:rPr>
          <w:rFonts w:eastAsia="Times New Roman"/>
          <w:bCs/>
          <w:color w:val="000000" w:themeColor="text1"/>
          <w:sz w:val="20"/>
          <w:szCs w:val="20"/>
          <w:lang w:eastAsia="fr-CH"/>
        </w:rPr>
        <w:t xml:space="preserve">, B., </w:t>
      </w:r>
      <w:r w:rsidRPr="001F004F">
        <w:rPr>
          <w:rFonts w:eastAsia="Times New Roman"/>
          <w:bCs/>
          <w:color w:val="000000" w:themeColor="text1"/>
          <w:sz w:val="20"/>
          <w:szCs w:val="20"/>
          <w:lang w:eastAsia="fr-CH"/>
        </w:rPr>
        <w:t>Prathapar</w:t>
      </w:r>
      <w:r w:rsidRPr="001F004F">
        <w:rPr>
          <w:rFonts w:eastAsia="Times New Roman"/>
          <w:bCs/>
          <w:color w:val="000000" w:themeColor="text1"/>
          <w:sz w:val="20"/>
          <w:szCs w:val="20"/>
          <w:lang w:eastAsia="fr-CH"/>
        </w:rPr>
        <w:t xml:space="preserve">, S. (2014). </w:t>
      </w:r>
      <w:r w:rsidR="001F004F" w:rsidRPr="001F004F">
        <w:rPr>
          <w:rFonts w:eastAsia="Times New Roman"/>
          <w:bCs/>
          <w:color w:val="000000" w:themeColor="text1"/>
          <w:sz w:val="20"/>
          <w:szCs w:val="20"/>
          <w:lang w:eastAsia="fr-CH"/>
        </w:rPr>
        <w:t>The role of t</w:t>
      </w:r>
      <w:r w:rsidRPr="001F004F">
        <w:rPr>
          <w:rFonts w:eastAsia="Times New Roman"/>
          <w:bCs/>
          <w:color w:val="000000" w:themeColor="text1"/>
          <w:sz w:val="20"/>
          <w:szCs w:val="20"/>
          <w:lang w:eastAsia="fr-CH"/>
        </w:rPr>
        <w:t>r</w:t>
      </w:r>
      <w:r w:rsidR="001F004F" w:rsidRPr="001F004F">
        <w:rPr>
          <w:rFonts w:eastAsia="Times New Roman"/>
          <w:bCs/>
          <w:color w:val="000000" w:themeColor="text1"/>
          <w:sz w:val="20"/>
          <w:szCs w:val="20"/>
          <w:lang w:eastAsia="fr-CH"/>
        </w:rPr>
        <w:t>ansdisciplinary approach and community participation in village scale groundwater management - i</w:t>
      </w:r>
      <w:r w:rsidRPr="001F004F">
        <w:rPr>
          <w:rFonts w:eastAsia="Times New Roman"/>
          <w:bCs/>
          <w:color w:val="000000" w:themeColor="text1"/>
          <w:sz w:val="20"/>
          <w:szCs w:val="20"/>
          <w:lang w:eastAsia="fr-CH"/>
        </w:rPr>
        <w:t>nsights from Gujarat and Rajasthan, India</w:t>
      </w:r>
      <w:r w:rsidRPr="001F004F">
        <w:rPr>
          <w:rFonts w:eastAsia="Times New Roman"/>
          <w:bCs/>
          <w:color w:val="000000" w:themeColor="text1"/>
          <w:sz w:val="20"/>
          <w:szCs w:val="20"/>
          <w:lang w:eastAsia="fr-CH"/>
        </w:rPr>
        <w:t>. Water 6(11), 3386-3408.</w:t>
      </w:r>
    </w:p>
    <w:sectPr w:rsidR="008B5F9C" w:rsidRPr="001F00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panose1 w:val="020B0609070205080204"/>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25310"/>
    <w:multiLevelType w:val="hybridMultilevel"/>
    <w:tmpl w:val="A6E8BE3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nsid w:val="36CF53A1"/>
    <w:multiLevelType w:val="hybridMultilevel"/>
    <w:tmpl w:val="6C404890"/>
    <w:lvl w:ilvl="0" w:tplc="D0D633E4">
      <w:start w:val="1"/>
      <w:numFmt w:val="bullet"/>
      <w:lvlText w:val=""/>
      <w:lvlJc w:val="left"/>
      <w:pPr>
        <w:ind w:left="1440" w:hanging="360"/>
      </w:pPr>
      <w:rPr>
        <w:rFonts w:ascii="Wingdings 2" w:hAnsi="Wingdings 2"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nsid w:val="48B341A6"/>
    <w:multiLevelType w:val="hybridMultilevel"/>
    <w:tmpl w:val="2FA2DB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4C"/>
    <w:rsid w:val="00137697"/>
    <w:rsid w:val="001A723A"/>
    <w:rsid w:val="001D3CEE"/>
    <w:rsid w:val="001F004F"/>
    <w:rsid w:val="00237AE8"/>
    <w:rsid w:val="00260C4F"/>
    <w:rsid w:val="00276485"/>
    <w:rsid w:val="00382A29"/>
    <w:rsid w:val="004464B7"/>
    <w:rsid w:val="0054094B"/>
    <w:rsid w:val="00606566"/>
    <w:rsid w:val="007B7594"/>
    <w:rsid w:val="007E5A0A"/>
    <w:rsid w:val="00804C93"/>
    <w:rsid w:val="008443BC"/>
    <w:rsid w:val="008B5F9C"/>
    <w:rsid w:val="008B7B81"/>
    <w:rsid w:val="00933C4E"/>
    <w:rsid w:val="00A31B4C"/>
    <w:rsid w:val="00A31D8B"/>
    <w:rsid w:val="00AD2D2F"/>
    <w:rsid w:val="00C86E78"/>
    <w:rsid w:val="00CF1A53"/>
    <w:rsid w:val="00D80F24"/>
    <w:rsid w:val="00D82567"/>
    <w:rsid w:val="00E9389B"/>
    <w:rsid w:val="00EF1645"/>
  </w:rsids>
  <m:mathPr>
    <m:mathFont m:val="Cambria Math"/>
    <m:brkBin m:val="before"/>
    <m:brkBinSub m:val="--"/>
    <m:smallFrac m:val="0"/>
    <m:dispDef/>
    <m:lMargin m:val="0"/>
    <m:rMargin m:val="0"/>
    <m:defJc m:val="centerGroup"/>
    <m:wrapIndent m:val="1440"/>
    <m:intLim m:val="subSup"/>
    <m:naryLim m:val="undOvr"/>
  </m:mathPr>
  <w:themeFontLang w:val="fr-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02F2"/>
  <w15:chartTrackingRefBased/>
  <w15:docId w15:val="{8E455462-0B46-4960-9849-487325E8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004F"/>
    <w:pPr>
      <w:spacing w:after="0" w:line="240" w:lineRule="auto"/>
    </w:pPr>
    <w:rPr>
      <w:rFonts w:ascii="Times New Roman"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B4C"/>
    <w:pPr>
      <w:spacing w:after="200" w:line="276" w:lineRule="auto"/>
      <w:ind w:left="720"/>
      <w:contextualSpacing/>
    </w:pPr>
    <w:rPr>
      <w:rFonts w:asciiTheme="minorHAnsi" w:hAnsiTheme="minorHAnsi" w:cstheme="minorBidi"/>
      <w:sz w:val="22"/>
      <w:szCs w:val="22"/>
      <w:lang w:eastAsia="en-US"/>
    </w:rPr>
  </w:style>
  <w:style w:type="character" w:styleId="Strong">
    <w:name w:val="Strong"/>
    <w:basedOn w:val="DefaultParagraphFont"/>
    <w:uiPriority w:val="22"/>
    <w:qFormat/>
    <w:rsid w:val="00A31B4C"/>
    <w:rPr>
      <w:b/>
      <w:bCs/>
    </w:rPr>
  </w:style>
  <w:style w:type="character" w:styleId="CommentReference">
    <w:name w:val="annotation reference"/>
    <w:basedOn w:val="DefaultParagraphFont"/>
    <w:uiPriority w:val="99"/>
    <w:semiHidden/>
    <w:unhideWhenUsed/>
    <w:rsid w:val="00D82567"/>
    <w:rPr>
      <w:sz w:val="18"/>
      <w:szCs w:val="18"/>
    </w:rPr>
  </w:style>
  <w:style w:type="paragraph" w:styleId="CommentText">
    <w:name w:val="annotation text"/>
    <w:basedOn w:val="Normal"/>
    <w:link w:val="CommentTextChar"/>
    <w:uiPriority w:val="99"/>
    <w:semiHidden/>
    <w:unhideWhenUsed/>
    <w:rsid w:val="00D82567"/>
    <w:pPr>
      <w:spacing w:after="200"/>
    </w:pPr>
    <w:rPr>
      <w:rFonts w:asciiTheme="minorHAnsi" w:hAnsiTheme="minorHAnsi" w:cstheme="minorBidi"/>
      <w:lang w:eastAsia="en-US"/>
    </w:rPr>
  </w:style>
  <w:style w:type="character" w:customStyle="1" w:styleId="CommentTextChar">
    <w:name w:val="Comment Text Char"/>
    <w:basedOn w:val="DefaultParagraphFont"/>
    <w:link w:val="CommentText"/>
    <w:uiPriority w:val="99"/>
    <w:semiHidden/>
    <w:rsid w:val="00D82567"/>
    <w:rPr>
      <w:sz w:val="24"/>
      <w:szCs w:val="24"/>
      <w:lang w:val="en-US"/>
    </w:rPr>
  </w:style>
  <w:style w:type="paragraph" w:styleId="CommentSubject">
    <w:name w:val="annotation subject"/>
    <w:basedOn w:val="CommentText"/>
    <w:next w:val="CommentText"/>
    <w:link w:val="CommentSubjectChar"/>
    <w:uiPriority w:val="99"/>
    <w:semiHidden/>
    <w:unhideWhenUsed/>
    <w:rsid w:val="00D82567"/>
    <w:rPr>
      <w:b/>
      <w:bCs/>
      <w:sz w:val="20"/>
      <w:szCs w:val="20"/>
    </w:rPr>
  </w:style>
  <w:style w:type="character" w:customStyle="1" w:styleId="CommentSubjectChar">
    <w:name w:val="Comment Subject Char"/>
    <w:basedOn w:val="CommentTextChar"/>
    <w:link w:val="CommentSubject"/>
    <w:uiPriority w:val="99"/>
    <w:semiHidden/>
    <w:rsid w:val="00D82567"/>
    <w:rPr>
      <w:b/>
      <w:bCs/>
      <w:sz w:val="20"/>
      <w:szCs w:val="20"/>
      <w:lang w:val="en-US"/>
    </w:rPr>
  </w:style>
  <w:style w:type="paragraph" w:styleId="BalloonText">
    <w:name w:val="Balloon Text"/>
    <w:basedOn w:val="Normal"/>
    <w:link w:val="BalloonTextChar"/>
    <w:uiPriority w:val="99"/>
    <w:semiHidden/>
    <w:unhideWhenUsed/>
    <w:rsid w:val="00D82567"/>
    <w:rPr>
      <w:sz w:val="18"/>
      <w:szCs w:val="18"/>
      <w:lang w:eastAsia="en-US"/>
    </w:rPr>
  </w:style>
  <w:style w:type="character" w:customStyle="1" w:styleId="BalloonTextChar">
    <w:name w:val="Balloon Text Char"/>
    <w:basedOn w:val="DefaultParagraphFont"/>
    <w:link w:val="BalloonText"/>
    <w:uiPriority w:val="99"/>
    <w:semiHidden/>
    <w:rsid w:val="00D82567"/>
    <w:rPr>
      <w:rFonts w:ascii="Times New Roman" w:hAnsi="Times New Roman" w:cs="Times New Roman"/>
      <w:sz w:val="18"/>
      <w:szCs w:val="18"/>
      <w:lang w:val="en-US"/>
    </w:rPr>
  </w:style>
  <w:style w:type="paragraph" w:styleId="Caption">
    <w:name w:val="caption"/>
    <w:basedOn w:val="Normal"/>
    <w:next w:val="Normal"/>
    <w:uiPriority w:val="35"/>
    <w:unhideWhenUsed/>
    <w:qFormat/>
    <w:rsid w:val="008443BC"/>
    <w:pPr>
      <w:spacing w:after="200"/>
    </w:pPr>
    <w:rPr>
      <w:rFonts w:asciiTheme="minorHAnsi" w:hAnsiTheme="minorHAnsi" w:cstheme="minorBidi"/>
      <w:i/>
      <w:iCs/>
      <w:color w:val="44546A" w:themeColor="text2"/>
      <w:sz w:val="18"/>
      <w:szCs w:val="18"/>
      <w:lang w:eastAsia="en-US"/>
    </w:rPr>
  </w:style>
  <w:style w:type="character" w:customStyle="1" w:styleId="apple-converted-space">
    <w:name w:val="apple-converted-space"/>
    <w:basedOn w:val="DefaultParagraphFont"/>
    <w:rsid w:val="001F0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4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1544</Words>
  <Characters>8801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Kagi Alfredo</dc:creator>
  <cp:keywords/>
  <dc:description/>
  <cp:lastModifiedBy>Lewis Daly</cp:lastModifiedBy>
  <cp:revision>22</cp:revision>
  <dcterms:created xsi:type="dcterms:W3CDTF">2017-11-08T16:05:00Z</dcterms:created>
  <dcterms:modified xsi:type="dcterms:W3CDTF">2018-01-10T04:42:00Z</dcterms:modified>
</cp:coreProperties>
</file>