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spacing w:before="0" w:after="120" w:line="300" w:lineRule="auto"/>
      </w:pPr>
      <w:r>
        <w:rPr>
          <w:color w:val="1F4E78"/>
          <w:sz w:val="36"/>
          <w:szCs w:val="36"/>
          <w:rFonts w:ascii="Arial" w:hAnsi="Arial" w:eastAsia="Microsoft YaHei"/>
        </w:rPr>
        <w:t xml:space="preserve">报关单生成取值逻辑说明</w:t>
      </w:r>
    </w:p>
    <w:p>
      <w:pPr>
        <w:pStyle w:val="Subtitle"/>
        <w:spacing w:before="100" w:after="260" w:line="300" w:lineRule="auto"/>
      </w:pPr>
      <w:r>
        <w:rPr>
          <w:color w:val="666666"/>
          <w:sz w:val="24"/>
          <w:szCs w:val="24"/>
          <w:rFonts w:ascii="Arial" w:hAnsi="Arial" w:eastAsia="Microsoft YaHei"/>
        </w:rPr>
        <w:t xml:space="preserve">用于检查当前应用的数据匹配和填写规则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阅读目的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这份文档只说明“生成报关单时数据从哪里来、怎么匹配、怎么合并、怎么填写”。你可以逐项检查：哪些规则正确、哪些需要改。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一、输入文件和角色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700"/>
        <w:gridCol w:w="5600"/>
        <w:gridCol w:w="1700"/>
      </w:tblGrid>
      <w:tr>
        <w:tc>
          <w:tcPr>
            <w:tcW w:w="17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文件/表</w:t>
            </w:r>
          </w:p>
        </w:tc>
        <w:tc>
          <w:tcPr>
            <w:tcW w:w="56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在流程中的作用</w:t>
            </w:r>
          </w:p>
        </w:tc>
        <w:tc>
          <w:tcPr>
            <w:tcW w:w="17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是否编辑源文件</w:t>
            </w:r>
          </w:p>
        </w:tc>
      </w:tr>
      <w:tr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</w:t>
            </w:r>
          </w:p>
        </w:tc>
        <w:tc>
          <w:tcPr>
            <w:tcW w:w="5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提供发票号、日期、客户、运输方式、成交方式、料号、数量、单价、总价、币制等交易数据；不作为 HS code、中文品名、品牌的来源。</w:t>
            </w:r>
          </w:p>
        </w:tc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不编辑，只读取</w:t>
            </w:r>
          </w:p>
        </w:tc>
      </w:tr>
      <w:tr>
        <w:tc>
          <w:tcPr>
            <w:tcW w:w="17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</w:t>
            </w:r>
          </w:p>
        </w:tc>
        <w:tc>
          <w:tcPr>
            <w:tcW w:w="5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提供装箱单号、包装/件数、每个料号的箱数、净重、毛重，以及总净重、总毛重。</w:t>
            </w:r>
          </w:p>
        </w:tc>
        <w:tc>
          <w:tcPr>
            <w:tcW w:w="17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不编辑，只读取</w:t>
            </w:r>
          </w:p>
        </w:tc>
      </w:tr>
      <w:tr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Daily/商品主数据</w:t>
            </w:r>
          </w:p>
        </w:tc>
        <w:tc>
          <w:tcPr>
            <w:tcW w:w="5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作为唯一对应关系查询表，用来确定料号对应的 HS code、中文品名、品牌等。</w:t>
            </w:r>
          </w:p>
        </w:tc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不编辑，只查询</w:t>
            </w:r>
          </w:p>
        </w:tc>
      </w:tr>
      <w:tr>
        <w:tc>
          <w:tcPr>
            <w:tcW w:w="17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报关单空白模板</w:t>
            </w:r>
          </w:p>
        </w:tc>
        <w:tc>
          <w:tcPr>
            <w:tcW w:w="5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只提供格式、行高、样式、合并单元格等。</w:t>
            </w:r>
          </w:p>
        </w:tc>
        <w:tc>
          <w:tcPr>
            <w:tcW w:w="17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不读取旧业务数值，只写入新结果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二、整体处理步骤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识别上传文件：判断哪张是 Invoice，哪张是 Packing list。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读取字段映射：把源表里的 QAD PN、qty.、Amount、N.W.(KG) 等字段转成系统标准字段。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筛选有效商品：qty. 为空、0 或 - 的商品不进入报关单；Total 行不作为商品明细。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按料号匹配：用 Invoice 的 QAD PN 和 Packing list 的 QAD PN 匹配同一商品。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确定报关信息：根据 Invoice 的料号，到 Daily/商品主数据中查找对应的 HS code、中文品名、品牌；Invoice 不作为这些字段的来源。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统一写法：品牌、运输方式、国家、成交方式、币制等按标准化规则统一。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执行合并：按合并规则把可以合并的商品加总数量、金额、重量。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填写报关单：按字段来源表把基础信息和商品明细写入空白模板。</w:t>
      </w:r>
    </w:p>
    <w:p>
      <w:pPr>
        <w:numPr>
          <w:ilvl w:val="0"/>
          <w:numId w:val="2"/>
        </w:numPr>
        <w:spacing w:before="40" w:after="70" w:line="300" w:lineRule="auto"/>
      </w:pPr>
      <w:r>
        <w:rPr>
          <w:sz w:val="21"/>
          <w:szCs w:val="21"/>
          <w:rFonts w:ascii="Arial" w:hAnsi="Arial" w:eastAsia="Microsoft YaHei"/>
        </w:rPr>
        <w:t>校验合计：核对数量、总价、净重、毛重是否与源表有效数据一致。</w:t>
      </w:r>
    </w:p>
    <w:p>
      <w:r>
        <w:br w:type="pag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三、基础信息取值逻辑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900"/>
        <w:gridCol w:w="2300"/>
        <w:gridCol w:w="3600"/>
        <w:gridCol w:w="1200"/>
      </w:tblGrid>
      <w:tr>
        <w:tc>
          <w:tcPr>
            <w:tcW w:w="19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报关单字段</w:t>
            </w:r>
          </w:p>
        </w:tc>
        <w:tc>
          <w:tcPr>
            <w:tcW w:w="23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取值来源</w:t>
            </w:r>
          </w:p>
        </w:tc>
        <w:tc>
          <w:tcPr>
            <w:tcW w:w="36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当前处理逻辑</w:t>
            </w:r>
          </w:p>
        </w:tc>
        <w:tc>
          <w:tcPr>
            <w:tcW w:w="12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取不到时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合同协议号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表头 Serial No.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取 Serial No. 右侧值，例如 SP26000001。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出口日期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或 Packing 表头 pick up Date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取日期值；如果是 Excel 日期序列，可转为日期。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境内发货人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表头 CASCO Automotive(Suzhou)Co.,Ltd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可翻译为中文公司名；如果需要信用代码，必须配置固定值。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境内发货人代码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源表无直接字段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当前不从旧模板取，源表没有就不填。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境外收货人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Invoice/Packing 的 Bill to 或 Ship to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取公司名，例如 CASCO Imos Italia S.R.L.。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运输方式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Delivery way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Sea/sea/SEA FCL 等通过标准化表转为水路运输。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成交方式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Delivery Term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CPT Condove Warehouse 截取为 CPT。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贸易国/运抵国/最终目的国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客户名称或收货地址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根据 CASCO Imos Italia / CONDOVE 推断为意大利。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包装种类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 中 Pallet Item/包装信息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当前可翻译为托盘；如果客户要求固定为再生木托，需要配置固定值。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件数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 total 行或明细汇总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优先取 Packing total 行的件数/托盘数。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毛重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 G.W.(KG)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优先取 total 行；没有 total 行则汇总有效商品毛重。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净重</w:t>
            </w:r>
          </w:p>
        </w:tc>
        <w:tc>
          <w:tcPr>
            <w:tcW w:w="2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 N.W.(KG)</w:t>
            </w:r>
          </w:p>
        </w:tc>
        <w:tc>
          <w:tcPr>
            <w:tcW w:w="36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优先取 total 行；没有 total 行则汇总有效商品净重。</w:t>
            </w:r>
          </w:p>
        </w:tc>
        <w:tc>
          <w:tcPr>
            <w:tcW w:w="1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监管方式、征免性质、离境口岸、运费、保费、杂费、征免</w:t>
            </w:r>
          </w:p>
        </w:tc>
        <w:tc>
          <w:tcPr>
            <w:tcW w:w="2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源表无直接字段</w:t>
            </w:r>
          </w:p>
        </w:tc>
        <w:tc>
          <w:tcPr>
            <w:tcW w:w="36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当前不从旧报关单取；除非配置表明确设置固定默认值。</w:t>
            </w:r>
          </w:p>
        </w:tc>
        <w:tc>
          <w:tcPr>
            <w:tcW w:w="1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留空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四、商品明细取值逻辑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100"/>
        <w:gridCol w:w="3100"/>
        <w:gridCol w:w="3800"/>
      </w:tblGrid>
      <w:tr>
        <w:tc>
          <w:tcPr>
            <w:tcW w:w="21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报关单商品字段</w:t>
            </w:r>
          </w:p>
        </w:tc>
        <w:tc>
          <w:tcPr>
            <w:tcW w:w="31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取值来源</w:t>
            </w:r>
          </w:p>
        </w:tc>
        <w:tc>
          <w:tcPr>
            <w:tcW w:w="38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处理逻辑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商品编号 / HS code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Daily/商品主数据中的 HS Code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保留完整编码，不按数字截断。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商品名称及规格型号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Daily/商品主数据中的中文品名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以中文报关品名为准，不直接填英文 Description。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数量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明细 qty.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只取有效正数；空白、0、- 不填。合并时加总。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单位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固定规则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当前默认填“个”；如出现其他单位，应在配置表维护。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总价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明细 Amount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优先使用 Amount；若缺失，可按 qty × UP 补算并提示。合并时加总。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币制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明细 Currency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通过标准化表统一，例如 USD。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原产国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表头 Made in China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标准化为中国。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最终目的国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客户/收货地址推断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当前样例推断为意大利。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品牌/规格行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明细品牌；缺失时查商品主数据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品牌先标准化；车型不写入品牌行。</w:t>
            </w:r>
          </w:p>
        </w:tc>
      </w:tr>
      <w:tr>
        <w:tc>
          <w:tcPr>
            <w:tcW w:w="2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净重行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list 明细 N.W.(KG)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按料号匹配后取净重；合并时加总。</w:t>
            </w:r>
          </w:p>
        </w:tc>
      </w:tr>
      <w:tr>
        <w:tc>
          <w:tcPr>
            <w:tcW w:w="2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重量单位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固定规则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当前默认填“千克”。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r>
        <w:br w:type="pag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五、Invoice 与 Packing list 的匹配逻辑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核心匹配键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优先用 QAD PN / part_no 做精确匹配。也就是说，Invoice 中某个料号的数量和金额，去 Packing list 中找同一个料号的净重、毛重和箱数。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300"/>
        <w:gridCol w:w="2800"/>
        <w:gridCol w:w="3200"/>
        <w:gridCol w:w="1700"/>
      </w:tblGrid>
      <w:tr>
        <w:tc>
          <w:tcPr>
            <w:tcW w:w="13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优先级</w:t>
            </w:r>
          </w:p>
        </w:tc>
        <w:tc>
          <w:tcPr>
            <w:tcW w:w="28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匹配方式</w:t>
            </w:r>
          </w:p>
        </w:tc>
        <w:tc>
          <w:tcPr>
            <w:tcW w:w="32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说明</w:t>
            </w:r>
          </w:p>
        </w:tc>
        <w:tc>
          <w:tcPr>
            <w:tcW w:w="17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匹配不到时</w:t>
            </w:r>
          </w:p>
        </w:tc>
      </w:tr>
      <w:tr>
        <w:tc>
          <w:tcPr>
            <w:tcW w:w="1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1</w:t>
            </w:r>
          </w:p>
        </w:tc>
        <w:tc>
          <w:tcPr>
            <w:tcW w:w="2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Invoice.QAD PN = Packing.QAD PN</w:t>
            </w:r>
          </w:p>
        </w:tc>
        <w:tc>
          <w:tcPr>
            <w:tcW w:w="3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当前主规则，最稳定。</w:t>
            </w:r>
          </w:p>
        </w:tc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进入异常清单</w:t>
            </w:r>
          </w:p>
        </w:tc>
      </w:tr>
      <w:tr>
        <w:tc>
          <w:tcPr>
            <w:tcW w:w="1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2</w:t>
            </w:r>
          </w:p>
        </w:tc>
        <w:tc>
          <w:tcPr>
            <w:tcW w:w="2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不使用 IMOS P/N / IMOS PN</w:t>
            </w:r>
          </w:p>
        </w:tc>
        <w:tc>
          <w:tcPr>
            <w:tcW w:w="3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不作为匹配字段；即使源表存在也忽略。按 QAD PN 匹配不到则进入异常清单。</w:t>
            </w:r>
          </w:p>
        </w:tc>
        <w:tc>
          <w:tcPr>
            <w:tcW w:w="17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进入异常清单</w:t>
            </w:r>
          </w:p>
        </w:tc>
      </w:tr>
      <w:tr>
        <w:tc>
          <w:tcPr>
            <w:tcW w:w="1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3</w:t>
            </w:r>
          </w:p>
        </w:tc>
        <w:tc>
          <w:tcPr>
            <w:tcW w:w="2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商品主数据中的备用料号</w:t>
            </w:r>
          </w:p>
        </w:tc>
        <w:tc>
          <w:tcPr>
            <w:tcW w:w="3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用于处理旧料号/新料号变化。</w:t>
            </w:r>
          </w:p>
        </w:tc>
        <w:tc>
          <w:tcPr>
            <w:tcW w:w="17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进入异常清单，等待人工确认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注意：新增无关字段不会影响匹配。只要 QAD PN、qty.、Amount、N.W.(KG) 等必要字段仍能通过字段映射表识别，程序就可以继续处理。</w:t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六、有效商品筛选规则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800"/>
        <w:gridCol w:w="1300"/>
        <w:gridCol w:w="2500"/>
        <w:gridCol w:w="3400"/>
      </w:tblGrid>
      <w:tr>
        <w:tc>
          <w:tcPr>
            <w:tcW w:w="18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源字段</w:t>
            </w:r>
          </w:p>
        </w:tc>
        <w:tc>
          <w:tcPr>
            <w:tcW w:w="13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值</w:t>
            </w:r>
          </w:p>
        </w:tc>
        <w:tc>
          <w:tcPr>
            <w:tcW w:w="25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处理结果</w:t>
            </w:r>
          </w:p>
        </w:tc>
        <w:tc>
          <w:tcPr>
            <w:tcW w:w="34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原因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qty.</w:t>
            </w:r>
          </w:p>
        </w:tc>
        <w:tc>
          <w:tcPr>
            <w:tcW w:w="1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空白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不进入报关单</w:t>
            </w:r>
          </w:p>
        </w:tc>
        <w:tc>
          <w:tcPr>
            <w:tcW w:w="34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表示本月未销售/未出货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qty.</w:t>
            </w:r>
          </w:p>
        </w:tc>
        <w:tc>
          <w:tcPr>
            <w:tcW w:w="1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0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不进入报关单</w:t>
            </w:r>
          </w:p>
        </w:tc>
        <w:tc>
          <w:tcPr>
            <w:tcW w:w="34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无实际出货数量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qty.</w:t>
            </w:r>
          </w:p>
        </w:tc>
        <w:tc>
          <w:tcPr>
            <w:tcW w:w="1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-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不进入报关单</w:t>
            </w:r>
          </w:p>
        </w:tc>
        <w:tc>
          <w:tcPr>
            <w:tcW w:w="34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表示本月未销售/未出货</w:t>
            </w:r>
          </w:p>
        </w:tc>
      </w:tr>
      <w:tr>
        <w:tc>
          <w:tcPr>
            <w:tcW w:w="1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qty.</w:t>
            </w:r>
          </w:p>
        </w:tc>
        <w:tc>
          <w:tcPr>
            <w:tcW w:w="1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正数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进入报关单候选明细</w:t>
            </w:r>
          </w:p>
        </w:tc>
        <w:tc>
          <w:tcPr>
            <w:tcW w:w="34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有效销售/出货商品</w:t>
            </w:r>
          </w:p>
        </w:tc>
      </w:tr>
      <w:tr>
        <w:tc>
          <w:tcPr>
            <w:tcW w:w="1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Total 行</w:t>
            </w:r>
          </w:p>
        </w:tc>
        <w:tc>
          <w:tcPr>
            <w:tcW w:w="1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任何值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不作为商品明细</w:t>
            </w:r>
          </w:p>
        </w:tc>
        <w:tc>
          <w:tcPr>
            <w:tcW w:w="34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只用于合计校验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七、商品合并逻辑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当前确认规则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车型不作为申报要素。车型不同，但 HS code、中文品名、品牌等核心申报口径一致时，可以合并。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1900"/>
        <w:gridCol w:w="1500"/>
        <w:gridCol w:w="2500"/>
        <w:gridCol w:w="3100"/>
      </w:tblGrid>
      <w:tr>
        <w:tc>
          <w:tcPr>
            <w:tcW w:w="19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字段</w:t>
            </w:r>
          </w:p>
        </w:tc>
        <w:tc>
          <w:tcPr>
            <w:tcW w:w="15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是否参与合并</w:t>
            </w:r>
          </w:p>
        </w:tc>
        <w:tc>
          <w:tcPr>
            <w:tcW w:w="25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处理方式</w:t>
            </w:r>
          </w:p>
        </w:tc>
        <w:tc>
          <w:tcPr>
            <w:tcW w:w="31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备注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HS code</w:t>
            </w:r>
          </w:p>
        </w:tc>
        <w:tc>
          <w:tcPr>
            <w:tcW w:w="1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是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必须一致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核心条件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中文商品名称</w:t>
            </w:r>
          </w:p>
        </w:tc>
        <w:tc>
          <w:tcPr>
            <w:tcW w:w="1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是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必须一致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以中文品名为准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品牌</w:t>
            </w:r>
          </w:p>
        </w:tc>
        <w:tc>
          <w:tcPr>
            <w:tcW w:w="1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是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标准化后必须一致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例如 ford/FORD/Ford 先统一成 Ford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币制</w:t>
            </w:r>
          </w:p>
        </w:tc>
        <w:tc>
          <w:tcPr>
            <w:tcW w:w="1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是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必须一致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不同币制不应合并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最终目的国</w:t>
            </w:r>
          </w:p>
        </w:tc>
        <w:tc>
          <w:tcPr>
            <w:tcW w:w="1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是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必须一致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不同目的国不应合并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车型</w:t>
            </w:r>
          </w:p>
        </w:tc>
        <w:tc>
          <w:tcPr>
            <w:tcW w:w="1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否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忽略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已确认车型不作为申报要素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料号/QAD PN</w:t>
            </w:r>
          </w:p>
        </w:tc>
        <w:tc>
          <w:tcPr>
            <w:tcW w:w="1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否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忽略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只用于源表匹配，不决定最终合并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数量</w:t>
            </w:r>
          </w:p>
        </w:tc>
        <w:tc>
          <w:tcPr>
            <w:tcW w:w="1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否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加总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合并后求和</w:t>
            </w:r>
          </w:p>
        </w:tc>
      </w:tr>
      <w:tr>
        <w:tc>
          <w:tcPr>
            <w:tcW w:w="19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总价</w:t>
            </w:r>
          </w:p>
        </w:tc>
        <w:tc>
          <w:tcPr>
            <w:tcW w:w="1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否</w:t>
            </w:r>
          </w:p>
        </w:tc>
        <w:tc>
          <w:tcPr>
            <w:tcW w:w="2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加总</w:t>
            </w:r>
          </w:p>
        </w:tc>
        <w:tc>
          <w:tcPr>
            <w:tcW w:w="31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合并后求和</w:t>
            </w:r>
          </w:p>
        </w:tc>
      </w:tr>
      <w:tr>
        <w:tc>
          <w:tcPr>
            <w:tcW w:w="19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净重/毛重</w:t>
            </w:r>
          </w:p>
        </w:tc>
        <w:tc>
          <w:tcPr>
            <w:tcW w:w="1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否</w:t>
            </w:r>
          </w:p>
        </w:tc>
        <w:tc>
          <w:tcPr>
            <w:tcW w:w="2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加总</w:t>
            </w:r>
          </w:p>
        </w:tc>
        <w:tc>
          <w:tcPr>
            <w:tcW w:w="31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合并后求和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r>
        <w:br w:type="pag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八、当前样例的结果校验口径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3000"/>
        <w:gridCol w:w="3800"/>
      </w:tblGrid>
      <w:tr>
        <w:tc>
          <w:tcPr>
            <w:tcW w:w="22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校验项</w:t>
            </w:r>
          </w:p>
        </w:tc>
        <w:tc>
          <w:tcPr>
            <w:tcW w:w="30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当前样例应得到的结果</w:t>
            </w:r>
          </w:p>
        </w:tc>
        <w:tc>
          <w:tcPr>
            <w:tcW w:w="38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来源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有效商品行数</w:t>
            </w:r>
          </w:p>
        </w:tc>
        <w:tc>
          <w:tcPr>
            <w:tcW w:w="30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19 个有效料号，合并后 11 个报关商品项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Invoice/Packing 有效 qty. 行</w:t>
            </w:r>
          </w:p>
        </w:tc>
      </w:tr>
      <w:tr>
        <w:tc>
          <w:tcPr>
            <w:tcW w:w="2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数量合计</w:t>
            </w:r>
          </w:p>
        </w:tc>
        <w:tc>
          <w:tcPr>
            <w:tcW w:w="30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148,097 个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qty. 有效行合计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总价合计</w:t>
            </w:r>
          </w:p>
        </w:tc>
        <w:tc>
          <w:tcPr>
            <w:tcW w:w="30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413,972.72 USD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Amount 有效行合计</w:t>
            </w:r>
          </w:p>
        </w:tc>
      </w:tr>
      <w:tr>
        <w:tc>
          <w:tcPr>
            <w:tcW w:w="2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净重合计</w:t>
            </w:r>
          </w:p>
        </w:tc>
        <w:tc>
          <w:tcPr>
            <w:tcW w:w="30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4,644.71 KG</w:t>
            </w:r>
          </w:p>
        </w:tc>
        <w:tc>
          <w:tcPr>
            <w:tcW w:w="38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N.W.(KG) 有效行或 total 行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毛重合计</w:t>
            </w:r>
          </w:p>
        </w:tc>
        <w:tc>
          <w:tcPr>
            <w:tcW w:w="30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5,337.33 KG</w:t>
            </w:r>
          </w:p>
        </w:tc>
        <w:tc>
          <w:tcPr>
            <w:tcW w:w="38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Packing G.W.(KG) 有效行或 total 行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如果程序生成结果和这些校验数不一致，优先检查：是否误把 qty. 为空/0/- 的商品纳入、是否把 Total 行当成商品、是否料号匹配失败、是否合并规则被改动。</w:t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九、需要你重点确认的规则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境内发货人是否允许由英文公司名自动翻译，还是必须维护固定中文全称和代码。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包装种类是否应按 Packing list 翻译为“托盘”，还是业务固定填“再生木托”。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运输方式 Sea/SEA FCL/SEA LCL 是否都统一为“水路运输”。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成交方式是否严格按 Delivery Term 填 CPT，还是存在报关固定口径。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监管方式、征免性质、离境口岸、征免等源表没有的数据，是继续留空，还是需要配置固定默认值。</w:t>
      </w:r>
    </w:p>
    <w:p>
      <w:pPr>
        <w:numPr>
          <w:ilvl w:val="0"/>
          <w:numId w:val="1"/>
        </w:numPr>
        <w:spacing w:before="30" w:after="60" w:line="300" w:lineRule="auto"/>
      </w:pPr>
      <w:r>
        <w:rPr>
          <w:sz w:val="21"/>
          <w:szCs w:val="21"/>
          <w:rFonts w:ascii="Arial" w:hAnsi="Arial" w:eastAsia="Microsoft YaHei"/>
        </w:rPr>
        <w:t>HS code、中文品名、品牌是否从 Invoice 获取。当前最新逻辑：这些字段只从 Daily/商品主数据获取，Invoice 只提供料号和交易数据。</w:t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十、异常清单建议</w:t>
      </w:r>
    </w:p>
    <w:tbl>
      <w:tblPr>
        <w:tblStyle w:val="TableGrid"/>
        <w:tblW w:w="0" w:type="auto"/>
        <w:tblLook w:firstRow="1" w:lastRow="0" w:firstColumn="0" w:lastColumn="0" w:noHBand="0" w:noVBand="1"/>
      </w:tblPr>
      <w:tblGrid>
        <w:gridCol w:w="2200"/>
        <w:gridCol w:w="3500"/>
        <w:gridCol w:w="3300"/>
      </w:tblGrid>
      <w:tr>
        <w:tc>
          <w:tcPr>
            <w:tcW w:w="22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异常类型</w:t>
            </w:r>
          </w:p>
        </w:tc>
        <w:tc>
          <w:tcPr>
            <w:tcW w:w="35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触发条件</w:t>
            </w:r>
          </w:p>
        </w:tc>
        <w:tc>
          <w:tcPr>
            <w:tcW w:w="3300" w:type="dxa"/>
            <w:shd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b/>
                <w:color w:val="FFFFFF"/>
                <w:sz w:val="18"/>
                <w:szCs w:val="18"/>
                <w:rFonts w:ascii="Arial" w:hAnsi="Arial" w:eastAsia="Microsoft YaHei"/>
              </w:rPr>
              <w:t>建议提示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缺少必填字段</w:t>
            </w:r>
          </w:p>
        </w:tc>
        <w:tc>
          <w:tcPr>
            <w:tcW w:w="3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上传文件找不到 qty.、QAD PN、Amount 等必填字段</w:t>
            </w:r>
          </w:p>
        </w:tc>
        <w:tc>
          <w:tcPr>
            <w:tcW w:w="3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指出文件类型、缺失字段、可在字段映射表新增别名</w:t>
            </w:r>
          </w:p>
        </w:tc>
      </w:tr>
      <w:tr>
        <w:tc>
          <w:tcPr>
            <w:tcW w:w="2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Invoice/Packing 匹配不到</w:t>
            </w:r>
          </w:p>
        </w:tc>
        <w:tc>
          <w:tcPr>
            <w:tcW w:w="3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Invoice 有有效料号，但 Packing 找不到对应料号</w:t>
            </w:r>
          </w:p>
        </w:tc>
        <w:tc>
          <w:tcPr>
            <w:tcW w:w="3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列出料号，提示检查 QAD PN 或备用料号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商品主数据缺失</w:t>
            </w:r>
          </w:p>
        </w:tc>
        <w:tc>
          <w:tcPr>
            <w:tcW w:w="3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根据料号在 Daily/商品主数据中查不到 HS code、中文品名或品牌</w:t>
            </w:r>
          </w:p>
        </w:tc>
        <w:tc>
          <w:tcPr>
            <w:tcW w:w="3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列出料号，要求维护商品主数据</w:t>
            </w:r>
          </w:p>
        </w:tc>
      </w:tr>
      <w:tr>
        <w:tc>
          <w:tcPr>
            <w:tcW w:w="22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合计不一致</w:t>
            </w:r>
          </w:p>
        </w:tc>
        <w:tc>
          <w:tcPr>
            <w:tcW w:w="35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生成明细合计与源表有效行合计不一致</w:t>
            </w:r>
          </w:p>
        </w:tc>
        <w:tc>
          <w:tcPr>
            <w:tcW w:w="3300" w:type="dxa"/>
            <w:shd w:fill="F7FBFD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提示检查筛选、匹配、合并规则</w:t>
            </w:r>
          </w:p>
        </w:tc>
      </w:tr>
      <w:tr>
        <w:tc>
          <w:tcPr>
            <w:tcW w:w="22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值未标准化</w:t>
            </w:r>
          </w:p>
        </w:tc>
        <w:tc>
          <w:tcPr>
            <w:tcW w:w="35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品牌/国家/运输方式没有对应标准值</w:t>
            </w:r>
          </w:p>
        </w:tc>
        <w:tc>
          <w:tcPr>
            <w:tcW w:w="3300" w:type="dxa"/>
            <w:shd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>
            <w:pPr>
              <w:spacing w:before="0" w:after="0" w:line="260" w:lineRule="auto"/>
            </w:pPr>
            <w:r>
              <w:rPr>
                <w:color w:val="000000"/>
                <w:sz w:val="17"/>
                <w:szCs w:val="17"/>
                <w:rFonts w:ascii="Arial" w:hAnsi="Arial" w:eastAsia="Microsoft YaHei"/>
              </w:rPr>
              <w:t>保留原值并提示维护值标准化表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p>
      <w:pPr>
        <w:pStyle w:val="Heading1"/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>结论</w:t>
      </w:r>
    </w:p>
    <w:tbl>
      <w:tblPr>
        <w:tblW w:w="9000" w:type="dxa"/>
        <w:tblBorders>
          <w:top w:val="single" w:sz="8" w:color="5B9BD5"/>
          <w:left w:val="single" w:sz="8" w:color="5B9BD5"/>
          <w:bottom w:val="single" w:sz="8" w:color="5B9BD5"/>
          <w:right w:val="single" w:sz="8" w:color="5B9BD5"/>
        </w:tblBorders>
      </w:tblPr>
      <w:tblGrid>
        <w:gridCol w:w="9000"/>
      </w:tblGrid>
      <w:tr>
        <w:tc>
          <w:tcPr>
            <w:tcW w:w="9000" w:type="dxa"/>
            <w:shd w:fill="EAF4FB"/>
            <w:tcMar>
              <w:top w:w="150" w:type="dxa"/>
              <w:left w:w="180" w:type="dxa"/>
              <w:bottom w:w="150" w:type="dxa"/>
              <w:right w:w="180" w:type="dxa"/>
            </w:tcMar>
          </w:tcPr>
          <w:p>
            <w:pPr>
              <w:spacing w:before="0" w:after="40" w:line="300" w:lineRule="auto"/>
            </w:pPr>
            <w:r>
              <w:rPr>
                <w:b/>
                <w:color w:val="1F4E78"/>
                <w:sz w:val="22"/>
                <w:szCs w:val="22"/>
                <w:rFonts w:ascii="Arial" w:hAnsi="Arial" w:eastAsia="Microsoft YaHei"/>
              </w:rPr>
              <w:t xml:space="preserve">当前匹配逻辑总结</w:t>
            </w:r>
          </w:p>
          <w:p>
            <w:pPr>
              <w:spacing w:before="0" w:after="0" w:line="300" w:lineRule="auto"/>
            </w:pPr>
            <w:r>
              <w:rPr>
                <w:sz w:val="20"/>
                <w:szCs w:val="20"/>
                <w:rFonts w:ascii="Arial" w:hAnsi="Arial" w:eastAsia="Microsoft YaHei"/>
              </w:rPr>
              <w:t xml:space="preserve">当前逻辑是：Invoice 负责发票号、日期、客户、运输方式、成交方式、料号、数量、单价、总价和币制；Packing list 负责重量和包装；Daily/商品主数据是料号对应 HS code、中文品名、品牌的唯一来源；空白模板只提供格式；旧报关单不提供业务数值。商品按 HS code + 中文品名 + 品牌 + 币制 + 目的国 合并，车型不参与合并。</w:t>
            </w:r>
          </w:p>
        </w:tc>
      </w:tr>
    </w:tbl>
    <w:p>
      <w:pPr>
        <w:spacing w:before="100" w:after="100" w:line="300" w:lineRule="auto"/>
      </w:pPr>
      <w:r>
        <w:rPr>
          <w:sz w:val="22"/>
          <w:szCs w:val="22"/>
          <w:rFonts w:ascii="Arial" w:hAnsi="Arial" w:eastAsia="Microsoft YaHei"/>
        </w:rPr>
        <w:t xml:space="preserve"/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420" w:hanging="220"/>
      </w:pPr>
    </w:lvl>
  </w:abstractNum>
  <w:num w:numId="1">
    <w:abstractNumId w:val="0"/>
  </w:num>
  <w:abstractNum w:abstractNumId="1">
    <w:lvl w:ilvl="0">
      <w:start w:val="1"/>
      <w:numFmt w:val="decimal"/>
      <w:lvlText w:val="%1."/>
      <w:pPr>
        <w:ind w:left="500" w:hanging="260"/>
      </w:pPr>
    </w:lvl>
  </w:abstract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300" w:lineRule="auto"/>
    </w:pPr>
    <w:rPr>
      <w:rFonts w:ascii="Arial" w:hAnsi="Arial" w:eastAsia="Microsoft YaHei"/>
      <w:sz w:val="22"/>
      <w:szCs w:val="22"/>
    </w:rPr>
  </w:style>
  <w:style w:type="paragraph" w:styleId="Title">
    <w:name w:val="Title"/>
    <w:rPr>
      <w:rFonts w:ascii="Arial" w:hAnsi="Arial" w:eastAsia="Microsoft YaHei"/>
      <w:b/>
      <w:color w:val="1F4E78"/>
      <w:sz w:val="36"/>
      <w:szCs w:val="36"/>
    </w:rPr>
  </w:style>
  <w:style w:type="paragraph" w:styleId="Subtitle">
    <w:name w:val="Subtitle"/>
    <w:rPr>
      <w:rFonts w:ascii="Arial" w:hAnsi="Arial" w:eastAsia="Microsoft YaHei"/>
      <w:color w:val="666666"/>
      <w:sz w:val="24"/>
      <w:szCs w:val="24"/>
    </w:rPr>
  </w:style>
  <w:style w:type="paragraph" w:styleId="Heading1">
    <w:name w:val="heading 1"/>
    <w:basedOn w:val="Normal"/>
    <w:next w:val="Normal"/>
    <w:pPr>
      <w:keepNext/>
      <w:spacing w:before="340" w:after="150"/>
    </w:pPr>
    <w:rPr>
      <w:rFonts w:ascii="Arial" w:hAnsi="Arial" w:eastAsia="Microsoft YaHei"/>
      <w:b/>
      <w:color w:val="1F4E78"/>
      <w:sz w:val="28"/>
      <w:szCs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报关单生成取值逻辑说明</dc:title>
  <dc:creator>Codex</dc:creator>
  <cp:lastModifiedBy>Codex</cp:lastModifiedBy>
  <dcterms:created xsi:type="dcterms:W3CDTF">2026-06-03T16:40:07.837419Z</dcterms:created>
  <dcterms:modified xsi:type="dcterms:W3CDTF">2026-06-03T16:40:07.837419Z</dcterms:modified>
</cp:coreProperties>
</file>