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 w:line="300" w:lineRule="auto"/>
      </w:pPr>
      <w:r>
        <w:rPr>
          <w:color w:val="1F4E78"/>
          <w:sz w:val="36"/>
          <w:szCs w:val="36"/>
          <w:rFonts w:ascii="Arial" w:hAnsi="Arial" w:eastAsia="Microsoft YaHei"/>
        </w:rPr>
        <w:t xml:space="preserve">报关单生成取值逻辑说明</w:t>
      </w:r>
    </w:p>
    <w:p>
      <w:pPr>
        <w:pStyle w:val="Subtitle"/>
        <w:spacing w:before="100" w:after="260" w:line="300" w:lineRule="auto"/>
      </w:pPr>
      <w:r>
        <w:rPr>
          <w:color w:val="666666"/>
          <w:sz w:val="24"/>
          <w:szCs w:val="24"/>
          <w:rFonts w:ascii="Arial" w:hAnsi="Arial" w:eastAsia="Microsoft YaHei"/>
        </w:rPr>
        <w:t xml:space="preserve">用于检查当前应用的数据匹配和填写规则</w:t>
      </w:r>
    </w:p>
    <w:tbl>
      <w:tblPr>
        <w:tblW w:w="9000" w:type="dxa"/>
        <w:tblBorders>
          <w:top w:val="single" w:sz="8" w:color="5B9BD5"/>
          <w:left w:val="single" w:sz="8" w:color="5B9BD5"/>
          <w:bottom w:val="single" w:sz="8" w:color="5B9BD5"/>
          <w:right w:val="single" w:sz="8" w:color="5B9BD5"/>
        </w:tblBorders>
      </w:tblPr>
      <w:tblGrid>
        <w:gridCol w:w="9000"/>
      </w:tblGrid>
      <w:tr>
        <w:tc>
          <w:tcPr>
            <w:tcW w:w="9000" w:type="dxa"/>
            <w:shd w:fill="EAF4FB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before="0" w:after="40" w:line="300" w:lineRule="auto"/>
            </w:pPr>
            <w:r>
              <w:rPr>
                <w:b/>
                <w:color w:val="1F4E78"/>
                <w:sz w:val="22"/>
                <w:szCs w:val="22"/>
                <w:rFonts w:ascii="Arial" w:hAnsi="Arial" w:eastAsia="Microsoft YaHei"/>
              </w:rPr>
              <w:t xml:space="preserve">阅读目的</w:t>
            </w:r>
          </w:p>
          <w:p>
            <w:pPr>
              <w:spacing w:before="0" w:after="0" w:line="300" w:lineRule="auto"/>
            </w:pPr>
            <w:r>
              <w:rPr>
                <w:sz w:val="20"/>
                <w:szCs w:val="20"/>
                <w:rFonts w:ascii="Arial" w:hAnsi="Arial" w:eastAsia="Microsoft YaHei"/>
              </w:rPr>
              <w:t xml:space="preserve">这份文档只说明“生成报关单时数据从哪里来、怎么匹配、怎么合并、怎么填写”。你可以逐项检查：哪些规则正确、哪些需要改。</w:t>
            </w:r>
          </w:p>
        </w:tc>
      </w:tr>
    </w:tbl>
    <w:p>
      <w:pPr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/>
      </w:r>
    </w:p>
    <w:p>
      <w:pPr>
        <w:pStyle w:val="Heading1"/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>一、输入文件和角色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700"/>
        <w:gridCol w:w="5600"/>
        <w:gridCol w:w="1700"/>
      </w:tblGrid>
      <w:tr>
        <w:tc>
          <w:tcPr>
            <w:tcW w:w="17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文件/表</w:t>
            </w:r>
          </w:p>
        </w:tc>
        <w:tc>
          <w:tcPr>
            <w:tcW w:w="56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在流程中的作用</w:t>
            </w:r>
          </w:p>
        </w:tc>
        <w:tc>
          <w:tcPr>
            <w:tcW w:w="17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是否编辑源文件</w:t>
            </w:r>
          </w:p>
        </w:tc>
      </w:tr>
      <w:tr>
        <w:tc>
          <w:tcPr>
            <w:tcW w:w="17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</w:t>
            </w:r>
          </w:p>
        </w:tc>
        <w:tc>
          <w:tcPr>
            <w:tcW w:w="56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提供发票号、日期、客户、运输方式、成交方式、料号、数量、单价、总价、币制等交易数据；不作为 HS code、中文品名、品牌的来源。</w:t>
            </w:r>
          </w:p>
        </w:tc>
        <w:tc>
          <w:tcPr>
            <w:tcW w:w="17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不编辑，只读取</w:t>
            </w:r>
          </w:p>
        </w:tc>
      </w:tr>
      <w:tr>
        <w:tc>
          <w:tcPr>
            <w:tcW w:w="17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Packing list</w:t>
            </w:r>
          </w:p>
        </w:tc>
        <w:tc>
          <w:tcPr>
            <w:tcW w:w="56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提供装箱单号、包装/件数、每个料号的箱数、净重、毛重，以及总净重、总毛重。</w:t>
            </w:r>
          </w:p>
        </w:tc>
        <w:tc>
          <w:tcPr>
            <w:tcW w:w="17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不编辑，只读取</w:t>
            </w:r>
          </w:p>
        </w:tc>
      </w:tr>
      <w:tr>
        <w:tc>
          <w:tcPr>
            <w:tcW w:w="17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Daily/商品主数据</w:t>
            </w:r>
          </w:p>
        </w:tc>
        <w:tc>
          <w:tcPr>
            <w:tcW w:w="56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作为唯一对应关系查询表，用来确定料号对应的 HS code、中文品名、品牌等。</w:t>
            </w:r>
          </w:p>
        </w:tc>
        <w:tc>
          <w:tcPr>
            <w:tcW w:w="17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不编辑，只查询</w:t>
            </w:r>
          </w:p>
        </w:tc>
      </w:tr>
      <w:tr>
        <w:tc>
          <w:tcPr>
            <w:tcW w:w="17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报关单空白模板</w:t>
            </w:r>
          </w:p>
        </w:tc>
        <w:tc>
          <w:tcPr>
            <w:tcW w:w="56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只提供格式、行高、样式、合并单元格等。</w:t>
            </w:r>
          </w:p>
        </w:tc>
        <w:tc>
          <w:tcPr>
            <w:tcW w:w="17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不读取旧业务数值，只写入新结果</w:t>
            </w:r>
          </w:p>
        </w:tc>
      </w:tr>
    </w:tbl>
    <w:p>
      <w:pPr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/>
      </w:r>
    </w:p>
    <w:p>
      <w:pPr>
        <w:pStyle w:val="Heading1"/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>二、整体处理步骤</w:t>
      </w:r>
    </w:p>
    <w:p>
      <w:pPr>
        <w:numPr>
          <w:ilvl w:val="0"/>
          <w:numId w:val="2"/>
        </w:numPr>
        <w:spacing w:before="40" w:after="70" w:line="300" w:lineRule="auto"/>
      </w:pPr>
      <w:r>
        <w:rPr>
          <w:sz w:val="21"/>
          <w:szCs w:val="21"/>
          <w:rFonts w:ascii="Arial" w:hAnsi="Arial" w:eastAsia="Microsoft YaHei"/>
        </w:rPr>
        <w:t>识别上传文件：判断哪张是 Invoice，哪张是 Packing list。</w:t>
      </w:r>
    </w:p>
    <w:p>
      <w:pPr>
        <w:numPr>
          <w:ilvl w:val="0"/>
          <w:numId w:val="2"/>
        </w:numPr>
        <w:spacing w:before="40" w:after="70" w:line="300" w:lineRule="auto"/>
      </w:pPr>
      <w:r>
        <w:rPr>
          <w:sz w:val="21"/>
          <w:szCs w:val="21"/>
          <w:rFonts w:ascii="Arial" w:hAnsi="Arial" w:eastAsia="Microsoft YaHei"/>
        </w:rPr>
        <w:t>读取字段映射：把源表里的 QAD PN、qty.、Amount、N.W.(KG) 等字段转成系统标准字段。</w:t>
      </w:r>
    </w:p>
    <w:p>
      <w:pPr>
        <w:numPr>
          <w:ilvl w:val="0"/>
          <w:numId w:val="2"/>
        </w:numPr>
        <w:spacing w:before="40" w:after="70" w:line="300" w:lineRule="auto"/>
      </w:pPr>
      <w:r>
        <w:rPr>
          <w:sz w:val="21"/>
          <w:szCs w:val="21"/>
          <w:rFonts w:ascii="Arial" w:hAnsi="Arial" w:eastAsia="Microsoft YaHei"/>
        </w:rPr>
        <w:t>筛选有效商品：qty. 为空、0 或 - 的商品不进入报关单；Total 行不作为商品明细。</w:t>
      </w:r>
    </w:p>
    <w:p>
      <w:pPr>
        <w:numPr>
          <w:ilvl w:val="0"/>
          <w:numId w:val="2"/>
        </w:numPr>
        <w:spacing w:before="40" w:after="70" w:line="300" w:lineRule="auto"/>
      </w:pPr>
      <w:r>
        <w:rPr>
          <w:sz w:val="21"/>
          <w:szCs w:val="21"/>
          <w:rFonts w:ascii="Arial" w:hAnsi="Arial" w:eastAsia="Microsoft YaHei"/>
        </w:rPr>
        <w:t>按料号匹配：用 Invoice 的 QAD PN 和 Packing list 的 QAD PN 匹配同一商品。</w:t>
      </w:r>
    </w:p>
    <w:p>
      <w:pPr>
        <w:numPr>
          <w:ilvl w:val="0"/>
          <w:numId w:val="2"/>
        </w:numPr>
        <w:spacing w:before="40" w:after="70" w:line="300" w:lineRule="auto"/>
      </w:pPr>
      <w:r>
        <w:rPr>
          <w:sz w:val="21"/>
          <w:szCs w:val="21"/>
          <w:rFonts w:ascii="Arial" w:hAnsi="Arial" w:eastAsia="Microsoft YaHei"/>
        </w:rPr>
        <w:t>确定报关信息：根据 Invoice 的料号，到 Daily/商品主数据中查找对应的 HS code、中文品名、品牌；Invoice 不作为这些字段的来源。</w:t>
      </w:r>
    </w:p>
    <w:p>
      <w:pPr>
        <w:numPr>
          <w:ilvl w:val="0"/>
          <w:numId w:val="2"/>
        </w:numPr>
        <w:spacing w:before="40" w:after="70" w:line="300" w:lineRule="auto"/>
      </w:pPr>
      <w:r>
        <w:rPr>
          <w:sz w:val="21"/>
          <w:szCs w:val="21"/>
          <w:rFonts w:ascii="Arial" w:hAnsi="Arial" w:eastAsia="Microsoft YaHei"/>
        </w:rPr>
        <w:t>统一写法：品牌、运输方式、国家、成交方式、币制等按标准化规则统一。</w:t>
      </w:r>
    </w:p>
    <w:p>
      <w:pPr>
        <w:numPr>
          <w:ilvl w:val="0"/>
          <w:numId w:val="2"/>
        </w:numPr>
        <w:spacing w:before="40" w:after="70" w:line="300" w:lineRule="auto"/>
      </w:pPr>
      <w:r>
        <w:rPr>
          <w:sz w:val="21"/>
          <w:szCs w:val="21"/>
          <w:rFonts w:ascii="Arial" w:hAnsi="Arial" w:eastAsia="Microsoft YaHei"/>
        </w:rPr>
        <w:t>执行合并：按合并规则把可以合并的商品加总数量、金额、重量。</w:t>
      </w:r>
    </w:p>
    <w:p>
      <w:pPr>
        <w:numPr>
          <w:ilvl w:val="0"/>
          <w:numId w:val="2"/>
        </w:numPr>
        <w:spacing w:before="40" w:after="70" w:line="300" w:lineRule="auto"/>
      </w:pPr>
      <w:r>
        <w:rPr>
          <w:sz w:val="21"/>
          <w:szCs w:val="21"/>
          <w:rFonts w:ascii="Arial" w:hAnsi="Arial" w:eastAsia="Microsoft YaHei"/>
        </w:rPr>
        <w:t>填写报关单：按字段来源表把基础信息和商品明细写入空白模板。</w:t>
      </w:r>
    </w:p>
    <w:p>
      <w:pPr>
        <w:numPr>
          <w:ilvl w:val="0"/>
          <w:numId w:val="2"/>
        </w:numPr>
        <w:spacing w:before="40" w:after="70" w:line="300" w:lineRule="auto"/>
      </w:pPr>
      <w:r>
        <w:rPr>
          <w:sz w:val="21"/>
          <w:szCs w:val="21"/>
          <w:rFonts w:ascii="Arial" w:hAnsi="Arial" w:eastAsia="Microsoft YaHei"/>
        </w:rPr>
        <w:t>校验合计：核对数量、总价、净重、毛重是否与源表有效数据一致。</w:t>
      </w:r>
    </w:p>
    <w:p>
      <w:r>
        <w:br w:type="page"/>
      </w:r>
    </w:p>
    <w:p>
      <w:pPr>
        <w:pStyle w:val="Heading1"/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>三、基础信息取值逻辑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900"/>
        <w:gridCol w:w="2300"/>
        <w:gridCol w:w="3600"/>
        <w:gridCol w:w="1200"/>
      </w:tblGrid>
      <w:tr>
        <w:tc>
          <w:tcPr>
            <w:tcW w:w="19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报关单字段</w:t>
            </w:r>
          </w:p>
        </w:tc>
        <w:tc>
          <w:tcPr>
            <w:tcW w:w="23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取值来源</w:t>
            </w:r>
          </w:p>
        </w:tc>
        <w:tc>
          <w:tcPr>
            <w:tcW w:w="36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当前处理逻辑</w:t>
            </w:r>
          </w:p>
        </w:tc>
        <w:tc>
          <w:tcPr>
            <w:tcW w:w="12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取不到时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合同协议号</w:t>
            </w:r>
          </w:p>
        </w:tc>
        <w:tc>
          <w:tcPr>
            <w:tcW w:w="2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 表头 Serial No.</w:t>
            </w:r>
          </w:p>
        </w:tc>
        <w:tc>
          <w:tcPr>
            <w:tcW w:w="36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取 Serial No. 右侧值，例如 SP26000001。</w:t>
            </w:r>
          </w:p>
        </w:tc>
        <w:tc>
          <w:tcPr>
            <w:tcW w:w="1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留空</w:t>
            </w:r>
          </w:p>
        </w:tc>
      </w:tr>
      <w:tr>
        <w:tc>
          <w:tcPr>
            <w:tcW w:w="19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出口日期</w:t>
            </w:r>
          </w:p>
        </w:tc>
        <w:tc>
          <w:tcPr>
            <w:tcW w:w="23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 或 Packing 表头 pick up Date</w:t>
            </w:r>
          </w:p>
        </w:tc>
        <w:tc>
          <w:tcPr>
            <w:tcW w:w="36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取日期值；如果是 Excel 日期序列，可转为日期。</w:t>
            </w:r>
          </w:p>
        </w:tc>
        <w:tc>
          <w:tcPr>
            <w:tcW w:w="12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留空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境内发货人</w:t>
            </w:r>
          </w:p>
        </w:tc>
        <w:tc>
          <w:tcPr>
            <w:tcW w:w="2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 表头 CASCO Automotive(Suzhou)Co.,Ltd</w:t>
            </w:r>
          </w:p>
        </w:tc>
        <w:tc>
          <w:tcPr>
            <w:tcW w:w="36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可翻译为中文公司名；如果需要信用代码，必须配置固定值。</w:t>
            </w:r>
          </w:p>
        </w:tc>
        <w:tc>
          <w:tcPr>
            <w:tcW w:w="1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留空</w:t>
            </w:r>
          </w:p>
        </w:tc>
      </w:tr>
      <w:tr>
        <w:tc>
          <w:tcPr>
            <w:tcW w:w="19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境内发货人代码</w:t>
            </w:r>
          </w:p>
        </w:tc>
        <w:tc>
          <w:tcPr>
            <w:tcW w:w="23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源表无直接字段</w:t>
            </w:r>
          </w:p>
        </w:tc>
        <w:tc>
          <w:tcPr>
            <w:tcW w:w="36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当前不从旧模板取，源表没有就不填。</w:t>
            </w:r>
          </w:p>
        </w:tc>
        <w:tc>
          <w:tcPr>
            <w:tcW w:w="12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留空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境外收货人</w:t>
            </w:r>
          </w:p>
        </w:tc>
        <w:tc>
          <w:tcPr>
            <w:tcW w:w="2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Invoice/Packing 的 Bill to 或 Ship to</w:t>
            </w:r>
          </w:p>
        </w:tc>
        <w:tc>
          <w:tcPr>
            <w:tcW w:w="36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取公司名，例如 CASCO Imos Italia S.R.L.。</w:t>
            </w:r>
          </w:p>
        </w:tc>
        <w:tc>
          <w:tcPr>
            <w:tcW w:w="1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留空</w:t>
            </w:r>
          </w:p>
        </w:tc>
      </w:tr>
      <w:tr>
        <w:tc>
          <w:tcPr>
            <w:tcW w:w="19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运输方式</w:t>
            </w:r>
          </w:p>
        </w:tc>
        <w:tc>
          <w:tcPr>
            <w:tcW w:w="23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Delivery way</w:t>
            </w:r>
          </w:p>
        </w:tc>
        <w:tc>
          <w:tcPr>
            <w:tcW w:w="36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Sea/sea/SEA FCL 等通过标准化表转为水路运输。</w:t>
            </w:r>
          </w:p>
        </w:tc>
        <w:tc>
          <w:tcPr>
            <w:tcW w:w="12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留空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成交方式</w:t>
            </w:r>
          </w:p>
        </w:tc>
        <w:tc>
          <w:tcPr>
            <w:tcW w:w="2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Delivery Term</w:t>
            </w:r>
          </w:p>
        </w:tc>
        <w:tc>
          <w:tcPr>
            <w:tcW w:w="36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CPT Condove Warehouse 截取为 CPT。</w:t>
            </w:r>
          </w:p>
        </w:tc>
        <w:tc>
          <w:tcPr>
            <w:tcW w:w="1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留空</w:t>
            </w:r>
          </w:p>
        </w:tc>
      </w:tr>
      <w:tr>
        <w:tc>
          <w:tcPr>
            <w:tcW w:w="19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贸易国/运抵国/最终目的国</w:t>
            </w:r>
          </w:p>
        </w:tc>
        <w:tc>
          <w:tcPr>
            <w:tcW w:w="23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客户名称或收货地址</w:t>
            </w:r>
          </w:p>
        </w:tc>
        <w:tc>
          <w:tcPr>
            <w:tcW w:w="36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根据 CASCO Imos Italia / CONDOVE 推断为意大利。</w:t>
            </w:r>
          </w:p>
        </w:tc>
        <w:tc>
          <w:tcPr>
            <w:tcW w:w="12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留空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包装种类</w:t>
            </w:r>
          </w:p>
        </w:tc>
        <w:tc>
          <w:tcPr>
            <w:tcW w:w="2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Packing list 中 Pallet Item/包装信息</w:t>
            </w:r>
          </w:p>
        </w:tc>
        <w:tc>
          <w:tcPr>
            <w:tcW w:w="36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当前可翻译为托盘；如果客户要求固定为再生木托，需要配置固定值。</w:t>
            </w:r>
          </w:p>
        </w:tc>
        <w:tc>
          <w:tcPr>
            <w:tcW w:w="1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留空</w:t>
            </w:r>
          </w:p>
        </w:tc>
      </w:tr>
      <w:tr>
        <w:tc>
          <w:tcPr>
            <w:tcW w:w="19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件数</w:t>
            </w:r>
          </w:p>
        </w:tc>
        <w:tc>
          <w:tcPr>
            <w:tcW w:w="23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Packing list total 行或明细汇总</w:t>
            </w:r>
          </w:p>
        </w:tc>
        <w:tc>
          <w:tcPr>
            <w:tcW w:w="36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优先取 Packing total 行的件数/托盘数。</w:t>
            </w:r>
          </w:p>
        </w:tc>
        <w:tc>
          <w:tcPr>
            <w:tcW w:w="12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留空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毛重</w:t>
            </w:r>
          </w:p>
        </w:tc>
        <w:tc>
          <w:tcPr>
            <w:tcW w:w="2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Packing list G.W.(KG)</w:t>
            </w:r>
          </w:p>
        </w:tc>
        <w:tc>
          <w:tcPr>
            <w:tcW w:w="36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优先取 total 行；没有 total 行则汇总有效商品毛重。</w:t>
            </w:r>
          </w:p>
        </w:tc>
        <w:tc>
          <w:tcPr>
            <w:tcW w:w="1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留空</w:t>
            </w:r>
          </w:p>
        </w:tc>
      </w:tr>
      <w:tr>
        <w:tc>
          <w:tcPr>
            <w:tcW w:w="19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净重</w:t>
            </w:r>
          </w:p>
        </w:tc>
        <w:tc>
          <w:tcPr>
            <w:tcW w:w="23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Packing list N.W.(KG)</w:t>
            </w:r>
          </w:p>
        </w:tc>
        <w:tc>
          <w:tcPr>
            <w:tcW w:w="36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优先取 total 行；没有 total 行则汇总有效商品净重。</w:t>
            </w:r>
          </w:p>
        </w:tc>
        <w:tc>
          <w:tcPr>
            <w:tcW w:w="12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留空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监管方式、征免性质、离境口岸、运费、保费、杂费、征免</w:t>
            </w:r>
          </w:p>
        </w:tc>
        <w:tc>
          <w:tcPr>
            <w:tcW w:w="2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源表无直接字段</w:t>
            </w:r>
          </w:p>
        </w:tc>
        <w:tc>
          <w:tcPr>
            <w:tcW w:w="36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当前不从旧报关单取；除非配置表明确设置固定默认值。</w:t>
            </w:r>
          </w:p>
        </w:tc>
        <w:tc>
          <w:tcPr>
            <w:tcW w:w="1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留空</w:t>
            </w:r>
          </w:p>
        </w:tc>
      </w:tr>
    </w:tbl>
    <w:p>
      <w:pPr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/>
      </w:r>
    </w:p>
    <w:p>
      <w:pPr>
        <w:pStyle w:val="Heading1"/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>四、商品明细取值逻辑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2100"/>
        <w:gridCol w:w="3100"/>
        <w:gridCol w:w="3800"/>
      </w:tblGrid>
      <w:tr>
        <w:tc>
          <w:tcPr>
            <w:tcW w:w="21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报关单商品字段</w:t>
            </w:r>
          </w:p>
        </w:tc>
        <w:tc>
          <w:tcPr>
            <w:tcW w:w="31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取值来源</w:t>
            </w:r>
          </w:p>
        </w:tc>
        <w:tc>
          <w:tcPr>
            <w:tcW w:w="38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处理逻辑</w:t>
            </w:r>
          </w:p>
        </w:tc>
      </w:tr>
      <w:tr>
        <w:tc>
          <w:tcPr>
            <w:tcW w:w="2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商品编号 / HS code</w:t>
            </w:r>
          </w:p>
        </w:tc>
        <w:tc>
          <w:tcPr>
            <w:tcW w:w="3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Daily/商品主数据中的 HS Code</w:t>
            </w:r>
          </w:p>
        </w:tc>
        <w:tc>
          <w:tcPr>
            <w:tcW w:w="38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保留完整编码，不按数字截断。</w:t>
            </w:r>
          </w:p>
        </w:tc>
      </w:tr>
      <w:tr>
        <w:tc>
          <w:tcPr>
            <w:tcW w:w="2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商品名称及规格型号</w:t>
            </w:r>
          </w:p>
        </w:tc>
        <w:tc>
          <w:tcPr>
            <w:tcW w:w="3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Daily/商品主数据中的中文品名</w:t>
            </w:r>
          </w:p>
        </w:tc>
        <w:tc>
          <w:tcPr>
            <w:tcW w:w="38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以中文报关品名为准，不直接填英文 Description。</w:t>
            </w:r>
          </w:p>
        </w:tc>
      </w:tr>
      <w:tr>
        <w:tc>
          <w:tcPr>
            <w:tcW w:w="2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数量</w:t>
            </w:r>
          </w:p>
        </w:tc>
        <w:tc>
          <w:tcPr>
            <w:tcW w:w="3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 明细 qty.</w:t>
            </w:r>
          </w:p>
        </w:tc>
        <w:tc>
          <w:tcPr>
            <w:tcW w:w="38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只取有效正数；空白、0、- 不填。合并时加总。</w:t>
            </w:r>
          </w:p>
        </w:tc>
      </w:tr>
      <w:tr>
        <w:tc>
          <w:tcPr>
            <w:tcW w:w="2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单位</w:t>
            </w:r>
          </w:p>
        </w:tc>
        <w:tc>
          <w:tcPr>
            <w:tcW w:w="3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固定规则</w:t>
            </w:r>
          </w:p>
        </w:tc>
        <w:tc>
          <w:tcPr>
            <w:tcW w:w="38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当前默认填“个”；如出现其他单位，应在配置表维护。</w:t>
            </w:r>
          </w:p>
        </w:tc>
      </w:tr>
      <w:tr>
        <w:tc>
          <w:tcPr>
            <w:tcW w:w="2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总价</w:t>
            </w:r>
          </w:p>
        </w:tc>
        <w:tc>
          <w:tcPr>
            <w:tcW w:w="3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 明细 Amount</w:t>
            </w:r>
          </w:p>
        </w:tc>
        <w:tc>
          <w:tcPr>
            <w:tcW w:w="38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优先使用 Amount；若缺失，可按 qty × UP 补算并提示。合并时加总。</w:t>
            </w:r>
          </w:p>
        </w:tc>
      </w:tr>
      <w:tr>
        <w:tc>
          <w:tcPr>
            <w:tcW w:w="2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币制</w:t>
            </w:r>
          </w:p>
        </w:tc>
        <w:tc>
          <w:tcPr>
            <w:tcW w:w="3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 明细 Currency</w:t>
            </w:r>
          </w:p>
        </w:tc>
        <w:tc>
          <w:tcPr>
            <w:tcW w:w="38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通过标准化表统一，例如 USD。</w:t>
            </w:r>
          </w:p>
        </w:tc>
      </w:tr>
      <w:tr>
        <w:tc>
          <w:tcPr>
            <w:tcW w:w="2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原产国</w:t>
            </w:r>
          </w:p>
        </w:tc>
        <w:tc>
          <w:tcPr>
            <w:tcW w:w="3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 表头 Made in China</w:t>
            </w:r>
          </w:p>
        </w:tc>
        <w:tc>
          <w:tcPr>
            <w:tcW w:w="38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标准化为中国。</w:t>
            </w:r>
          </w:p>
        </w:tc>
      </w:tr>
      <w:tr>
        <w:tc>
          <w:tcPr>
            <w:tcW w:w="2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最终目的国</w:t>
            </w:r>
          </w:p>
        </w:tc>
        <w:tc>
          <w:tcPr>
            <w:tcW w:w="3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客户/收货地址推断</w:t>
            </w:r>
          </w:p>
        </w:tc>
        <w:tc>
          <w:tcPr>
            <w:tcW w:w="38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当前样例推断为意大利。</w:t>
            </w:r>
          </w:p>
        </w:tc>
      </w:tr>
      <w:tr>
        <w:tc>
          <w:tcPr>
            <w:tcW w:w="2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品牌/规格行</w:t>
            </w:r>
          </w:p>
        </w:tc>
        <w:tc>
          <w:tcPr>
            <w:tcW w:w="3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 明细品牌；缺失时查商品主数据</w:t>
            </w:r>
          </w:p>
        </w:tc>
        <w:tc>
          <w:tcPr>
            <w:tcW w:w="38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品牌先标准化；车型不写入品牌行。</w:t>
            </w:r>
          </w:p>
        </w:tc>
      </w:tr>
      <w:tr>
        <w:tc>
          <w:tcPr>
            <w:tcW w:w="2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净重行</w:t>
            </w:r>
          </w:p>
        </w:tc>
        <w:tc>
          <w:tcPr>
            <w:tcW w:w="3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Packing list 明细 N.W.(KG)</w:t>
            </w:r>
          </w:p>
        </w:tc>
        <w:tc>
          <w:tcPr>
            <w:tcW w:w="38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按料号匹配后取净重；合并时加总。</w:t>
            </w:r>
          </w:p>
        </w:tc>
      </w:tr>
      <w:tr>
        <w:tc>
          <w:tcPr>
            <w:tcW w:w="2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重量单位</w:t>
            </w:r>
          </w:p>
        </w:tc>
        <w:tc>
          <w:tcPr>
            <w:tcW w:w="3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固定规则</w:t>
            </w:r>
          </w:p>
        </w:tc>
        <w:tc>
          <w:tcPr>
            <w:tcW w:w="38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当前默认填“千克”。</w:t>
            </w:r>
          </w:p>
        </w:tc>
      </w:tr>
    </w:tbl>
    <w:p>
      <w:pPr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/>
      </w:r>
    </w:p>
    <w:p>
      <w:r>
        <w:br w:type="page"/>
      </w:r>
    </w:p>
    <w:p>
      <w:pPr>
        <w:pStyle w:val="Heading1"/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>五、Invoice 与 Packing list 的匹配逻辑</w:t>
      </w:r>
    </w:p>
    <w:tbl>
      <w:tblPr>
        <w:tblW w:w="9000" w:type="dxa"/>
        <w:tblBorders>
          <w:top w:val="single" w:sz="8" w:color="5B9BD5"/>
          <w:left w:val="single" w:sz="8" w:color="5B9BD5"/>
          <w:bottom w:val="single" w:sz="8" w:color="5B9BD5"/>
          <w:right w:val="single" w:sz="8" w:color="5B9BD5"/>
        </w:tblBorders>
      </w:tblPr>
      <w:tblGrid>
        <w:gridCol w:w="9000"/>
      </w:tblGrid>
      <w:tr>
        <w:tc>
          <w:tcPr>
            <w:tcW w:w="9000" w:type="dxa"/>
            <w:shd w:fill="EAF4FB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before="0" w:after="40" w:line="300" w:lineRule="auto"/>
            </w:pPr>
            <w:r>
              <w:rPr>
                <w:b/>
                <w:color w:val="1F4E78"/>
                <w:sz w:val="22"/>
                <w:szCs w:val="22"/>
                <w:rFonts w:ascii="Arial" w:hAnsi="Arial" w:eastAsia="Microsoft YaHei"/>
              </w:rPr>
              <w:t xml:space="preserve">核心匹配键</w:t>
            </w:r>
          </w:p>
          <w:p>
            <w:pPr>
              <w:spacing w:before="0" w:after="0" w:line="300" w:lineRule="auto"/>
            </w:pPr>
            <w:r>
              <w:rPr>
                <w:sz w:val="20"/>
                <w:szCs w:val="20"/>
                <w:rFonts w:ascii="Arial" w:hAnsi="Arial" w:eastAsia="Microsoft YaHei"/>
              </w:rPr>
              <w:t xml:space="preserve">优先用 QAD PN / part_no 做精确匹配。也就是说，Invoice 中某个料号的数量和金额，去 Packing list 中找同一个料号的净重、毛重和箱数。</w:t>
            </w:r>
          </w:p>
        </w:tc>
      </w:tr>
    </w:tbl>
    <w:p>
      <w:pPr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/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300"/>
        <w:gridCol w:w="2800"/>
        <w:gridCol w:w="3200"/>
        <w:gridCol w:w="1700"/>
      </w:tblGrid>
      <w:tr>
        <w:tc>
          <w:tcPr>
            <w:tcW w:w="13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优先级</w:t>
            </w:r>
          </w:p>
        </w:tc>
        <w:tc>
          <w:tcPr>
            <w:tcW w:w="28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匹配方式</w:t>
            </w:r>
          </w:p>
        </w:tc>
        <w:tc>
          <w:tcPr>
            <w:tcW w:w="32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说明</w:t>
            </w:r>
          </w:p>
        </w:tc>
        <w:tc>
          <w:tcPr>
            <w:tcW w:w="17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匹配不到时</w:t>
            </w:r>
          </w:p>
        </w:tc>
      </w:tr>
      <w:tr>
        <w:tc>
          <w:tcPr>
            <w:tcW w:w="1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1</w:t>
            </w:r>
          </w:p>
        </w:tc>
        <w:tc>
          <w:tcPr>
            <w:tcW w:w="28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Invoice.QAD PN = Packing.QAD PN</w:t>
            </w:r>
          </w:p>
        </w:tc>
        <w:tc>
          <w:tcPr>
            <w:tcW w:w="3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当前主规则，最稳定。</w:t>
            </w:r>
          </w:p>
        </w:tc>
        <w:tc>
          <w:tcPr>
            <w:tcW w:w="17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进入异常清单</w:t>
            </w:r>
          </w:p>
        </w:tc>
      </w:tr>
      <w:tr>
        <w:tc>
          <w:tcPr>
            <w:tcW w:w="13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2</w:t>
            </w:r>
          </w:p>
        </w:tc>
        <w:tc>
          <w:tcPr>
            <w:tcW w:w="28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Invoice.IMOS P/N = Packing.IMOS PN</w:t>
            </w:r>
          </w:p>
        </w:tc>
        <w:tc>
          <w:tcPr>
            <w:tcW w:w="32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备用规则，只在 QAD PN 缺失或不一致时使用。</w:t>
            </w:r>
          </w:p>
        </w:tc>
        <w:tc>
          <w:tcPr>
            <w:tcW w:w="17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进入异常清单</w:t>
            </w:r>
          </w:p>
        </w:tc>
      </w:tr>
      <w:tr>
        <w:tc>
          <w:tcPr>
            <w:tcW w:w="1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3</w:t>
            </w:r>
          </w:p>
        </w:tc>
        <w:tc>
          <w:tcPr>
            <w:tcW w:w="28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商品主数据中的备用料号</w:t>
            </w:r>
          </w:p>
        </w:tc>
        <w:tc>
          <w:tcPr>
            <w:tcW w:w="3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用于处理旧料号/新料号变化。</w:t>
            </w:r>
          </w:p>
        </w:tc>
        <w:tc>
          <w:tcPr>
            <w:tcW w:w="17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进入异常清单，等待人工确认</w:t>
            </w:r>
          </w:p>
        </w:tc>
      </w:tr>
    </w:tbl>
    <w:p>
      <w:pPr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/>
      </w:r>
    </w:p>
    <w:p>
      <w:pPr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>注意：新增无关字段不会影响匹配。只要 QAD PN、qty.、Amount、N.W.(KG) 等必要字段仍能通过字段映射表识别，程序就可以继续处理。</w:t>
      </w:r>
    </w:p>
    <w:p>
      <w:pPr>
        <w:pStyle w:val="Heading1"/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>六、有效商品筛选规则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800"/>
        <w:gridCol w:w="1300"/>
        <w:gridCol w:w="2500"/>
        <w:gridCol w:w="3400"/>
      </w:tblGrid>
      <w:tr>
        <w:tc>
          <w:tcPr>
            <w:tcW w:w="18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源字段</w:t>
            </w:r>
          </w:p>
        </w:tc>
        <w:tc>
          <w:tcPr>
            <w:tcW w:w="13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值</w:t>
            </w:r>
          </w:p>
        </w:tc>
        <w:tc>
          <w:tcPr>
            <w:tcW w:w="25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处理结果</w:t>
            </w:r>
          </w:p>
        </w:tc>
        <w:tc>
          <w:tcPr>
            <w:tcW w:w="34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原因</w:t>
            </w:r>
          </w:p>
        </w:tc>
      </w:tr>
      <w:tr>
        <w:tc>
          <w:tcPr>
            <w:tcW w:w="18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qty.</w:t>
            </w:r>
          </w:p>
        </w:tc>
        <w:tc>
          <w:tcPr>
            <w:tcW w:w="1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空白</w:t>
            </w:r>
          </w:p>
        </w:tc>
        <w:tc>
          <w:tcPr>
            <w:tcW w:w="2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不进入报关单</w:t>
            </w:r>
          </w:p>
        </w:tc>
        <w:tc>
          <w:tcPr>
            <w:tcW w:w="34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表示本月未销售/未出货</w:t>
            </w:r>
          </w:p>
        </w:tc>
      </w:tr>
      <w:tr>
        <w:tc>
          <w:tcPr>
            <w:tcW w:w="18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qty.</w:t>
            </w:r>
          </w:p>
        </w:tc>
        <w:tc>
          <w:tcPr>
            <w:tcW w:w="13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0</w:t>
            </w:r>
          </w:p>
        </w:tc>
        <w:tc>
          <w:tcPr>
            <w:tcW w:w="25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不进入报关单</w:t>
            </w:r>
          </w:p>
        </w:tc>
        <w:tc>
          <w:tcPr>
            <w:tcW w:w="34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无实际出货数量</w:t>
            </w:r>
          </w:p>
        </w:tc>
      </w:tr>
      <w:tr>
        <w:tc>
          <w:tcPr>
            <w:tcW w:w="18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qty.</w:t>
            </w:r>
          </w:p>
        </w:tc>
        <w:tc>
          <w:tcPr>
            <w:tcW w:w="1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-</w:t>
            </w:r>
          </w:p>
        </w:tc>
        <w:tc>
          <w:tcPr>
            <w:tcW w:w="2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不进入报关单</w:t>
            </w:r>
          </w:p>
        </w:tc>
        <w:tc>
          <w:tcPr>
            <w:tcW w:w="34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表示本月未销售/未出货</w:t>
            </w:r>
          </w:p>
        </w:tc>
      </w:tr>
      <w:tr>
        <w:tc>
          <w:tcPr>
            <w:tcW w:w="18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qty.</w:t>
            </w:r>
          </w:p>
        </w:tc>
        <w:tc>
          <w:tcPr>
            <w:tcW w:w="13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正数</w:t>
            </w:r>
          </w:p>
        </w:tc>
        <w:tc>
          <w:tcPr>
            <w:tcW w:w="25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进入报关单候选明细</w:t>
            </w:r>
          </w:p>
        </w:tc>
        <w:tc>
          <w:tcPr>
            <w:tcW w:w="34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有效销售/出货商品</w:t>
            </w:r>
          </w:p>
        </w:tc>
      </w:tr>
      <w:tr>
        <w:tc>
          <w:tcPr>
            <w:tcW w:w="18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Total 行</w:t>
            </w:r>
          </w:p>
        </w:tc>
        <w:tc>
          <w:tcPr>
            <w:tcW w:w="1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任何值</w:t>
            </w:r>
          </w:p>
        </w:tc>
        <w:tc>
          <w:tcPr>
            <w:tcW w:w="2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不作为商品明细</w:t>
            </w:r>
          </w:p>
        </w:tc>
        <w:tc>
          <w:tcPr>
            <w:tcW w:w="34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只用于合计校验</w:t>
            </w:r>
          </w:p>
        </w:tc>
      </w:tr>
    </w:tbl>
    <w:p>
      <w:pPr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/>
      </w:r>
    </w:p>
    <w:p>
      <w:pPr>
        <w:pStyle w:val="Heading1"/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>七、商品合并逻辑</w:t>
      </w:r>
    </w:p>
    <w:tbl>
      <w:tblPr>
        <w:tblW w:w="9000" w:type="dxa"/>
        <w:tblBorders>
          <w:top w:val="single" w:sz="8" w:color="5B9BD5"/>
          <w:left w:val="single" w:sz="8" w:color="5B9BD5"/>
          <w:bottom w:val="single" w:sz="8" w:color="5B9BD5"/>
          <w:right w:val="single" w:sz="8" w:color="5B9BD5"/>
        </w:tblBorders>
      </w:tblPr>
      <w:tblGrid>
        <w:gridCol w:w="9000"/>
      </w:tblGrid>
      <w:tr>
        <w:tc>
          <w:tcPr>
            <w:tcW w:w="9000" w:type="dxa"/>
            <w:shd w:fill="EAF4FB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before="0" w:after="40" w:line="300" w:lineRule="auto"/>
            </w:pPr>
            <w:r>
              <w:rPr>
                <w:b/>
                <w:color w:val="1F4E78"/>
                <w:sz w:val="22"/>
                <w:szCs w:val="22"/>
                <w:rFonts w:ascii="Arial" w:hAnsi="Arial" w:eastAsia="Microsoft YaHei"/>
              </w:rPr>
              <w:t xml:space="preserve">当前确认规则</w:t>
            </w:r>
          </w:p>
          <w:p>
            <w:pPr>
              <w:spacing w:before="0" w:after="0" w:line="300" w:lineRule="auto"/>
            </w:pPr>
            <w:r>
              <w:rPr>
                <w:sz w:val="20"/>
                <w:szCs w:val="20"/>
                <w:rFonts w:ascii="Arial" w:hAnsi="Arial" w:eastAsia="Microsoft YaHei"/>
              </w:rPr>
              <w:t xml:space="preserve">车型不作为申报要素。车型不同，但 HS code、中文品名、品牌等核心申报口径一致时，可以合并。</w:t>
            </w:r>
          </w:p>
        </w:tc>
      </w:tr>
    </w:tbl>
    <w:p>
      <w:pPr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/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900"/>
        <w:gridCol w:w="1500"/>
        <w:gridCol w:w="2500"/>
        <w:gridCol w:w="3100"/>
      </w:tblGrid>
      <w:tr>
        <w:tc>
          <w:tcPr>
            <w:tcW w:w="19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字段</w:t>
            </w:r>
          </w:p>
        </w:tc>
        <w:tc>
          <w:tcPr>
            <w:tcW w:w="15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是否参与合并</w:t>
            </w:r>
          </w:p>
        </w:tc>
        <w:tc>
          <w:tcPr>
            <w:tcW w:w="25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处理方式</w:t>
            </w:r>
          </w:p>
        </w:tc>
        <w:tc>
          <w:tcPr>
            <w:tcW w:w="31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备注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HS code</w:t>
            </w:r>
          </w:p>
        </w:tc>
        <w:tc>
          <w:tcPr>
            <w:tcW w:w="1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是</w:t>
            </w:r>
          </w:p>
        </w:tc>
        <w:tc>
          <w:tcPr>
            <w:tcW w:w="2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必须一致</w:t>
            </w:r>
          </w:p>
        </w:tc>
        <w:tc>
          <w:tcPr>
            <w:tcW w:w="3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核心条件</w:t>
            </w:r>
          </w:p>
        </w:tc>
      </w:tr>
      <w:tr>
        <w:tc>
          <w:tcPr>
            <w:tcW w:w="19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中文商品名称</w:t>
            </w:r>
          </w:p>
        </w:tc>
        <w:tc>
          <w:tcPr>
            <w:tcW w:w="15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是</w:t>
            </w:r>
          </w:p>
        </w:tc>
        <w:tc>
          <w:tcPr>
            <w:tcW w:w="25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必须一致</w:t>
            </w:r>
          </w:p>
        </w:tc>
        <w:tc>
          <w:tcPr>
            <w:tcW w:w="3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以中文品名为准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品牌</w:t>
            </w:r>
          </w:p>
        </w:tc>
        <w:tc>
          <w:tcPr>
            <w:tcW w:w="1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是</w:t>
            </w:r>
          </w:p>
        </w:tc>
        <w:tc>
          <w:tcPr>
            <w:tcW w:w="2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标准化后必须一致</w:t>
            </w:r>
          </w:p>
        </w:tc>
        <w:tc>
          <w:tcPr>
            <w:tcW w:w="3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例如 ford/FORD/Ford 先统一成 Ford</w:t>
            </w:r>
          </w:p>
        </w:tc>
      </w:tr>
      <w:tr>
        <w:tc>
          <w:tcPr>
            <w:tcW w:w="19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币制</w:t>
            </w:r>
          </w:p>
        </w:tc>
        <w:tc>
          <w:tcPr>
            <w:tcW w:w="15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是</w:t>
            </w:r>
          </w:p>
        </w:tc>
        <w:tc>
          <w:tcPr>
            <w:tcW w:w="25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必须一致</w:t>
            </w:r>
          </w:p>
        </w:tc>
        <w:tc>
          <w:tcPr>
            <w:tcW w:w="3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不同币制不应合并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最终目的国</w:t>
            </w:r>
          </w:p>
        </w:tc>
        <w:tc>
          <w:tcPr>
            <w:tcW w:w="1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是</w:t>
            </w:r>
          </w:p>
        </w:tc>
        <w:tc>
          <w:tcPr>
            <w:tcW w:w="2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必须一致</w:t>
            </w:r>
          </w:p>
        </w:tc>
        <w:tc>
          <w:tcPr>
            <w:tcW w:w="3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不同目的国不应合并</w:t>
            </w:r>
          </w:p>
        </w:tc>
      </w:tr>
      <w:tr>
        <w:tc>
          <w:tcPr>
            <w:tcW w:w="19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车型</w:t>
            </w:r>
          </w:p>
        </w:tc>
        <w:tc>
          <w:tcPr>
            <w:tcW w:w="15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否</w:t>
            </w:r>
          </w:p>
        </w:tc>
        <w:tc>
          <w:tcPr>
            <w:tcW w:w="25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忽略</w:t>
            </w:r>
          </w:p>
        </w:tc>
        <w:tc>
          <w:tcPr>
            <w:tcW w:w="3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已确认车型不作为申报要素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料号/QAD PN</w:t>
            </w:r>
          </w:p>
        </w:tc>
        <w:tc>
          <w:tcPr>
            <w:tcW w:w="1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否</w:t>
            </w:r>
          </w:p>
        </w:tc>
        <w:tc>
          <w:tcPr>
            <w:tcW w:w="2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忽略</w:t>
            </w:r>
          </w:p>
        </w:tc>
        <w:tc>
          <w:tcPr>
            <w:tcW w:w="3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只用于源表匹配，不决定最终合并</w:t>
            </w:r>
          </w:p>
        </w:tc>
      </w:tr>
      <w:tr>
        <w:tc>
          <w:tcPr>
            <w:tcW w:w="19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数量</w:t>
            </w:r>
          </w:p>
        </w:tc>
        <w:tc>
          <w:tcPr>
            <w:tcW w:w="15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否</w:t>
            </w:r>
          </w:p>
        </w:tc>
        <w:tc>
          <w:tcPr>
            <w:tcW w:w="25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加总</w:t>
            </w:r>
          </w:p>
        </w:tc>
        <w:tc>
          <w:tcPr>
            <w:tcW w:w="3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合并后求和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总价</w:t>
            </w:r>
          </w:p>
        </w:tc>
        <w:tc>
          <w:tcPr>
            <w:tcW w:w="1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否</w:t>
            </w:r>
          </w:p>
        </w:tc>
        <w:tc>
          <w:tcPr>
            <w:tcW w:w="2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加总</w:t>
            </w:r>
          </w:p>
        </w:tc>
        <w:tc>
          <w:tcPr>
            <w:tcW w:w="31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合并后求和</w:t>
            </w:r>
          </w:p>
        </w:tc>
      </w:tr>
      <w:tr>
        <w:tc>
          <w:tcPr>
            <w:tcW w:w="19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净重/毛重</w:t>
            </w:r>
          </w:p>
        </w:tc>
        <w:tc>
          <w:tcPr>
            <w:tcW w:w="15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否</w:t>
            </w:r>
          </w:p>
        </w:tc>
        <w:tc>
          <w:tcPr>
            <w:tcW w:w="25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加总</w:t>
            </w:r>
          </w:p>
        </w:tc>
        <w:tc>
          <w:tcPr>
            <w:tcW w:w="31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合并后求和</w:t>
            </w:r>
          </w:p>
        </w:tc>
      </w:tr>
    </w:tbl>
    <w:p>
      <w:pPr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/>
      </w:r>
    </w:p>
    <w:p>
      <w:r>
        <w:br w:type="page"/>
      </w:r>
    </w:p>
    <w:p>
      <w:pPr>
        <w:pStyle w:val="Heading1"/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>八、当前样例的结果校验口径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2200"/>
        <w:gridCol w:w="3000"/>
        <w:gridCol w:w="3800"/>
      </w:tblGrid>
      <w:tr>
        <w:tc>
          <w:tcPr>
            <w:tcW w:w="22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校验项</w:t>
            </w:r>
          </w:p>
        </w:tc>
        <w:tc>
          <w:tcPr>
            <w:tcW w:w="30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当前样例应得到的结果</w:t>
            </w:r>
          </w:p>
        </w:tc>
        <w:tc>
          <w:tcPr>
            <w:tcW w:w="38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来源</w:t>
            </w:r>
          </w:p>
        </w:tc>
      </w:tr>
      <w:tr>
        <w:tc>
          <w:tcPr>
            <w:tcW w:w="2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有效商品行数</w:t>
            </w:r>
          </w:p>
        </w:tc>
        <w:tc>
          <w:tcPr>
            <w:tcW w:w="30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19 个有效料号，合并后 11 个报关商品项</w:t>
            </w:r>
          </w:p>
        </w:tc>
        <w:tc>
          <w:tcPr>
            <w:tcW w:w="38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Invoice/Packing 有效 qty. 行</w:t>
            </w:r>
          </w:p>
        </w:tc>
      </w:tr>
      <w:tr>
        <w:tc>
          <w:tcPr>
            <w:tcW w:w="22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数量合计</w:t>
            </w:r>
          </w:p>
        </w:tc>
        <w:tc>
          <w:tcPr>
            <w:tcW w:w="30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148,097 个</w:t>
            </w:r>
          </w:p>
        </w:tc>
        <w:tc>
          <w:tcPr>
            <w:tcW w:w="38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 qty. 有效行合计</w:t>
            </w:r>
          </w:p>
        </w:tc>
      </w:tr>
      <w:tr>
        <w:tc>
          <w:tcPr>
            <w:tcW w:w="2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总价合计</w:t>
            </w:r>
          </w:p>
        </w:tc>
        <w:tc>
          <w:tcPr>
            <w:tcW w:w="30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413,972.72 USD</w:t>
            </w:r>
          </w:p>
        </w:tc>
        <w:tc>
          <w:tcPr>
            <w:tcW w:w="38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 Amount 有效行合计</w:t>
            </w:r>
          </w:p>
        </w:tc>
      </w:tr>
      <w:tr>
        <w:tc>
          <w:tcPr>
            <w:tcW w:w="22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净重合计</w:t>
            </w:r>
          </w:p>
        </w:tc>
        <w:tc>
          <w:tcPr>
            <w:tcW w:w="30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4,644.71 KG</w:t>
            </w:r>
          </w:p>
        </w:tc>
        <w:tc>
          <w:tcPr>
            <w:tcW w:w="38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Packing N.W.(KG) 有效行或 total 行</w:t>
            </w:r>
          </w:p>
        </w:tc>
      </w:tr>
      <w:tr>
        <w:tc>
          <w:tcPr>
            <w:tcW w:w="2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毛重合计</w:t>
            </w:r>
          </w:p>
        </w:tc>
        <w:tc>
          <w:tcPr>
            <w:tcW w:w="30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5,337.33 KG</w:t>
            </w:r>
          </w:p>
        </w:tc>
        <w:tc>
          <w:tcPr>
            <w:tcW w:w="38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Packing G.W.(KG) 有效行或 total 行</w:t>
            </w:r>
          </w:p>
        </w:tc>
      </w:tr>
    </w:tbl>
    <w:p>
      <w:pPr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/>
      </w:r>
    </w:p>
    <w:p>
      <w:pPr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>如果程序生成结果和这些校验数不一致，优先检查：是否误把 qty. 为空/0/- 的商品纳入、是否把 Total 行当成商品、是否料号匹配失败、是否合并规则被改动。</w:t>
      </w:r>
    </w:p>
    <w:p>
      <w:pPr>
        <w:pStyle w:val="Heading1"/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>九、需要你重点确认的规则</w:t>
      </w:r>
    </w:p>
    <w:p>
      <w:pPr>
        <w:numPr>
          <w:ilvl w:val="0"/>
          <w:numId w:val="1"/>
        </w:numPr>
        <w:spacing w:before="30" w:after="60" w:line="300" w:lineRule="auto"/>
      </w:pPr>
      <w:r>
        <w:rPr>
          <w:sz w:val="21"/>
          <w:szCs w:val="21"/>
          <w:rFonts w:ascii="Arial" w:hAnsi="Arial" w:eastAsia="Microsoft YaHei"/>
        </w:rPr>
        <w:t>境内发货人是否允许由英文公司名自动翻译，还是必须维护固定中文全称和代码。</w:t>
      </w:r>
    </w:p>
    <w:p>
      <w:pPr>
        <w:numPr>
          <w:ilvl w:val="0"/>
          <w:numId w:val="1"/>
        </w:numPr>
        <w:spacing w:before="30" w:after="60" w:line="300" w:lineRule="auto"/>
      </w:pPr>
      <w:r>
        <w:rPr>
          <w:sz w:val="21"/>
          <w:szCs w:val="21"/>
          <w:rFonts w:ascii="Arial" w:hAnsi="Arial" w:eastAsia="Microsoft YaHei"/>
        </w:rPr>
        <w:t>包装种类是否应按 Packing list 翻译为“托盘”，还是业务固定填“再生木托”。</w:t>
      </w:r>
    </w:p>
    <w:p>
      <w:pPr>
        <w:numPr>
          <w:ilvl w:val="0"/>
          <w:numId w:val="1"/>
        </w:numPr>
        <w:spacing w:before="30" w:after="60" w:line="300" w:lineRule="auto"/>
      </w:pPr>
      <w:r>
        <w:rPr>
          <w:sz w:val="21"/>
          <w:szCs w:val="21"/>
          <w:rFonts w:ascii="Arial" w:hAnsi="Arial" w:eastAsia="Microsoft YaHei"/>
        </w:rPr>
        <w:t>运输方式 Sea/SEA FCL/SEA LCL 是否都统一为“水路运输”。</w:t>
      </w:r>
    </w:p>
    <w:p>
      <w:pPr>
        <w:numPr>
          <w:ilvl w:val="0"/>
          <w:numId w:val="1"/>
        </w:numPr>
        <w:spacing w:before="30" w:after="60" w:line="300" w:lineRule="auto"/>
      </w:pPr>
      <w:r>
        <w:rPr>
          <w:sz w:val="21"/>
          <w:szCs w:val="21"/>
          <w:rFonts w:ascii="Arial" w:hAnsi="Arial" w:eastAsia="Microsoft YaHei"/>
        </w:rPr>
        <w:t>成交方式是否严格按 Delivery Term 填 CPT，还是存在报关固定口径。</w:t>
      </w:r>
    </w:p>
    <w:p>
      <w:pPr>
        <w:numPr>
          <w:ilvl w:val="0"/>
          <w:numId w:val="1"/>
        </w:numPr>
        <w:spacing w:before="30" w:after="60" w:line="300" w:lineRule="auto"/>
      </w:pPr>
      <w:r>
        <w:rPr>
          <w:sz w:val="21"/>
          <w:szCs w:val="21"/>
          <w:rFonts w:ascii="Arial" w:hAnsi="Arial" w:eastAsia="Microsoft YaHei"/>
        </w:rPr>
        <w:t>监管方式、征免性质、离境口岸、征免等源表没有的数据，是继续留空，还是需要配置固定默认值。</w:t>
      </w:r>
    </w:p>
    <w:p>
      <w:pPr>
        <w:numPr>
          <w:ilvl w:val="0"/>
          <w:numId w:val="1"/>
        </w:numPr>
        <w:spacing w:before="30" w:after="60" w:line="300" w:lineRule="auto"/>
      </w:pPr>
      <w:r>
        <w:rPr>
          <w:sz w:val="21"/>
          <w:szCs w:val="21"/>
          <w:rFonts w:ascii="Arial" w:hAnsi="Arial" w:eastAsia="Microsoft YaHei"/>
        </w:rPr>
        <w:t>HS code、中文品名、品牌是否从 Invoice 获取。当前最新逻辑：这些字段只从 Daily/商品主数据获取，Invoice 只提供料号和交易数据。</w:t>
      </w:r>
    </w:p>
    <w:p>
      <w:pPr>
        <w:pStyle w:val="Heading1"/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>十、异常清单建议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2200"/>
        <w:gridCol w:w="3500"/>
        <w:gridCol w:w="3300"/>
      </w:tblGrid>
      <w:tr>
        <w:tc>
          <w:tcPr>
            <w:tcW w:w="22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异常类型</w:t>
            </w:r>
          </w:p>
        </w:tc>
        <w:tc>
          <w:tcPr>
            <w:tcW w:w="35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触发条件</w:t>
            </w:r>
          </w:p>
        </w:tc>
        <w:tc>
          <w:tcPr>
            <w:tcW w:w="3300" w:type="dxa"/>
            <w:shd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b/>
                <w:color w:val="FFFFFF"/>
                <w:sz w:val="18"/>
                <w:szCs w:val="18"/>
                <w:rFonts w:ascii="Arial" w:hAnsi="Arial" w:eastAsia="Microsoft YaHei"/>
              </w:rPr>
              <w:t>建议提示</w:t>
            </w:r>
          </w:p>
        </w:tc>
      </w:tr>
      <w:tr>
        <w:tc>
          <w:tcPr>
            <w:tcW w:w="2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缺少必填字段</w:t>
            </w:r>
          </w:p>
        </w:tc>
        <w:tc>
          <w:tcPr>
            <w:tcW w:w="3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上传文件找不到 qty.、QAD PN、Amount 等必填字段</w:t>
            </w:r>
          </w:p>
        </w:tc>
        <w:tc>
          <w:tcPr>
            <w:tcW w:w="3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指出文件类型、缺失字段、可在字段映射表新增别名</w:t>
            </w:r>
          </w:p>
        </w:tc>
      </w:tr>
      <w:tr>
        <w:tc>
          <w:tcPr>
            <w:tcW w:w="22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Invoice/Packing 匹配不到</w:t>
            </w:r>
          </w:p>
        </w:tc>
        <w:tc>
          <w:tcPr>
            <w:tcW w:w="35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Invoice 有有效料号，但 Packing 找不到对应料号</w:t>
            </w:r>
          </w:p>
        </w:tc>
        <w:tc>
          <w:tcPr>
            <w:tcW w:w="33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列出料号，提示检查 QAD PN 或备用料号</w:t>
            </w:r>
          </w:p>
        </w:tc>
      </w:tr>
      <w:tr>
        <w:tc>
          <w:tcPr>
            <w:tcW w:w="2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商品主数据缺失</w:t>
            </w:r>
          </w:p>
        </w:tc>
        <w:tc>
          <w:tcPr>
            <w:tcW w:w="3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根据料号在 Daily/商品主数据中查不到 HS code、中文品名或品牌</w:t>
            </w:r>
          </w:p>
        </w:tc>
        <w:tc>
          <w:tcPr>
            <w:tcW w:w="3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列出料号，要求维护商品主数据</w:t>
            </w:r>
          </w:p>
        </w:tc>
      </w:tr>
      <w:tr>
        <w:tc>
          <w:tcPr>
            <w:tcW w:w="22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合计不一致</w:t>
            </w:r>
          </w:p>
        </w:tc>
        <w:tc>
          <w:tcPr>
            <w:tcW w:w="35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生成明细合计与源表有效行合计不一致</w:t>
            </w:r>
          </w:p>
        </w:tc>
        <w:tc>
          <w:tcPr>
            <w:tcW w:w="3300" w:type="dxa"/>
            <w:shd w:fill="F7FBF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提示检查筛选、匹配、合并规则</w:t>
            </w:r>
          </w:p>
        </w:tc>
      </w:tr>
      <w:tr>
        <w:tc>
          <w:tcPr>
            <w:tcW w:w="22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值未标准化</w:t>
            </w:r>
          </w:p>
        </w:tc>
        <w:tc>
          <w:tcPr>
            <w:tcW w:w="35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品牌/国家/运输方式没有对应标准值</w:t>
            </w:r>
          </w:p>
        </w:tc>
        <w:tc>
          <w:tcPr>
            <w:tcW w:w="3300" w:type="dxa"/>
            <w:shd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color w:val="000000"/>
                <w:sz w:val="17"/>
                <w:szCs w:val="17"/>
                <w:rFonts w:ascii="Arial" w:hAnsi="Arial" w:eastAsia="Microsoft YaHei"/>
              </w:rPr>
              <w:t>保留原值并提示维护值标准化表</w:t>
            </w:r>
          </w:p>
        </w:tc>
      </w:tr>
    </w:tbl>
    <w:p>
      <w:pPr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/>
      </w:r>
    </w:p>
    <w:p>
      <w:pPr>
        <w:pStyle w:val="Heading1"/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>结论</w:t>
      </w:r>
    </w:p>
    <w:tbl>
      <w:tblPr>
        <w:tblW w:w="9000" w:type="dxa"/>
        <w:tblBorders>
          <w:top w:val="single" w:sz="8" w:color="5B9BD5"/>
          <w:left w:val="single" w:sz="8" w:color="5B9BD5"/>
          <w:bottom w:val="single" w:sz="8" w:color="5B9BD5"/>
          <w:right w:val="single" w:sz="8" w:color="5B9BD5"/>
        </w:tblBorders>
      </w:tblPr>
      <w:tblGrid>
        <w:gridCol w:w="9000"/>
      </w:tblGrid>
      <w:tr>
        <w:tc>
          <w:tcPr>
            <w:tcW w:w="9000" w:type="dxa"/>
            <w:shd w:fill="EAF4FB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before="0" w:after="40" w:line="300" w:lineRule="auto"/>
            </w:pPr>
            <w:r>
              <w:rPr>
                <w:b/>
                <w:color w:val="1F4E78"/>
                <w:sz w:val="22"/>
                <w:szCs w:val="22"/>
                <w:rFonts w:ascii="Arial" w:hAnsi="Arial" w:eastAsia="Microsoft YaHei"/>
              </w:rPr>
              <w:t xml:space="preserve">当前匹配逻辑总结</w:t>
            </w:r>
          </w:p>
          <w:p>
            <w:pPr>
              <w:spacing w:before="0" w:after="0" w:line="300" w:lineRule="auto"/>
            </w:pPr>
            <w:r>
              <w:rPr>
                <w:sz w:val="20"/>
                <w:szCs w:val="20"/>
                <w:rFonts w:ascii="Arial" w:hAnsi="Arial" w:eastAsia="Microsoft YaHei"/>
              </w:rPr>
              <w:t xml:space="preserve">当前逻辑是：Invoice 负责发票号、日期、客户、运输方式、成交方式、料号、数量、单价、总价和币制；Packing list 负责重量和包装；Daily/商品主数据是料号对应 HS code、中文品名、品牌的唯一来源；空白模板只提供格式；旧报关单不提供业务数值。商品按 HS code + 中文品名 + 品牌 + 币制 + 目的国 合并，车型不参与合并。</w:t>
            </w:r>
          </w:p>
        </w:tc>
      </w:tr>
    </w:tbl>
    <w:p>
      <w:pPr>
        <w:spacing w:before="100" w:after="100" w:line="300" w:lineRule="auto"/>
      </w:pPr>
      <w:r>
        <w:rPr>
          <w:sz w:val="22"/>
          <w:szCs w:val="22"/>
          <w:rFonts w:ascii="Arial" w:hAnsi="Arial" w:eastAsia="Microsoft YaHei"/>
        </w:rPr>
        <w:t xml:space="preserve"/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420" w:hanging="220"/>
      </w:pPr>
    </w:lvl>
  </w:abstractNum>
  <w:num w:numId="1">
    <w:abstractNumId w:val="0"/>
  </w:num>
  <w:abstractNum w:abstractNumId="1">
    <w:lvl w:ilvl="0">
      <w:start w:val="1"/>
      <w:numFmt w:val="decimal"/>
      <w:lvlText w:val="%1."/>
      <w:pPr>
        <w:ind w:left="500" w:hanging="260"/>
      </w:pPr>
    </w:lvl>
  </w:abstract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Arial" w:hAnsi="Arial" w:eastAsia="Microsoft YaHei"/>
      <w:sz w:val="22"/>
      <w:szCs w:val="22"/>
    </w:rPr>
  </w:style>
  <w:style w:type="paragraph" w:styleId="Title">
    <w:name w:val="Title"/>
    <w:rPr>
      <w:rFonts w:ascii="Arial" w:hAnsi="Arial" w:eastAsia="Microsoft YaHei"/>
      <w:b/>
      <w:color w:val="1F4E78"/>
      <w:sz w:val="36"/>
      <w:szCs w:val="36"/>
    </w:rPr>
  </w:style>
  <w:style w:type="paragraph" w:styleId="Subtitle">
    <w:name w:val="Subtitle"/>
    <w:rPr>
      <w:rFonts w:ascii="Arial" w:hAnsi="Arial" w:eastAsia="Microsoft YaHei"/>
      <w:color w:val="666666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340" w:after="150"/>
    </w:pPr>
    <w:rPr>
      <w:rFonts w:ascii="Arial" w:hAnsi="Arial" w:eastAsia="Microsoft YaHei"/>
      <w:b/>
      <w:color w:val="1F4E78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报关单生成取值逻辑说明</dc:title>
  <dc:creator>Codex</dc:creator>
  <cp:lastModifiedBy>Codex</cp:lastModifiedBy>
  <dcterms:created xsi:type="dcterms:W3CDTF">2026-06-03T16:40:07.837419Z</dcterms:created>
  <dcterms:modified xsi:type="dcterms:W3CDTF">2026-06-03T16:40:07.837419Z</dcterms:modified>
</cp:coreProperties>
</file>