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  <ns0:spacing ns0:before="0" ns0:after="120" ns0:line="300" ns0:lineRule="auto"/>
      </ns0:pPr>
      <ns0:r>
        <ns0:rPr>
          <ns0:color ns0:val="1F4E78"/>
          <ns0:sz ns0:val="36"/>
          <ns0:szCs ns0:val="36"/>
          <ns0:rFonts ns0:ascii="Arial" ns0:hAnsi="Arial" ns0:eastAsia="Microsoft YaHei"/>
        </ns0:rPr>
        <ns0:t xml:space="preserve">报关单生成取值逻辑说明</ns0:t>
      </ns0:r>
    </ns0:p>
    <ns0:p>
      <ns0:pPr>
        <ns0:pStyle ns0:val="Subtitle"/>
        <ns0:spacing ns0:before="100" ns0:after="260" ns0:line="300" ns0:lineRule="auto"/>
      </ns0:pPr>
      <ns0:r>
        <ns0:rPr>
          <ns0:color ns0:val="666666"/>
          <ns0:sz ns0:val="24"/>
          <ns0:szCs ns0:val="24"/>
          <ns0:rFonts ns0:ascii="Arial" ns0:hAnsi="Arial" ns0:eastAsia="Microsoft YaHei"/>
        </ns0:rPr>
        <ns0:t xml:space="preserve">用于检查当前应用的数据匹配和填写规则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阅读目的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这份文档只说明“生成报关单时数据从哪里来、怎么匹配、怎么合并、怎么填写”。你可以逐项检查：哪些规则正确、哪些需要改。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一、输入文件和角色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700"/>
        <ns0:gridCol ns0:w="5600"/>
        <ns0:gridCol ns0:w="1700"/>
      </ns0:tblGrid>
      <ns0:tr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文件/表</ns0:t>
            </ns0:r>
          </ns0:p>
        </ns0:tc>
        <ns0:tc>
          <ns0:tcPr>
            <ns0:tcW ns0:w="5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在流程中的作用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是否编辑源文件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提供发票号、日期、客户、运输方式、成交方式、料号、数量、单价、总价、币制等交易数据；不作为 HS code、中文品名、品牌的来源。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提供装箱单号、包装/件数、每个料号的箱数、净重、毛重，以及总净重、总毛重。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作为唯一对应关系查询表，用来确定料号对应的 HS code、中文品名、品牌等。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不编辑，只查询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报关单空白模板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只提供格式、行高、样式、合并单元格等。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不读取旧业务数值，只写入新结果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二、整体处理步骤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识别上传文件：判断哪张是 Invoice，哪张是 Packing list。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读取字段映射：把源表里的 QAD PN、qty./Quantity/Quantity (EA)、Amount、N.W.(KG)/N W (KGS)、G.W.(KG)/G W (KGS) 等字段转成系统标准字段。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筛选有效商品：qty./Quantity/Quantity (EA) 为空、0 或 - 的商品不进入报关单；Total 行和无料号总计行不作为商品明细。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按料号匹配：用 Invoice 的 QAD PN 和 Packing list 的 QAD PN 匹配同一商品。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确定报关信息：根据 Invoice 的料号，到 Daily/商品主数据中查找对应的 HS code、中文品名、品牌；Invoice 不作为这些字段的来源。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统一写法：品牌、运输方式、国家、成交方式、币制等按标准化规则统一；运输方式按水路/航空口径归一。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执行合并：按合并规则把可以合并的商品加总数量、金额、重量。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填写报关单：按字段来源表把基础信息和商品明细写入空白模板。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校验合计：核对数量、总价、净重、毛重是否与源表有效数据一致。</ns0:t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三、基础信息取值逻辑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2300"/>
        <ns0:gridCol ns0:w="3600"/>
        <ns0:gridCol ns0:w="12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报关单字段</ns0:t>
            </ns0:r>
          </ns0:p>
        </ns0:tc>
        <ns0:tc>
          <ns0:tcPr>
            <ns0:tcW ns0:w="2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当前处理逻辑</ns0:t>
            </ns0:r>
          </ns0:p>
        </ns0:tc>
        <ns0:tc>
          <ns0:tcPr>
            <ns0:tcW ns0:w="1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取不到时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合同协议号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表头 Serial No.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取 Serial No. 右侧值，支持 SP/PS 等字母+数字编号，例如 SP26000001、PS26002526；不要优先用上传文件名作为合同号。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出口日期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或 Packing 表头 pick up Date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取日期值；如果是 Excel 日期序列，可转为日期。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固定填写：凯斯库汽车部件（苏州）有限公司3205240783；信用代码固定填写：91320594762449680U。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境内发货人代码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固定填写：91320594762449680U。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境外收货人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的 Ship to 或 Bill to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Ship to 下方公司名；没有时取 Bill to 下方公司名，例如 VINFAST TRADING AND PRODUCTION JOINT STOCK COMPANY。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运输方式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way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Sea / SEA FCL / SEA LCL / Ocean / FCL / LCL 统一为水路运输；Air / DHL / FedEx / UPS / Express 统一为航空运输。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成交方式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Term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按 Delivery Term 标准化：CPT 填 CPT，FOB 填 FOB，EXW 填 EXW。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贸易国/运抵国/最终目的国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客户名称或收货地址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根据 CASCO Imos Italia / CONDOVE 推断为意大利。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包装种类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固定填写：再生木托，不从 Packing list 翻译。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件数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 total 行或明细汇总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Packing list total 行的托盘数/件数；没有 total 行时识别“6 pallets”等文本，或取无料号总计行中的 Pallet Item 数字。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G.W.(KG) / G W (KGS) / GW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字样但存在无料号总计行时取该行毛重；否则汇总有效商品毛重。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N.W.(KG) / N W (KGS) / NW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字样但存在无料号总计行时取该行净重；否则汇总有效商品净重。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监管方式、征免性质、离境口岸、运费、保费、杂费、征免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固定默认值：监管方式=一般，征免性质=101，离境口岸=上海，征免=照章征税；运费、保费、杂费如源文件无数据仍留空。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四、商品明细取值逻辑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3100"/>
        <ns0:gridCol ns0:w="3800"/>
      </ns0:tblGrid>
      <ns0:tr>
        <ns0:tc>
          <ns0:tcPr>
            <ns0:tcW ns0:w="2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报关单商品字段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处理逻辑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商品编号 / HS code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Daily/商品主数据中的 HS Code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保留完整编码，不按数字截断。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商品名称及规格型号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Daily/商品主数据中的中文品名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以中文报关品名为准，不直接填英文 Description。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明细 qty. / Quantity / Quantity (EA)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只取有效正数；空白、0、- 不填。字段名可以是 qty.、Quantity 或 Quantity (EA)，合并时加总。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单位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当前默认填“个”；如出现其他单位，应在配置表维护。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Amount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优先使用 Amount；若缺失，可按 quantity × UP 补算并提示。合并时加总。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Currency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通过标准化表统一，例如 USD。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原产国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表头 Made in China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标准化为中国。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最终目的国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客户/收货地址推断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当前样例推断为意大利。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品牌/规格行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Daily/商品主数据中的品牌；Invoice 不作为品牌来源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品牌先标准化；车型不写入品牌行。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净重行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明细 N.W.(KG) / N W (KGS) / NW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按料号匹配后取净重；合并时加总。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重量单位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当前默认填“千克”。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五、Invoice 与 Packing list 的匹配逻辑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核心匹配键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优先用 QAD PN / part_no 做精确匹配。也就是说，Invoice 中某个料号的数量和金额，去 Packing list 中找同一个料号的净重、毛重；托盘数/件数从 total 行、无 total 字样总计行或“6 pallets”等文本识别。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300"/>
        <ns0:gridCol ns0:w="2800"/>
        <ns0:gridCol ns0:w="3200"/>
        <ns0:gridCol ns0:w="1700"/>
      </ns0:tblGrid>
      <ns0:tr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优先级</ns0:t>
            </ns0:r>
          </ns0:p>
        </ns0:tc>
        <ns0:tc>
          <ns0:tcPr>
            <ns0:tcW ns0:w="2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匹配方式</ns0:t>
            </ns0:r>
          </ns0:p>
        </ns0:tc>
        <ns0:tc>
          <ns0:tcPr>
            <ns0:tcW ns0:w="3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说明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匹配不到时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Invoice.QAD PN = Packing.QAD PN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当前主规则，最稳定。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3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商品主数据中的备用料号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用于处理旧料号/新料号变化。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进入异常清单，等待人工确认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注意：新增无关字段不会影响匹配。只要 QAD PN、qty./Quantity/Quantity (EA)、Amount、N.W.(KG)/N W (KGS) 等必要字段仍能通过字段映射表识别，程序就可以继续处理。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六、有效商品筛选规则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1300"/>
        <ns0:gridCol ns0:w="2500"/>
        <ns0:gridCol ns0:w="34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源字段</ns0:t>
            </ns0:r>
          </ns0:p>
        </ns0:tc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值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处理结果</ns0:t>
            </ns0:r>
          </ns0:p>
        </ns0:tc>
        <ns0:tc>
          <ns0:tcPr>
            <ns0:tcW ns0:w="34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原因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空白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0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无实际出货数量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-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正数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进入报关单候选明细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有效销售/出货商品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Total 行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任何值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不作为商品明细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只用于合计校验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七、商品合并逻辑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当前确认规则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车型不作为申报要素。车型不同，但 HS code、中文品名、品牌等核心申报口径一致时，可以合并。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1500"/>
        <ns0:gridCol ns0:w="2500"/>
        <ns0:gridCol ns0:w="31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字段</ns0:t>
            </ns0:r>
          </ns0:p>
        </ns0:tc>
        <ns0:tc>
          <ns0:tcPr>
            <ns0:tcW ns0:w="1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是否参与合并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处理方式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备注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HS code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核心条件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中文商品名称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以中文品名为准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标准化后必须一致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例如 ford/FORD/Ford 先统一成 Ford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不同币制不应合并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最终目的国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不同目的国不应合并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车型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已确认车型不作为申报要素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料号/QAD PN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只用于源表匹配，不决定最终合并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净重/毛重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八、当前样例的结果校验口径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000"/>
        <ns0:gridCol ns0:w="38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校验项</ns0:t>
            </ns0:r>
          </ns0:p>
        </ns0:tc>
        <ns0:tc>
          <ns0:tcPr>
            <ns0:tcW ns0:w="30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当前样例应得到的结果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来源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有效商品行数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19 个有效料号，合并后 11 个报关商品项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有效 qty. 行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148,097 个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qty. 有效行合计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413,972.72 USD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Amount 有效行合计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4,644.71 KG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N.W.(KG) 有效行或 total 行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5,337.33 KG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G.W.(KG) 有效行或 total 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如果程序生成结果和这些校验数不一致，优先检查：是否误把 qty. 为空/0/- 的商品纳入、是否把 Total 行当成商品、是否料号匹配失败、是否合并规则被改动。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九、已确认并落地的规则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境内发货人固定填写：凯斯库汽车部件（苏州）有限公司3205240783；信用代码固定填写：91320594762449680U。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包装种类固定填写：再生木托。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运输方式：Sea / SEA FCL / SEA LCL / Ocean / FCL / LCL 统一为“水路运输”；Air / DHL / FedEx / UPS / Express 统一为“航空运输”。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成交方式：严格按 Delivery Term 标准化，CPT 填 CPT，FOB 填 FOB，EXW 填 EXW。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监管方式、征免性质、离境口岸、征免采用固定默认值：监管方式=一般，征免性质=101，离境口岸=上海，征免=照章征税。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HS code、中文品名、品牌不从 Invoice 获取；这些字段只从 Daily/商品主数据获取，Invoice 只提供料号和交易数据。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十、异常清单建议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500"/>
        <ns0:gridCol ns0:w="33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异常类型</ns0:t>
            </ns0:r>
          </ns0:p>
        </ns0:tc>
        <ns0:tc>
          <ns0:tcPr>
            <ns0:tcW ns0:w="3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触发条件</ns0:t>
            </ns0:r>
          </ns0:p>
        </ns0:tc>
        <ns0:tc>
          <ns0:tcPr>
            <ns0:tcW ns0:w="3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建议提示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缺少必填字段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上传文件找不到 qty./Quantity、QAD PN、Amount 等必填字段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指出文件类型、缺失字段、可在字段映射表新增别名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匹配不到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有有效料号，但 Packing 找不到对应料号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列出料号，提示检查 QAD PN 或备用料号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商品主数据缺失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根据料号在 Daily/商品主数据中查不到 HS code、中文品名或品牌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列出料号，要求维护商品主数据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合计不一致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生成明细合计与源表有效行合计不一致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提示检查筛选、匹配、合并规则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值未标准化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品牌/国家/运输方式没有对应标准值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保留原值并提示维护值标准化表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结论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当前匹配逻辑总结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当前逻辑是：Invoice 负责发票号、日期、客户、运输方式、成交方式、料号、数量、单价、总价和币制；发票号从 Serial No. 取，支持 SP/PS 等编号；境外收货人优先从 Ship to 公司名取。Packing list 负责重量、包装、托盘数/件数，支持 Quantity (EA)、N W/G W、6 pallets 等写法；Daily/商品主数据是料号对应 HS code、中文品名、品牌的唯一来源；空白模板只提供格式；旧报关单不提供业务数值。商品按 HS code + 中文品名 + 品牌 + 币制 + 目的国 合并，车型不参与合并。运输方式按水路/航空标准化；监管方式、征免性质、离境口岸、商品行征免按固定默认值填写。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sectPr>
      <ns0:pgSz ns0:w="12240" ns0:h="15840"/>
      <ns0:pgMar ns0:top="1080" ns0:right="1080" ns0:bottom="1080" ns0:left="1080" ns0:header="720" ns0:footer="720" ns0:gutter="0"/>
    </ns0:sectPr>
  </ns0:body>
</ns0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40" w:after="150"/>
    </w:pPr>
    <w:rPr>
      <w:rFonts w:ascii="Arial" w:hAnsi="Arial" w:eastAsia="Microsoft YaHei"/>
      <w:b/>
      <w:color w:val="1F4E78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报关单生成取值逻辑说明</dc:title>
  <dc:creator>Codex</dc:creator>
  <cp:lastModifiedBy>Codex</cp:lastModifiedBy>
  <dcterms:created xsi:type="dcterms:W3CDTF">2026-06-03T16:40:07.837419Z</dcterms:created>
  <dcterms:modified xsi:type="dcterms:W3CDTF">2026-06-03T16:40:07.837419Z</dcterms:modified>
</cp:coreProperties>
</file>