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Title"/>
        <ns0:spacing ns0:before="0" ns0:after="120" ns0:line="300" ns0:lineRule="auto"/>
      </ns0:pPr>
      <ns0:r>
        <ns0:rPr>
          <ns0:color ns0:val="1F4E78"/>
          <ns0:sz ns0:val="36"/>
          <ns0:szCs ns0:val="36"/>
          <ns0:rFonts ns0:ascii="Arial" ns0:hAnsi="Arial" ns0:eastAsia="Microsoft YaHei"/>
        </ns0:rPr>
        <ns0:t xml:space="preserve">报关单生成取值逻辑说明</ns0:t>
      </ns0:r>
    </ns0:p>
    <ns0:p>
      <ns0:pPr>
        <ns0:pStyle ns0:val="Subtitle"/>
        <ns0:spacing ns0:before="100" ns0:after="260" ns0:line="300" ns0:lineRule="auto"/>
      </ns0:pPr>
      <ns0:r>
        <ns0:rPr>
          <ns0:color ns0:val="666666"/>
          <ns0:sz ns0:val="24"/>
          <ns0:szCs ns0:val="24"/>
          <ns0:rFonts ns0:ascii="Arial" ns0:hAnsi="Arial" ns0:eastAsia="Microsoft YaHei"/>
        </ns0:rPr>
        <ns0:t xml:space="preserve">用于检查当前应用的数据匹配和填写规则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阅读目的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这份文档只说明“生成报关单时数据从哪里来、怎么匹配、怎么合并、怎么填写”。你可以逐项检查：哪些规则正确、哪些需要改。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一、输入文件和角色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700"/>
        <ns0:gridCol ns0:w="5600"/>
        <ns0:gridCol ns0:w="1700"/>
      </ns0:tblGrid>
      <ns0:tr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文件/表</ns0:t>
            </ns0:r>
          </ns0:p>
        </ns0:tc>
        <ns0:tc>
          <ns0:tcPr>
            <ns0:tcW ns0:w="56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在流程中的作用</ns0:t>
            </ns0:r>
          </ns0:p>
        </ns0:tc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是否编辑源文件</ns0:t>
            </ns0:r>
          </ns0:p>
        </ns0:tc>
      </ns0:tr>
      <ns0:tr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</ns0:t>
            </ns0:r>
          </ns0:p>
        </ns0:tc>
        <ns0:tc>
          <ns0:tcPr>
            <ns0:tcW ns0:w="5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提供发票号、日期、客户、运输方式、成交方式、料号、数量、单价、总价、币制等交易数据；不作为 HS code、中文品名、品牌的来源。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不编辑，只读取</ns0:t>
            </ns0:r>
          </ns0:p>
        </ns0:tc>
      </ns0:tr>
      <ns0:tr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list</ns0:t>
            </ns0:r>
          </ns0:p>
        </ns0:tc>
        <ns0:tc>
          <ns0:tcPr>
            <ns0:tcW ns0:w="5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提供装箱单号、包装/件数、每个料号的箱数、净重、毛重，以及总净重、总毛重。</ns0:t>
            </ns0:r>
          </ns0:p>
        </ns0:tc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不编辑，只读取</ns0:t>
            </ns0:r>
          </ns0:p>
        </ns0:tc>
      </ns0:tr>
      <ns0:tr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Daily/商品主数据</ns0:t>
            </ns0:r>
          </ns0:p>
        </ns0:tc>
        <ns0:tc>
          <ns0:tcPr>
            <ns0:tcW ns0:w="5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作为唯一对应关系查询表，用来确定料号对应的 HS code、中文品名、品牌等。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不编辑，只查询</ns0:t>
            </ns0:r>
          </ns0:p>
        </ns0:tc>
      </ns0:tr>
      <ns0:tr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报关单空白模板</ns0:t>
            </ns0:r>
          </ns0:p>
        </ns0:tc>
        <ns0:tc>
          <ns0:tcPr>
            <ns0:tcW ns0:w="5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只提供格式、行高、样式、合并单元格等。</ns0:t>
            </ns0:r>
          </ns0:p>
        </ns0:tc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不读取旧业务数值，只写入新结果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二、整体处理步骤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识别上传文件：判断哪张是 Invoice，哪张是 Packing list。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字段识别：程序按内置别名识别 QAD P/N、数量、金额、净重和毛重等核心字段；字段映射表记录当前支持口径。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筛选有效商品：qty./Quantity/Quantity (EA) 为空、0 或 - 的商品不进入报关单；Total 行和无料号总计行不作为商品明细。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按料号匹配：先按标准化后的 QAD P/N 精确形式匹配；精确形式不存在时，再使用确认过的版本后缀候选键。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确定报关信息：根据 Invoice 的料号，到 Daily/商品主数据中查找对应的 HS code、中文品名、品牌；Invoice 不作为这些字段的来源。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统一写法：品牌、运输方式、国家、成交方式、币制等按标准化规则统一；运输方式按水路/航空口径归一。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执行合并：按合并规则把可以合并的商品加总数量、金额、重量。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填写报关单：按程序已实现并在字段来源表记录的规则写入空白模板；生成文件不得保留隐藏行。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校验合计：核对数量、总价、净重、毛重是否与源表有效数据一致。</ns0:t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三、基础信息取值逻辑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900"/>
        <ns0:gridCol ns0:w="2300"/>
        <ns0:gridCol ns0:w="3600"/>
        <ns0:gridCol ns0:w="1200"/>
      </ns0:tblGrid>
      <ns0:tr>
        <ns0:tc>
          <ns0:tcPr>
            <ns0:tcW ns0:w="19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报关单字段</ns0:t>
            </ns0:r>
          </ns0:p>
        </ns0:tc>
        <ns0:tc>
          <ns0:tcPr>
            <ns0:tcW ns0:w="2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取值来源</ns0:t>
            </ns0:r>
          </ns0:p>
        </ns0:tc>
        <ns0:tc>
          <ns0:tcPr>
            <ns0:tcW ns0:w="36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当前处理逻辑</ns0:t>
            </ns0:r>
          </ns0:p>
        </ns0:tc>
        <ns0:tc>
          <ns0:tcPr>
            <ns0:tcW ns0:w="1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取不到时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合同协议号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表头 Serial No.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取 Serial No. 右侧值，支持 SP/PS 等字母+数字编号，例如 SP26000001、PS26002526；不要优先用上传文件名作为合同号。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申报日期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Invoice / Packing list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pick up Date / 日期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转换为日期后填写“申报日期”；“出口日期”保持空白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境内发货人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固定填写：凯斯库汽车部件（苏州）有限公司3205240783；信用代码固定填写：91320594762449680U。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境内发货人代码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固定填写：91320594762449680U。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境外收货人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Invoice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Bill to / Ship to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优先取 Bill to 下方公司名；为空时取 Ship to 下方公司名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运输方式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Delivery way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Sea / SEA FCL / SEA LCL / Ocean / FCL / LCL 统一为水路运输；Air / DHL / FedEx / UPS / Express 统一为航空运输。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成交方式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Delivery Term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按 Delivery Term 标准化：CPT 填 CPT，FOB 填 FOB，EXW 填 EXW。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贸易国/运抵国/最终目的国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Bill to / Ship to 地址块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贸易国取 Bill to 国家；运抵国取 Ship to 国家；英文国家名翻译成中文，例如 Vietnam -&gt; 越南、Italy -&gt; 意大利。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包装种类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固定填写：再生木托，不从 Packing list 翻译。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件数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list total 行或明细汇总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Packing list total 行的托盘数/件数；没有 total 行时识别“6 pallets”等文本，或取无料号总计行中的 Pallet Item 数字。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毛重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G.W.(KG) / G W (KGS) / GW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total 行；没有 total 字样但存在无料号总计行时取该行毛重；否则汇总有效商品毛重。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N.W.(KG) / N W (KGS) / NW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total 行；没有 total 字样但存在无料号总计行时取该行净重；否则汇总有效商品净重。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监管方式、征免性质、离境口岸、运费、保费、杂费、征免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固定默认值：监管方式=一般，征免性质=101，离境口岸=上海，征免=照章征税；运费、保费、杂费如源文件无数据仍留空。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四、商品明细取值逻辑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100"/>
        <ns0:gridCol ns0:w="3100"/>
        <ns0:gridCol ns0:w="3800"/>
      </ns0:tblGrid>
      <ns0:tr>
        <ns0:tc>
          <ns0:tcPr>
            <ns0:tcW ns0:w="2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报关单商品字段</ns0:t>
            </ns0:r>
          </ns0:p>
        </ns0:tc>
        <ns0:tc>
          <ns0:tcPr>
            <ns0:tcW ns0:w="3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取值来源</ns0:t>
            </ns0:r>
          </ns0:p>
        </ns0:tc>
        <ns0:tc>
          <ns0:tcPr>
            <ns0:tcW ns0:w="3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处理逻辑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商品编号 / HS code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Daily/商品主数据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按 QAD P/N 查找；优先取更新hs code，空白时取 HS Code；保留完整编码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商品名称及规格型号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Daily/商品主数据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只从 Daily/商品主数据取得中文品名，不直接使用 Invoice 英文描述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明细 qty. / Quantity / Quantity (EA)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只取有效正数；空白、0、- 不填。字段名可以是 qty.、Quantity 或 Quantity (EA)，合并时加总。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单位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固定规则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当前默认填“个”；如出现其他单位，应在配置表维护。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明细 Amount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优先使用 Amount；若缺失，可按 quantity × UP 补算并提示。合并时加总。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币制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明细 Currency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通过标准化表统一，例如 USD。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原产国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表头 Made in China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标准化为中国。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最终目的国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等于运抵国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商品行最终目的国 M列固定填写运抵国，不允许空白。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品牌/规格行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Daily/商品主数据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品牌只从 Daily/商品主数据取得并标准化；车型不写入品牌行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净重行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明细 N.W.(KG) / N W (KGS) / NW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按料号匹配后取净重；合并时加总。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重量单位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固定规则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当前默认填“千克”。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五、Invoice 与 Packing list 的匹配逻辑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keepLines/>
            </ns0:pPr>
            <ns0:r>
              <ns0:t>核心匹配键</ns0:t>
              <ns0:br/>
              <ns0:t>优先按标准化后的 QAD P/N 精确形式匹配。精确形式不存在时，才按已确认的版本后缀候选键匹配；出现申报要素冲突时停止自动选择。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300"/>
        <ns0:gridCol ns0:w="2800"/>
        <ns0:gridCol ns0:w="3200"/>
        <ns0:gridCol ns0:w="1700"/>
      </ns0:tblGrid>
      <ns0:tr>
        <ns0:trPr>
          <ns0:tblHeader ns0:val="true"/>
        </ns0:trPr>
        <ns0:tc>
          <ns0:tcPr>
            <ns0:tcW ns0:w="1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优先级</ns0:t>
            </ns0:r>
          </ns0:p>
        </ns0:tc>
        <ns0:tc>
          <ns0:tcPr>
            <ns0:tcW ns0:w="2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匹配方式</ns0:t>
            </ns0:r>
          </ns0:p>
        </ns0:tc>
        <ns0:tc>
          <ns0:tcPr>
            <ns0:tcW ns0:w="3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说明</ns0:t>
            </ns0:r>
          </ns0:p>
        </ns0:tc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匹配不到时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1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标准化后的精确形式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统一全角/半角、删除空白和分隔符；纯数字料号忽略首尾零；纯数字 Excel .0 去除。精确形式优先使用。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进入异常清单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2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确认过的版本后缀候选键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例如 ABC001-01 与 ABC001-02；也兼容 -03A、-01B2。Daily 补充表只做精确 QAD P/N 匹配。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进入异常清单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3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商品主数据同一行的 Old Part No.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只有 QAD P/N 与 Old Part No. 在同一商品主数据行明确维护时，才视为已确认关系。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进入异常清单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禁止自动转换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客户/品牌前缀、O/0、I/1、无对应关系的新旧料号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这些差异按不同料号处理，不做猜测。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进入异常清单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冲突保护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同一候选键对应不同 HS code、中文品名或品牌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不自动选取任何一条，提示人工确认；只有全部申报要素一致才允许合并。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必须人工确认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>注意：新增无关字段不会影响匹配。核心字段出现新名称时，应先在字段映射表记录，再确认程序已支持；未支持时需要同步更新程序。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六、有效商品筛选规则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1300"/>
        <ns0:gridCol ns0:w="2500"/>
        <ns0:gridCol ns0:w="34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源字段</ns0:t>
            </ns0:r>
          </ns0:p>
        </ns0:tc>
        <ns0:tc>
          <ns0:tcPr>
            <ns0:tcW ns0:w="1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值</ns0:t>
            </ns0:r>
          </ns0:p>
        </ns0:tc>
        <ns0:tc>
          <ns0:tcPr>
            <ns0:tcW ns0:w="2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处理结果</ns0:t>
            </ns0:r>
          </ns0:p>
        </ns0:tc>
        <ns0:tc>
          <ns0:tcPr>
            <ns0:tcW ns0:w="34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原因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空白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表示本月未销售/未出货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0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无实际出货数量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-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表示本月未销售/未出货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正数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进入报关单候选明细</ns0:t>
            </ns0:r>
          </ns0:p>
        </ns0:tc>
        <ns0:tc>
          <ns0:tcPr>
            <ns0:tcW ns0:w="34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有效销售/出货商品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Total 行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任何值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不作为商品明细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只用于合计校验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七、商品合并逻辑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当前确认规则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车型不作为申报要素。车型不同，但 HS code、中文品名、品牌等核心申报口径一致时，可以合并。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900"/>
        <ns0:gridCol ns0:w="1500"/>
        <ns0:gridCol ns0:w="2500"/>
        <ns0:gridCol ns0:w="3100"/>
      </ns0:tblGrid>
      <ns0:tr>
        <ns0:tc>
          <ns0:tcPr>
            <ns0:tcW ns0:w="19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字段</ns0:t>
            </ns0:r>
          </ns0:p>
        </ns0:tc>
        <ns0:tc>
          <ns0:tcPr>
            <ns0:tcW ns0:w="1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是否参与合并</ns0:t>
            </ns0:r>
          </ns0:p>
        </ns0:tc>
        <ns0:tc>
          <ns0:tcPr>
            <ns0:tcW ns0:w="2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处理方式</ns0:t>
            </ns0:r>
          </ns0:p>
        </ns0:tc>
        <ns0:tc>
          <ns0:tcPr>
            <ns0:tcW ns0:w="3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备注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HS code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核心条件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中文商品名称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以中文品名为准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标准化后必须一致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例如 ford/FORD/Ford 先统一成 Ford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币制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不同币制不应合并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最终目的国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不同目的国不应合并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车型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忽略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已确认车型不作为申报要素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料号/QAD PN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忽略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只用于源表匹配，不决定最终合并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净重/毛重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八、当前样例的结果校验口径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200"/>
        <ns0:gridCol ns0:w="3000"/>
        <ns0:gridCol ns0:w="3800"/>
      </ns0:tblGrid>
      <ns0:tr>
        <ns0:tc>
          <ns0:tcPr>
            <ns0:tcW ns0:w="2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校验项</ns0:t>
            </ns0:r>
          </ns0:p>
        </ns0:tc>
        <ns0:tc>
          <ns0:tcPr>
            <ns0:tcW ns0:w="30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当前样例应得到的结果</ns0:t>
            </ns0:r>
          </ns0:p>
        </ns0:tc>
        <ns0:tc>
          <ns0:tcPr>
            <ns0:tcW ns0:w="3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来源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有效商品行数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19 个有效料号，合并后 11 个报关商品项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Invoice/Packing 有效 qty. 行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数量合计</ns0:t>
            </ns0:r>
          </ns0:p>
        </ns0:tc>
        <ns0:tc>
          <ns0:tcPr>
            <ns0:tcW ns0:w="30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148,097 个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qty. 有效行合计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总价合计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413,972.72 USD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Amount 有效行合计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净重合计</ns0:t>
            </ns0:r>
          </ns0:p>
        </ns0:tc>
        <ns0:tc>
          <ns0:tcPr>
            <ns0:tcW ns0:w="30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4,644.71 KG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N.W.(KG) 有效行或 total 行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毛重合计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5,337.33 KG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G.W.(KG) 有效行或 total 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如果程序生成结果和这些校验数不一致，优先检查：是否误把 qty. 为空/0/- 的商品纳入、是否把 Total 行当成商品、是否料号匹配失败、是否合并规则被改动。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九、已确认并落地的规则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境内发货人固定填写：凯斯库汽车部件（苏州）有限公司3205240783；信用代码固定填写：91320594762449680U。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包装种类固定填写：再生木托。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运输方式：Sea / SEA FCL / SEA LCL / Ocean / FCL / LCL 统一为“水路运输”；Air / DHL / FedEx / UPS / Express 统一为“航空运输”。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成交方式：严格按 Delivery Term 标准化，CPT 填 CPT，FOB 填 FOB，EXW 填 EXW。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监管方式、征免性质、离境口岸、征免采用固定默认值：监管方式=一般，征免性质=101，离境口岸=上海，征免=照章征税。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HS code、中文品名、品牌不从 Invoice 获取；这些字段只从 Daily/商品主数据获取，Invoice 只提供料号和交易数据。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十、异常清单建议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200"/>
        <ns0:gridCol ns0:w="3500"/>
        <ns0:gridCol ns0:w="3300"/>
      </ns0:tblGrid>
      <ns0:tr>
        <ns0:tc>
          <ns0:tcPr>
            <ns0:tcW ns0:w="2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异常类型</ns0:t>
            </ns0:r>
          </ns0:p>
        </ns0:tc>
        <ns0:tc>
          <ns0:tcPr>
            <ns0:tcW ns0:w="3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触发条件</ns0:t>
            </ns0:r>
          </ns0:p>
        </ns0:tc>
        <ns0:tc>
          <ns0:tcPr>
            <ns0:tcW ns0:w="3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建议提示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缺少必填字段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上传文件找不到 qty./Quantity、QAD PN、Amount 等必填字段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记录新别名；程序未支持时同步更新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Invoice/Packing 匹配不到</ns0:t>
            </ns0:r>
          </ns0:p>
        </ns0:tc>
        <ns0:tc>
          <ns0:tcPr>
            <ns0:tcW ns0:w="3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有有效料号，但 Packing 找不到对应料号</ns0:t>
            </ns0:r>
          </ns0:p>
        </ns0:tc>
        <ns0:tc>
          <ns0:tcPr>
            <ns0:tcW ns0:w="3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keepLines/>
            </ns0:pPr>
            <ns0:r>
              <ns0:t>检查精确键、版本键和明确 Old Part No.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商品主数据缺失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根据料号在 Daily/商品主数据中查不到 HS code、中文品名或品牌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列出料号，要求维护商品主数据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合计不一致</ns0:t>
            </ns0:r>
          </ns0:p>
        </ns0:tc>
        <ns0:tc>
          <ns0:tcPr>
            <ns0:tcW ns0:w="3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生成明细合计与源表有效行合计不一致</ns0:t>
            </ns0:r>
          </ns0:p>
        </ns0:tc>
        <ns0:tc>
          <ns0:tcPr>
            <ns0:tcW ns0:w="3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提示检查筛选、匹配、合并规则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值未标准化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品牌/国家/运输方式没有对应标准值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保留原值并提示维护值标准化表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结论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rPr>
          <ns0:cantSplit/>
        </ns0:trP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keepLines/>
            </ns0:pPr>
            <ns0:r>
              <ns0:t>当前匹配逻辑总结</ns0:t>
              <ns0:br/>
              <ns0:t>Invoice 提供交易数据，Packing list 提供重量和包装，Daily/商品主数据唯一提供 HS code、中文品名和品牌。料号精确形式优先，版本候选键次之；前缀、O/0、I/1和无明确关系的新旧料号不自动归并，冲突转人工。商品按 HS code + 中文品名 + 品牌 + 币制 + 最终目的国合并，车型不参与。</ns0:t>
            </ns0:r>
          </ns0:p>
        </ns0:tc>
      </ns0:tr>
    </ns0:tbl>
    <ns0:p>
      <ns0:pPr>
        <ns0:spacing ns0:before="0" ns0:after="0" ns0:line="20" ns0:lineRule="exact"/>
      </ns0:pPr>
      <ns0:r>
        <ns0:rPr>
          <ns0:vanish/>
          <ns0:sz ns0:val="2"/>
          <ns0:szCs ns0:val="22"/>
          <ns0:rFonts ns0:ascii="Arial" ns0:hAnsi="Arial" ns0:eastAsia="Microsoft YaHei"/>
        </ns0:rPr>
        <ns0:t xml:space="preserve"/>
      </ns0:r>
    </ns0:p>
    <ns0:sectPr>
      <ns0:pgSz ns0:w="12240" ns0:h="15840"/>
      <ns0:pgMar ns0:top="1080" ns0:right="1080" ns0:bottom="1080" ns0:left="1080" ns0:header="720" ns0:footer="720" ns0:gutter="0"/>
    </ns0:sectPr>
  </ns0:body>
</ns0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420" w:hanging="220"/>
      </w:pPr>
    </w:lvl>
  </w:abstractNum>
  <w:num w:numId="1">
    <w:abstractNumId w:val="0"/>
  </w:num>
  <w:abstractNum w:abstractNumId="1">
    <w:lvl w:ilvl="0">
      <w:start w:val="1"/>
      <w:numFmt w:val="decimal"/>
      <w:lvlText w:val="%1."/>
      <w:pPr>
        <w:ind w:left="500" w:hanging="26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300" w:lineRule="auto"/>
    </w:pPr>
    <w:rPr>
      <w:rFonts w:ascii="Arial" w:hAnsi="Arial" w:eastAsia="Microsoft YaHei"/>
      <w:sz w:val="22"/>
      <w:szCs w:val="22"/>
    </w:rPr>
  </w:style>
  <w:style w:type="paragraph" w:styleId="Title">
    <w:name w:val="Title"/>
    <w:rPr>
      <w:rFonts w:ascii="Arial" w:hAnsi="Arial" w:eastAsia="Microsoft YaHei"/>
      <w:b/>
      <w:color w:val="1F4E78"/>
      <w:sz w:val="36"/>
      <w:szCs w:val="36"/>
    </w:rPr>
  </w:style>
  <w:style w:type="paragraph" w:styleId="Subtitle">
    <w:name w:val="Subtitle"/>
    <w:rPr>
      <w:rFonts w:ascii="Arial" w:hAnsi="Arial" w:eastAsia="Microsoft YaHei"/>
      <w:color w:val="666666"/>
      <w:sz w:val="24"/>
      <w:szCs w:val="24"/>
    </w:rPr>
  </w:style>
  <w:style w:type="paragraph" w:styleId="Heading1">
    <w:name w:val="heading 1"/>
    <w:basedOn w:val="Normal"/>
    <w:next w:val="Normal"/>
    <w:pPr>
      <w:keepNext/>
      <w:spacing w:before="340" w:after="150"/>
    </w:pPr>
    <w:rPr>
      <w:rFonts w:ascii="Arial" w:hAnsi="Arial" w:eastAsia="Microsoft YaHei"/>
      <w:b/>
      <w:color w:val="1F4E78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