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  <ns0:spacing ns0:before="0" ns0:after="120" ns0:line="300" ns0:lineRule="auto"/>
      </ns0:pPr>
      <ns0:r>
        <ns0:rPr>
          <ns0:color ns0:val="1F4E78"/>
          <ns0:sz ns0:val="36"/>
          <ns0:szCs ns0:val="36"/>
          <ns0:rFonts ns0:ascii="Arial" ns0:hAnsi="Arial" ns0:eastAsia="Microsoft YaHei"/>
        </ns0:rPr>
        <ns0:t xml:space="preserve">报关单配置关系表说明文档</ns0:t>
      </ns0:r>
    </ns0:p>
    <ns0:p>
      <ns0:pPr>
        <ns0:pStyle ns0:val="Subtitle"/>
        <ns0:spacing ns0:before="120" ns0:after="280" ns0:line="300" ns0:lineRule="auto"/>
      </ns0:pPr>
      <ns0:r>
        <ns0:rPr>
          <ns0:color ns0:val="666666"/>
          <ns0:sz ns0:val="24"/>
          <ns0:szCs ns0:val="24"/>
          <ns0:rFonts ns0:ascii="Arial" ns0:hAnsi="Arial" ns0:eastAsia="Microsoft YaHei"/>
        </ns0:rPr>
        <ns0:t xml:space="preserve">给业务人员和客户看的维护说明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一句话理解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配置关系表就是报关单生成器的“工作说明书”。它不要求客户懂程序，只负责告诉程序：上传表里哪些字段有用、商品怎么匹配、品牌怎么统一、哪些商品可以合并、报关单每个位置从哪里取数。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为什么需要配置关系表</ns0:t>
      </ns0:r>
    </ns0:p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>配置表集中管理商品数据、标准值和已确认规则。商品主数据和值标准化可直接维护；字段解析、料号匹配和合并规则变化时，需要同步更新程序。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3350"/>
        <ns0:gridCol ns0:w="3550"/>
      </ns0:tblGrid>
      <ns0:tr>
        <ns0:tc>
          <ns0:tcPr>
            <ns0:tcW ns0:w="2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问题</ns0:t>
            </ns0:r>
          </ns0:p>
        </ns0:tc>
        <ns0:tc>
          <ns0:tcPr>
            <ns0:tcW ns0:w="335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没有配置表时</ns0:t>
            </ns0:r>
          </ns0:p>
        </ns0:tc>
        <ns0:tc>
          <ns0:tcPr>
            <ns0:tcW ns0:w="355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有配置表后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上传表新增无关字段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程序可能读错列或报错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新增字段直接忽略，不影响核心匹配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字段名变化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程序不能识别新字段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字段映射表记录别名，并同步程序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品牌大小写不同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可能被当成不同品牌，导致不能合并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值标准化后统一成一个品牌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程序不知道 HS code/中文品名/品牌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在商品主数据表新增一行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合并规则变化</ns0:t>
            </ns0:r>
          </ns0:p>
        </ns0:tc>
        <ns0:tc>
          <ns0:tcPr>
            <ns0:tcW ns0:w="33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必须改代码</ns0:t>
            </ns0:r>
          </ns0:p>
        </ns0:tc>
        <ns0:tc>
          <ns0:tcPr>
            <ns0:tcW ns0:w="355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合并规则表记录口径，并同步程序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客户要自己维护</ns0:t>
            </ns0:r>
          </ns0:p>
        </ns0:tc>
        <ns0:tc>
          <ns0:tcPr>
            <ns0:tcW ns0:w="33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全部依赖开发</ns0:t>
            </ns0:r>
          </ns0:p>
        </ns0:tc>
        <ns0:tc>
          <ns0:tcPr>
            <ns0:tcW ns0:w="355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主数据和标准值由客户维护；结构规则由开发修改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报关单生成的大流程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客户上传 Invoice 和 Packing list。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程序按内置字段别名识别核心列；字段映射表记录当前已支持的字段口径。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程序排除 qty./Quantity/Quantity (EA) 为空、0 或 - 的商品。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程序先按 QAD P/N 精确形式匹配 Invoice 和 Packing list，必要时再按确认过的版本候选键匹配。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程序根据料号查商品主数据表，确定 HS code、中文品名、品牌等报关信息；这些字段不从 Invoice 取。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程序按值标准化表统一品牌、国家、运输方式、成交方式等写法；英文国家名翻译为中文，运输方式按水路/航空口径归一。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程序按已实现并记录在合并规则表中的口径合并商品，并加总数量、金额和重量。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程序按已实现并记录在字段来源表中的规则填写模板；输出文件不得保留隐藏行。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程序输出新的报关单，并提示缺失或匹配不到的数据。</ns0:t>
      </ns0:r>
    </ns0:p>
    <ns0:p>
      <ns0:r>
        <ns0:br ns0:type="pag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每张表分别有什么用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600"/>
        <ns0:gridCol ns0:w="4200"/>
        <ns0:gridCol ns0:w="1600"/>
        <ns0:gridCol ns0:w="1600"/>
      </ns0:tblGrid>
      <ns0:tr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Sheet</ns0:t>
            </ns0:r>
          </ns0:p>
        </ns0:tc>
        <ns0:tc>
          <ns0:tcPr>
            <ns0:tcW ns0:w="4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它解决的问题</ns0:t>
            </ns0:r>
          </ns0:p>
        </ns0:tc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是否经常维护</ns0:t>
            </ns0:r>
          </ns0:p>
        </ns0:tc>
        <ns0:tc>
          <ns0:tcPr>
            <ns0:tcW ns0:w="1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谁适合维护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字段映射表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上传文件里的字段名是什么意思，例如 qty.、Quantity、Quantity (EA)、数量都可以识别为“数量”；N.W.(KG)、N W (KGS) 都可以识别为“净重”。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经常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客户/业务人员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商品主数据表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料号对应什么 HS code、中文品名、品牌等报关信息。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经常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业务人员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把 ford、FORD、Ford 统一；把 Sea、sea 统一成水路运输。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偶尔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业务人员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规定什么情况下商品可以合并，哪些字段只加总。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少改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管理员/开发配合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规定报关单每个字段从 Invoice、Packing 还是固定规则取数。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少改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管理员/开发配合</ns0:t>
            </ns0:r>
          </ns0:p>
        </ns0:tc>
      </ns0:tr>
      <ns0:tr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当前匹配逻辑</ns0:t>
            </ns0:r>
          </ns0:p>
        </ns0:tc>
        <ns0:tc>
          <ns0:tcPr>
            <ns0:tcW ns0:w="4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说明当前 exe 的完整工作逻辑，方便开发者理解和改程序。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基本不改</ns0:t>
            </ns0:r>
          </ns0:p>
        </ns0:tc>
        <ns0:tc>
          <ns0:tcPr>
            <ns0:tcW ns0:w="1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开发者/管理员</ns0:t>
            </ns0:r>
          </ns0:p>
        </ns0:tc>
      </ns0:tr>
      <ns0:tr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版本记录</ns0:t>
            </ns0:r>
          </ns0:p>
        </ns0:tc>
        <ns0:tc>
          <ns0:tcPr>
            <ns0:tcW ns0:w="4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记录配置表每次改了什么，方便追溯问题。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每次修改都填</ns0:t>
            </ns0:r>
          </ns0:p>
        </ns0:tc>
        <ns0:tc>
          <ns0:tcPr>
            <ns0:tcW ns0:w="1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客户/业务人员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字段映射表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告诉程序“上传文件里的字段是什么意思”。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字段名变化会影响程序识别。字段映射表用于记录已支持的别名和期望标准字段，便于检查和开发维护；当前程序不会因为只在此表新增一行就自动学会新的解析方式。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出现新的字段名时，先在此表记录，再确认程序是否已支持；未支持时同步更新程序并用样例测试。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新增 Quantity (EA) → quantity，表示 Quantity (EA) 也是数量；新增 N W (KGS) → net_weight，表示 N W (KGS) 也是净重。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商品主数据表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告诉程序“这个料号报关时应该是什么商品”。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报关单需要 HS code、中文商品名称、品牌等标准信息，但 Invoice/Packing 里的英文描述不一定适合直接报关。商品主数据表是料号与 HS code、中文品名、品牌等报关信息的唯一对应库。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新增料号、新增商品、HS code 或中文品名需要调整时维护这里。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3020200241-02 → 8536690000103 → 汽车接插件用插座 → VOLVO。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值标准化表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告诉程序“看起来不同，其实是同一个值”。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很多错误不是数据错，而是写法不同，例如 FORD、Ford、ford。标准化后程序才能正确合并和填写。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出现新的品牌别名、运输方式写法、国家/地区写法时维护这里。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FOMOCO、fomoco → FoMoCo；Sea、sea → 水路运输。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合并规则表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告诉程序“哪些商品可以合并，哪些数据只加总”。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报关单不是按每个料号逐行填，而是按申报口径合并。规则不清楚就会拆错或合错。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业务合并口径变化时先在此表写清楚，再同步更新程序。普通客户不建议直接修改。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HS code、中文品名、品牌参与合并；车型不参与合并；数量、总价、净重加总。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报关单字段来源表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告诉程序“报关单每个位置从哪里取数”。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这张表防止程序乱填，尤其防止从旧报关单模板里偷业务数据。它明确哪些字段来自 Invoice，哪些来自 Packing，哪些字段使用固定默认值，哪些没有来源就留空。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模板字段或来源规则变化时，先更新此表作为确认依据，再同步修改程序和模板标记。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合同协议号来自 Invoice Serial No.；申报日期来自 pick up Date，出口日期留空；境外收货人优先 Bill to、为空时 Ship to；贸易国=Bill to 国家，运抵国=Ship to 国家，最终目的国=运抵国。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当前匹配逻辑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记录当前程序工作流程和 8 条料号匹配结论。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它用于确认、审计和指导程序修改，不是自动执行脚本。只改此 Sheet 不会改变程序行为。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应用逻辑变化时由开发同步维护，客户日常不用改。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同一料号：分隔符、纯数字首尾零、全角/空白、Excel .0、版本后缀；不同料号：客户/品牌前缀、O/0、I/1、无明确关系的新旧料号。冲突时停止自动取值。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2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版本记录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72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说明项</ns0:t>
            </ns0:r>
          </ns0:p>
        </ns0:tc>
        <ns0:tc>
          <ns0:tcPr>
            <ns0:tcW ns0:w="72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内容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这张表的作用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记录配置表每次修改的历史。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为什么必要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一旦生成结果异常，可以回头看最近改过什么。没有版本记录，问题很难追溯。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什么时候维护</ns0:t>
            </ns0:r>
          </ns0:p>
        </ns0:tc>
        <ns0:tc>
          <ns0:tcPr>
            <ns0:tcW ns0:w="72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每次改配置表都新增一行记录。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简单例子</ns0:t>
            </ns0:r>
          </ns0:p>
        </ns0:tc>
        <ns0:tc>
          <ns0:tcPr>
            <ns0:tcW ns0:w="72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v1.1：新增 PS 发票号、Ship to/Bill to 收货人、Quantity (EA)、N W/G W、6 pallets 件数等兼容规则；已用 PS26002526/VINFAST 样例测试。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日常维护建议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keepLines/>
            </ns0:pPr>
            <ns0:r>
              <ns0:t>最简单的维护方法</ns0:t>
              <ns0:br/>
              <ns0:t>日常直接维护商品主数据表、值标准化表和版本记录。字段映射、料号匹配、合并规则、字段来源等结构性变化，先记录业务结论，再由开发同步程序。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600"/>
        <ns0:gridCol ns0:w="2300"/>
        <ns0:gridCol ns0:w="4100"/>
      </ns0:tblGrid>
      <ns0:tr>
        <ns0:tc>
          <ns0:tcPr>
            <ns0:tcW ns0:w="26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场景</ns0:t>
            </ns0:r>
          </ns0:p>
        </ns0:tc>
        <ns0:tc>
          <ns0:tcPr>
            <ns0:tcW ns0:w="23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应该改哪张表</ns0:t>
            </ns0:r>
          </ns0:p>
        </ns0:tc>
        <ns0:tc>
          <ns0:tcPr>
            <ns0:tcW ns0:w="4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怎么改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上传文件多了一个新字段，但不影响业务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不用改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程序应直接忽略无关字段。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 xml:space="preserve">上传文件把 qty. 改成 Quantity (EA)，或把 N.W.(KG) 改成 N W (KGS)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字段映射表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在字段映射表记录新别名，并确认程序已支持；未支持时同步更新程序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新增一个商品料号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商品主数据表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新增料号、HS code、中文品名、品牌等。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品牌出现新的写法，例如 FOMOCO Ltd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值标准化表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新增原始值 FOMOCO Ltd → 标准值 FoMoCo。</ns0:t>
            </ns0:r>
          </ns0:p>
        </ns0:tc>
      </ns0:tr>
      <ns0:tr>
        <ns0:tc>
          <ns0:tcPr>
            <ns0:tcW ns0:w="26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车型以后要参与合并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记录车型参与合并的新口径，同步更新程序并完成回归测试</ns0:t>
            </ns0:r>
          </ns0:p>
        </ns0:tc>
      </ns0:tr>
      <ns0:tr>
        <ns0:tc>
          <ns0:tcPr>
            <ns0:tcW ns0:w="26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报关单某个字段改为固定默认值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记录固定默认值和模板位置，同步更新程序与模板标记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客户修改配置表的标准流程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打开配置关系表，先不要改表头。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根据变化类型，选择对应 Sheet 新增一行或修改“是否启用”。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不要直接删除旧关系；不用的关系建议把“是否启用”改成“否”。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在版本记录里新增一行，写清楚修改内容。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用已知样例文件跑一次，核对数量、金额、净重、毛重、件数、合同号和境外收货人是否正确。</ns0:t>
      </ns0:r>
    </ns0:p>
    <ns0:p>
      <ns0:pPr>
        <ns0:numPr>
          <ns0:ilvl ns0:val="0"/>
          <ns0:numId ns0:val="2"/>
        </ns0:numPr>
        <ns0:spacing ns0:before="5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测试通过后，再用于正式生成报关单。</ns0:t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哪些表不建议普通客户随便改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4500"/>
        <ns0:gridCol ns0:w="2400"/>
      </ns0:tblGrid>
      <ns0:tr>
        <ns0:trPr>
          <ns0:tblHeader ns0:val="true"/>
        </ns0:trPr>
        <ns0:tc>
          <ns0:tcPr>
            <ns0:tcW ns0:w="21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表名</ns0:t>
            </ns0:r>
          </ns0:p>
        </ns0:tc>
        <ns0:tc>
          <ns0:tcPr>
            <ns0:tcW ns0:w="45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原因</ns0:t>
            </ns0:r>
          </ns0:p>
        </ns0:tc>
        <ns0:tc>
          <ns0:tcPr>
            <ns0:tcW ns0:w="2400" ns0:type="dxa"/>
            <ns0:shd ns0:fill="1F4E78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b/>
                <ns0:color ns0:val="FFFFFF"/>
                <ns0:sz ns0:val="19"/>
                <ns0:szCs ns0:val="19"/>
                <ns0:rFonts ns0:ascii="Arial" ns0:hAnsi="Arial" ns0:eastAsia="Microsoft YaHei"/>
              </ns0:rPr>
              <ns0:t>建议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合并规则表</ns0:t>
            </ns0:r>
          </ns0:p>
        </ns0:tc>
        <ns0:tc>
          <ns0:tcPr>
            <ns0:tcW ns0:w="45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会直接影响商品是否合并，改错会导致报关明细错误。</ns0:t>
            </ns0:r>
          </ns0:p>
        </ns0:tc>
        <ns0:tc>
          <ns0:tcPr>
            <ns0:tcW ns0:w="24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由管理员或开发协助修改，改完必须测试。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报关单字段来源表</ns0:t>
            </ns0:r>
          </ns0:p>
        </ns0:tc>
        <ns0:tc>
          <ns0:tcPr>
            <ns0:tcW ns0:w="45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会影响报关单每个字段从哪里取数，改错可能导致字段空白或错填。</ns0:t>
            </ns0:r>
          </ns0:p>
        </ns0:tc>
        <ns0:tc>
          <ns0:tcPr>
            <ns0:tcW ns0:w="2400" ns0:type="dxa"/>
            <ns0:shd ns0:fill="F7FBFD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spacing ns0:before="0" ns0:after="0" ns0:line="280" ns0:lineRule="auto"/>
            </ns0:pPr>
            <ns0:r>
              <ns0:rPr>
                <ns0:color ns0:val="000000"/>
                <ns0:sz ns0:val="18"/>
                <ns0:szCs ns0:val="18"/>
                <ns0:rFonts ns0:ascii="Arial" ns0:hAnsi="Arial" ns0:eastAsia="Microsoft YaHei"/>
              </ns0:rPr>
              <ns0:t>模板或业务来源变化时再改。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当前匹配逻辑 / 料号匹配规则</ns0:t>
            </ns0:r>
          </ns0:p>
        </ns0:tc>
        <ns0:tc>
          <ns0:tcPr>
            <ns0:tcW ns0:w="45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会改变哪些料号被视为同一料号，错误归并会直接影响申报要素和重量分配。</ns0:t>
            </ns0:r>
          </ns0:p>
        </ns0:tc>
        <ns0:tc>
          <ns0:tcPr>
            <ns0:tcW ns0:w="2400" ns0:type="dxa"/>
            <ns0:shd ns0:fill="FFFFFF"/>
            <ns0:tcMar>
              <ns0:top ns0:w="100" ns0:type="dxa"/>
              <ns0:left ns0:w="120" ns0:type="dxa"/>
              <ns0:bottom ns0:w="100" ns0:type="dxa"/>
              <ns0:right ns0:w="120" ns0:type="dxa"/>
            </ns0:tcMar>
            <ns0:vAlign ns0:val="center"/>
          </ns0:tcPr>
          <ns0:p>
            <ns0:pPr>
              <ns0:keepLines/>
            </ns0:pPr>
            <ns0:r>
              <ns0:t>由开发按已确认规则修改程序；改完必须跑 8 条规则测试和真实样例。</ns0:t>
            </ns0:r>
          </ns0:p>
        </ns0:tc>
      </ns0:tr>
    </ns0:tbl>
    <ns0:p>
      <ns0:pPr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特别说明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文档中统一使用“报关单”，不引入任何品牌名作为业务概念。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/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旧报关单模板只能提供格式，不能作为业务数据来源，输出文件也不得保留隐藏行。本次已确认固定默认值包括：监管方式=一般、征免性质=101、离境口岸=上海、商品行征免=照章征税；其他没有来源的数据留空，除非配置表另行明确。</ns0:t>
      </ns0:r>
    </ns0:p>
    <ns0:p>
      <ns0:pPr>
        <ns0:numPr>
          <ns0:ilvl ns0:val="0"/>
          <ns0:numId ns0:val="1"/>
        </ns0:numPr>
        <ns0:spacing ns0:before="4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配置表的目标是把可维护数据和结构性规则分开：客户直接维护商品主数据和值标准化；需要改变程序判断方式时，由开发同步修改程序并记录版本。</ns0:t>
      </ns0:r>
    </ns0:p>
    <ns0:p>
      <ns0:pPr>
        <ns0:pStyle ns0:val="Heading1"/>
        <ns0:spacing ns0:before="120" ns0:after="12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交付给客户时可以这样说明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60" ns0:type="dxa"/>
              <ns0:left ns0:w="180" ns0:type="dxa"/>
              <ns0:bottom ns0:w="160" ns0:type="dxa"/>
              <ns0:right ns0:w="180" ns0:type="dxa"/>
            </ns0:tcMar>
          </ns0:tcPr>
          <ns0:p>
            <ns0:pPr>
              <ns0:keepLines/>
            </ns0:pPr>
            <ns0:r>
              <ns0:t>客户版说明</ns0:t>
              <ns0:br/>
              <ns0:t>新增料号、HS code、中文品名、品牌或国家别名时，可维护商品主数据表和值标准化表并重新上传。字段名、料号匹配、收货人位置、件数写法、合并或模板位置变化时，必须同步确认程序已支持；未支持时更新程序。每次修改都要记录版本并用样例复测。</ns0:t>
            </ns0:r>
          </ns0:p>
        </ns0:tc>
      </ns0:tr>
    </ns0:tbl>
    <ns0:p>
      <ns0:pPr>
        <ns0:spacing ns0:before="0" ns0:after="0" ns0:line="20" ns0:lineRule="exact"/>
      </ns0:pPr>
      <ns0:r>
        <ns0:rPr>
          <ns0:vanish/>
          <ns0:sz ns0:val="2"/>
          <ns0:szCs ns0:val="22"/>
          <ns0:rFonts ns0:ascii="Arial" ns0:hAnsi="Arial" ns0:eastAsia="Microsoft YaHei"/>
        </ns0:rPr>
        <ns0:t xml:space="preserve"/>
      </ns0:r>
    </ns0:p>
    <ns0:sectPr>
      <ns0:pgSz ns0:w="12240" ns0:h="15840"/>
      <ns0:pgMar ns0:top="1080" ns0:right="1080" ns0:bottom="1080" ns0:left="1080" ns0:header="720" ns0:footer="720" ns0:gutter="0"/>
    </ns0:sectPr>
  </ns0:body>
</ns0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Arial" w:hAnsi="Arial" w:eastAsia="Microsoft YaHei"/>
      <w:b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120"/>
    </w:pPr>
    <w:rPr>
      <w:rFonts w:ascii="Arial" w:hAnsi="Arial" w:eastAsia="Microsoft YaHei"/>
      <w:b/>
      <w:color w:val="365F9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