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bookmarkStart w:colFirst="0" w:colLast="0" w:name="_heading=h.wrvaxc434d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rFonts w:ascii="Arial" w:cs="Arial" w:eastAsia="Arial" w:hAnsi="Arial"/>
          <w:b w:val="1"/>
          <w:bCs w:val="1"/>
          <w:color w:val="3e762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e762a"/>
          <w:rtl w:val="0"/>
        </w:rPr>
        <w:t xml:space="preserve">Consultoria de adequação</w:t>
      </w:r>
    </w:p>
    <w:p w:rsidR="00000000" w:rsidDel="00000000" w:rsidP="00000000" w:rsidRDefault="00000000" w:rsidRPr="00000000" w14:paraId="0000000B">
      <w:pPr>
        <w:pStyle w:val="Title"/>
        <w:jc w:val="center"/>
        <w:rPr>
          <w:rFonts w:ascii="Arial" w:cs="Arial" w:eastAsia="Arial" w:hAnsi="Arial"/>
          <w:b w:val="1"/>
          <w:bCs w:val="1"/>
          <w:color w:val="3e762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e762a"/>
          <w:rtl w:val="0"/>
        </w:rPr>
        <w:t xml:space="preserve">UNIDADE DE PESQUISA EXPERIMENTAL-UNIPEX</w:t>
      </w:r>
    </w:p>
    <w:p w:rsidR="00000000" w:rsidDel="00000000" w:rsidP="00000000" w:rsidRDefault="00000000" w:rsidRPr="00000000" w14:paraId="0000000C">
      <w:pPr>
        <w:pStyle w:val="Title"/>
        <w:jc w:val="center"/>
        <w:rPr>
          <w:rFonts w:ascii="Arial" w:cs="Arial" w:eastAsia="Arial" w:hAnsi="Arial"/>
          <w:b w:val="1"/>
          <w:bCs w:val="1"/>
          <w:color w:val="3e762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e762a"/>
          <w:rtl w:val="0"/>
        </w:rPr>
        <w:t xml:space="preserve">UNESP-BOTUCATU </w:t>
      </w:r>
    </w:p>
    <w:p w:rsidR="00000000" w:rsidDel="00000000" w:rsidP="00000000" w:rsidRDefault="00000000" w:rsidRPr="00000000" w14:paraId="0000000D">
      <w:pPr>
        <w:pStyle w:val="Title"/>
        <w:jc w:val="center"/>
        <w:rPr>
          <w:rFonts w:ascii="Arial" w:cs="Arial" w:eastAsia="Arial" w:hAnsi="Arial"/>
          <w:b w:val="1"/>
          <w:bCs w:val="1"/>
          <w:color w:val="3e76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e762a"/>
          <w:rtl w:val="0"/>
        </w:rPr>
        <w:t xml:space="preserve">UPEA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549e39" w:space="0" w:sz="24" w:val="single"/>
          <w:left w:color="549e39" w:space="0" w:sz="24" w:val="single"/>
          <w:bottom w:color="549e39" w:space="0" w:sz="24" w:val="single"/>
          <w:right w:color="549e39" w:space="0" w:sz="24" w:val="single"/>
          <w:between w:space="0" w:sz="0" w:val="nil"/>
        </w:pBdr>
        <w:shd w:fill="549e39" w:val="clear"/>
        <w:spacing w:after="0" w:lineRule="auto"/>
        <w:rPr>
          <w:rFonts w:ascii="Arial" w:cs="Arial" w:eastAsia="Arial" w:hAnsi="Arial"/>
          <w:smallCaps w:val="1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1"/>
          <w:color w:val="ffffff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64758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074jwn1j7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RESUMO EXECUTIVO</w:t>
            </w:r>
          </w:hyperlink>
          <w:hyperlink w:anchor="_heading=h.o074jwn1j72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4s2pjo1f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ANÁLISE DE CONFORMIDADES E NÃO-CONFORMIDADES EM RELAÇÃO A RESOLUÇÃO NORMATIVA 57/CONCEA</w:t>
            </w:r>
          </w:hyperlink>
          <w:hyperlink w:anchor="_heading=h.rs4s2pjo1f2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e7r3lmh3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NÃO</w:t>
            </w:r>
          </w:hyperlink>
          <w:hyperlink w:anchor="_heading=h.yfe7r3lmh3xm"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‑</w:t>
            </w:r>
          </w:hyperlink>
          <w:hyperlink w:anchor="_heading=h.yfe7r3lmh3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CONFORMIDADES CRÍTICAS – AÇÃO IMEDIATA</w:t>
            </w:r>
          </w:hyperlink>
          <w:hyperlink w:anchor="_heading=h.yfe7r3lmh3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3kr6yg9k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ÁREA DE SERVIÇO</w:t>
            </w:r>
          </w:hyperlink>
          <w:hyperlink w:anchor="_heading=h.843kr6yg9kt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g2r5qtxv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ÁREA DE DEPÓSITOS</w:t>
            </w:r>
          </w:hyperlink>
          <w:hyperlink w:anchor="_heading=h.xzg2r5qtxvf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tc3dwfxz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DETALHES CONSTRUTIVOS</w:t>
            </w:r>
          </w:hyperlink>
          <w:hyperlink w:anchor="_heading=h.mhtc3dwfxz5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q2l6i7qw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AMBIENTE</w:t>
            </w:r>
          </w:hyperlink>
          <w:hyperlink w:anchor="_heading=h.c9q2l6i7qwv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uc5trrrw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PROCEDIMENTOS</w:t>
            </w:r>
          </w:hyperlink>
          <w:hyperlink w:anchor="_heading=h.okuc5trrrww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jawh3o43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tkjawh3o436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_heading=h.tkjawh3o4360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SUGESTÕES DE CORREÇÃO E MELHORIAS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wokuvp9o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CRÍTICAS (AÇÃO IMEDIATA)</w:t>
            </w:r>
          </w:hyperlink>
          <w:hyperlink w:anchor="_heading=h.41wokuvp9o3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ssm5zedt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64ssm5zedtf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_heading=h.64ssm5zedtfq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ALTA PRIORIDADE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vq4jbpmiv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7vq4jbpmivf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_heading=h.7vq4jbpmivf1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SUGESTÕES DE ADEQUAÇÕES ARQUITETÔNICAS PARA CONFORMIDADE RN 57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ru07gqjo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CONSIDERAÇÕES FINAIS</w:t>
            </w:r>
          </w:hyperlink>
          <w:hyperlink w:anchor="_heading=h.buru07gqjov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Bdr>
          <w:top w:color="549e39" w:space="0" w:sz="24" w:val="single"/>
          <w:left w:color="549e39" w:space="0" w:sz="24" w:val="single"/>
          <w:bottom w:color="549e39" w:space="0" w:sz="24" w:val="single"/>
          <w:right w:color="549e39" w:space="0" w:sz="24" w:val="single"/>
          <w:between w:space="0" w:sz="0" w:val="nil"/>
        </w:pBdr>
        <w:shd w:fill="549e39" w:val="clear"/>
        <w:spacing w:after="0" w:lineRule="auto"/>
        <w:rPr>
          <w:rFonts w:ascii="Arial" w:cs="Arial" w:eastAsia="Arial" w:hAnsi="Arial"/>
          <w:smallCap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>
          <w:rFonts w:ascii="Arial" w:cs="Arial" w:eastAsia="Arial" w:hAnsi="Arial"/>
          <w:color w:val="3e76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  <w:smallCaps w:val="0"/>
          <w:sz w:val="24"/>
          <w:szCs w:val="24"/>
        </w:rPr>
      </w:pPr>
      <w:bookmarkStart w:colFirst="0" w:colLast="0" w:name="_heading=h.o074jwn1j72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Imagens analisadas: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125 imagens 45 vídeos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Imagens críticas selecionadas: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Vamos colocar ou excluir?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da avaliação: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dezembro 2025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Situação geral: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múltiplas não‑conformidades críticas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SUMARIO PARA A CLASSIFICAÇÃO DAS NÃO CONFORMIDADES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Não Conformidades Críticas – Ação Imediata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Representam falhas graves que comprometem diretamente a segurança, a conformidade regulatória ou o bem-estar animal.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ação corretiva imediata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podendo inclusive demandar a suspensão de atividades até a resolução.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OBRIGATÓRIA e o status NÃO ATENDE.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Não Conformidades de Alta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São falhas significativas que não causam impacto imediato crítico, mas que podem evoluir para situações de risco ou comprometer auditorias/acreditações.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correção em curto prazo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OBRIGATÓRIA e o status ATENDE EM PARTES.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Não Conformidades de Prioridade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São falhas de impacto moderado, que não comprometem imediatamente a conformidade ou a segurança, mas indicam necessidade de ajustes.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ação corretiva planejada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podendo ser tratadas em médio prazo.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RECOMENDADA e o status NÃO ATENDE.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Arial" w:cs="Arial" w:eastAsia="Arial" w:hAnsi="Arial"/>
          <w:smallCaps w:val="0"/>
          <w:sz w:val="24"/>
          <w:szCs w:val="24"/>
        </w:rPr>
      </w:pPr>
      <w:bookmarkStart w:colFirst="0" w:colLast="0" w:name="_heading=h.rs4s2pjo1f27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ANÁLISE de conformidades e não-conformidades em relação a resolução normativa 57/concea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UPEA 4 Coelhos</w:t>
      </w:r>
    </w:p>
    <w:tbl>
      <w:tblPr>
        <w:tblStyle w:val="Table1"/>
        <w:tblpPr w:leftFromText="141" w:rightFromText="141" w:topFromText="0" w:bottomFromText="0" w:vertAnchor="page" w:horzAnchor="margin" w:tblpX="0" w:tblpY="3481"/>
        <w:tblW w:w="11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6972"/>
        <w:gridCol w:w="1816"/>
        <w:gridCol w:w="1701"/>
        <w:tblGridChange w:id="0">
          <w:tblGrid>
            <w:gridCol w:w="851"/>
            <w:gridCol w:w="6972"/>
            <w:gridCol w:w="1816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Ambientes Físicos da Instalação Animal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200" w:before="12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Biotérios de criação de animais, que realizam a reprodução de animais, separados de biotérios com outras finalidades.</w:t>
            </w:r>
          </w:p>
          <w:p w:rsidR="00000000" w:rsidDel="00000000" w:rsidP="00000000" w:rsidRDefault="00000000" w:rsidRPr="00000000" w14:paraId="00000061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 edificação que abrigue biotérios de diferentes finalidades (criação, manutenção e utilização), as instalações de criação devem ter suas áreas físicas e rotinas com barreiras exclusivas, delimitadas e separadas dos biotérios de manutenção e de utilização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Áreas de Apoio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administrativa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de recepção de pessoal (usuários e visitantes)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biotério de criação, o ingresso de animais deve ocorrer por meio da área de recepção de animais e quarentena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biotério de manutenção ou experimentação, o ingresso de animais deve ocorrer por meio de recepção em área de quarentena, exceto com relação aos animais com estado sanitário conhecido e compatível com o biotério de manutenção ou de experimentação de destino, que poderão ser introduzidos diretamente na sala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    Atende 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Áreas de Serviço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destinada à higienização (lavagem, desinfecção ou esterilização de materiais) separada fisicamente da área de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Sanitários localizados fora das áreas controladas em biotérios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Salas de animais separadas por espécie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Vestiário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 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Sala destinada à eutanásia, separada das salas de animais, em biotérios de criação e manutenção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Sala destinada a eutanásia, separada das salas de manutenção de animais, em biotérios de experimentação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    Atende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Aqui eu colocaria a foto do obrigatório atende parcialmente e não atende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Depósitos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Local para estocagem de alimentos e forração que atendam às recomendações dos fabricantes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before="12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 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Alimentos e forração sem contato com o piso ou paredes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exclusiva para depósitos de resíduos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Local para armazenamento de produtos químicos e medicamentos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Freezer para acondicionamento de carcaças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Fotos do não atende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Detalhes Construtivos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Paredes, pisos e tetos lisos, livres de rejuntes e reentrâncias, construídos com materiais que possibilitem higienização e desinfecção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Ausência de janelas com acesso direto para as salas de animais de laboratório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Grupo gerador próprio para fornecimento emergencial de energia elétrica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monitoramento remoto da ambiência das salas dos animais, na ausência de grupo gerador próprio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Não 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iluminação com fotoperíodo regulável nas áreas controladas e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Fotos dos não atende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Salas de animais com ventilação, exaustão temperatura e umidade controladas, conforme as características das espécies mantidas no recinto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 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Monitoramento com registro das condições ambientais das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Fotos do atende parcialmente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Biossegurança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Item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equipamentos de proteção individual preconizados pelo nível de biossegurança da instalação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Barreiras sanitárias de bioexclusão e biocontenção preconizadas pelo nível de biossegurança da instalação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Procedimentos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Manual de Procedimentos Operacionais Padrão (POPs) em biotérios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genético e sanitário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Alojamento em pares ou grupos, exceto em casos autorizados pela CEUA ou em virtude de condições clínicas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Procedimentos experimentais não podem ser realizados na sala de manutenção e criação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Enriquecimento Ambiental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NV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150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153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54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57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>
          <w:rFonts w:ascii="Arial" w:cs="Arial" w:eastAsia="Arial" w:hAnsi="Arial"/>
          <w:smallCaps w:val="0"/>
          <w:sz w:val="24"/>
          <w:szCs w:val="24"/>
        </w:rPr>
      </w:pPr>
      <w:bookmarkStart w:colFirst="0" w:colLast="0" w:name="_heading=h.yfe7r3lmh3xm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não‑conformidade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críticas – ação imediata</w:t>
      </w:r>
    </w:p>
    <w:p w:rsidR="00000000" w:rsidDel="00000000" w:rsidP="00000000" w:rsidRDefault="00000000" w:rsidRPr="00000000" w14:paraId="0000015A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eading=h.843kr6yg9ktf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ÁREA DE SERVIÇO</w:t>
      </w:r>
    </w:p>
    <w:p w:rsidR="00000000" w:rsidDel="00000000" w:rsidP="00000000" w:rsidRDefault="00000000" w:rsidRPr="00000000" w14:paraId="000001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Descrição do tem (RN57)                                                           Classificação              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 6 Área destinada à higienização separada fisicamente da área      Obrigatória                   Crítico</w:t>
      </w:r>
    </w:p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de salas de animais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existe área destinada para este fim na planta e este é um item obrigatório</w:t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eading=h.xzg2r5qtxvfb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ÁREA DE DEPÓSITOS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Descrição do tem (RN57)                                                       Classificação               Status 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Itens 12 e 13 Local próprio para o alojamento e                                   Obrigatório                Crítico</w:t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acondicionamento de alimentos e forração                               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qlan2kir6gq0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 14   Área exclusiva para depósito de resíduos                              Obrigatório                Crítico   </w:t>
      </w:r>
    </w:p>
    <w:p w:rsidR="00000000" w:rsidDel="00000000" w:rsidP="00000000" w:rsidRDefault="00000000" w:rsidRPr="00000000" w14:paraId="00000165">
      <w:pPr>
        <w:ind w:left="851" w:hanging="85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  16  Freezer para acondicionamento de carcaças                           Obrigatório                Crítico            </w:t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Embora a área esteja em reforma, não prevê locais próprios para armazenamento e acondicionamento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alimento e forração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Estes são pontos obrigatórios pela RN57, então consideramos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status críticos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estes pontos Da mesma forma para a falta de um local próprio para armazenamento de resíduos e carcaças.</w:t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eading=h.mhtc3dwfxz5l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DETALHES CONSTRUTIVOS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Descrição do tem (RN57)                                                          Classificação               Status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 17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Paredes, pisos e tetos lisos, livres de rejuntes e reentrâncias, Obrigatório            Crítico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construídos com materiais que possibilitem higienização e 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desinfecção</w:t>
      </w:r>
    </w:p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Embora a área esteja em reforma e não possamos analisar e o teto da sala de manutenção de animais, o piso possui degraus e rejuntes, a ausência destes pontos são obrigatórios pela RN57, então consideramos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status críticos.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Neste mesmo contexto, encontram-se as paredes, pois possuem canos aparente, o que não condiz com paredes lisas, como os solicitados pelo checklist. 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 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monitoramento remoto                                             Obrigatório           Crítico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Embora a área esteja em reforma, não está presente este item</w:t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eading=h.c9q2l6i7qwv3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 AMBIENTE</w:t>
      </w:r>
    </w:p>
    <w:p w:rsidR="00000000" w:rsidDel="00000000" w:rsidP="00000000" w:rsidRDefault="00000000" w:rsidRPr="00000000" w14:paraId="0000017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   Descrição do tem (RN57)                                                        Classificação               Status</w:t>
      </w:r>
    </w:p>
    <w:p w:rsidR="00000000" w:rsidDel="00000000" w:rsidP="00000000" w:rsidRDefault="00000000" w:rsidRPr="00000000" w14:paraId="00000174">
      <w:pPr>
        <w:ind w:left="709" w:hanging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Salas de animais com ventilação, exaustão temperatura e           Obrigatório                Parcial</w:t>
      </w:r>
    </w:p>
    <w:p w:rsidR="00000000" w:rsidDel="00000000" w:rsidP="00000000" w:rsidRDefault="00000000" w:rsidRPr="00000000" w14:paraId="00000175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umidade controladas</w:t>
      </w:r>
    </w:p>
    <w:p w:rsidR="00000000" w:rsidDel="00000000" w:rsidP="00000000" w:rsidRDefault="00000000" w:rsidRPr="00000000" w14:paraId="0000017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Embora a área esteja em reforma e não possamos analisar o sistema funcionando, verificamos salas de procedimentos sem ar-condicionado e exaustão. A climatização dentro das salas é item obrigatórios pela RN57, então consideramos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status críticos.</w:t>
      </w:r>
    </w:p>
    <w:p w:rsidR="00000000" w:rsidDel="00000000" w:rsidP="00000000" w:rsidRDefault="00000000" w:rsidRPr="00000000" w14:paraId="0000017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Arial" w:cs="Arial" w:eastAsia="Arial" w:hAnsi="Arial"/>
          <w:sz w:val="24"/>
          <w:szCs w:val="24"/>
        </w:rPr>
      </w:pPr>
      <w:bookmarkStart w:colFirst="0" w:colLast="0" w:name="_heading=h.okuc5trrrwwd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 PROCEDIMENTOS</w:t>
      </w:r>
    </w:p>
    <w:p w:rsidR="00000000" w:rsidDel="00000000" w:rsidP="00000000" w:rsidRDefault="00000000" w:rsidRPr="00000000" w14:paraId="0000017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   Descrição do tem (RN57)                                                        Classificação               Status</w:t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a área em reforma, não foi possível analisar os procedimentos 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tkjawh3o4360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Sugestões de correção e melhorias</w:t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ind w:left="284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1wokuvp9o30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4.1 Críticas (ação imediata)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14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Criar área de higienização (Item 6): na área de experimentação é fundamental a presença de uma área para a higienização dos materiais. Esta área precisa ser o mais isolada possível já que é um local que produz muito ruído e onde existe a dispersão de patógenos no ar. 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Criar áreas exclusivas para depósitos de alimentos (item 12), forração (item 13) e resíduo (item 14). A manutenção de alimentos, precisa ser feita seguindo as necessidades do fabricante da ração. E todos estes matérias precisam ser segregados, já que cada um tem sua especificidade.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presença de um freezer para acondicionar carcaças é fundamental, a não ser que este exista este equipamento em outro local, próximo do Biotério.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 relação aos detalhes construtivos, a reforma da área está sendo executada e temos uma sugestão de planta para fornecer, No entanto é importante que atentem para os materiais que serão utilizados, pois paredes tetos e pisos precisam ser lisos, sem rejuntes e resistentes a lavagem com produtos químicos. Do que se pode ver hoje, as paredes possuem canos aparentes, que devem ser revistos, o piso não é liso (item 17)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284" w:hanging="28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Climatizar todos os ambientes (item 22):  Em algumas salas existe a climatização e em outras não. A obra precisa prever isso. Este é um dos itens mais fundamental, já que afeta diretamente a saúde e o bem estar dos animais.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36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1"/>
          <w:numId w:val="7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4ssm5zedtfq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Alta prioridade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Instalar controle de acesso com vestiários e barreira sanitária.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7vq4jbpmivf1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sugestões de adequações arquitetônicas para conformidade rn 57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 este relatório encaminhamos a sugestão de desenho arquitetônica elaborada com o objetivo de atender integralmente às diretrizes estabelecidas na Resolução Normativa nº 57 do CONCEA, contemplando os fluxos de trabalho, áreas funcionais e requisitos mínimos necessários para garantir a conformidade regulatória e a adequada operação do biotério.</w:t>
      </w:r>
    </w:p>
    <w:p w:rsidR="00000000" w:rsidDel="00000000" w:rsidP="00000000" w:rsidRDefault="00000000" w:rsidRPr="00000000" w14:paraId="0000019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Nós não fizemos um desenho com a Karla?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Vamos colocar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buru07gqjovw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Considerações finais</w:t>
      </w:r>
    </w:p>
    <w:p w:rsidR="00000000" w:rsidDel="00000000" w:rsidP="00000000" w:rsidRDefault="00000000" w:rsidRPr="00000000" w14:paraId="0000019D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consultoria realizada permitiu identificar de forma sistemática diversas não conformidades classificadas como críticas, de prioridade alta e média, que comprometem a conformidade com as normativas vigentes, bem como a segurança e o bem-estar dos animais e dos profissionais envolvidos. A análise evidenciou a necessidade de adequações estruturais e de fluxos internos para garantir a implementação das boas práticas de laboratório e atender aos requisitos estabelecidos pelos órgãos regulatórios.</w:t>
      </w:r>
    </w:p>
    <w:p w:rsidR="00000000" w:rsidDel="00000000" w:rsidP="00000000" w:rsidRDefault="00000000" w:rsidRPr="00000000" w14:paraId="0000019E">
      <w:pPr>
        <w:spacing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encaminhamento, foi elaborado e apresentado um desenho preliminar de sugestão de planta arquitetônica, contemplando os ajustes necessários, a fim de orientar a instituição na adequação do biotério, assegurando maior eficiência operacional, conformidade legal e sustentabilidade a longo prazo. Ressalta-se que a execução dessas medidas é fundamental para alcançar padrões de excelência em pesquisa e garantir a credibilidade institucional, bem como para requerer o licenciamento do CONCEA/Ministério de Ciência e Tecnologia.</w:t>
      </w:r>
    </w:p>
    <w:sectPr>
      <w:headerReference r:id="rId7" w:type="default"/>
      <w:pgSz w:h="15840" w:w="12240" w:orient="portrait"/>
      <w:pgMar w:bottom="720" w:top="709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489756</wp:posOffset>
          </wp:positionH>
          <wp:positionV relativeFrom="paragraph">
            <wp:posOffset>1675988</wp:posOffset>
          </wp:positionV>
          <wp:extent cx="5831514" cy="5890054"/>
          <wp:effectExtent b="0" l="0" r="0" t="0"/>
          <wp:wrapNone/>
          <wp:docPr descr="A logo with a letter and a dna strand&#10;&#10;AI-generated content may be incorrect." id="1070613947" name="image1.png"/>
          <a:graphic>
            <a:graphicData uri="http://schemas.openxmlformats.org/drawingml/2006/picture">
              <pic:pic>
                <pic:nvPicPr>
                  <pic:cNvPr descr="A logo with a letter and a dna strand&#10;&#10;AI-generated content may be incorrect." id="0" name="image1.png"/>
                  <pic:cNvPicPr preferRelativeResize="0"/>
                </pic:nvPicPr>
                <pic:blipFill>
                  <a:blip r:embed="rId1"/>
                  <a:srcRect b="1139" l="0" r="2375" t="0"/>
                  <a:stretch>
                    <a:fillRect/>
                  </a:stretch>
                </pic:blipFill>
                <pic:spPr>
                  <a:xfrm>
                    <a:off x="0" y="0"/>
                    <a:ext cx="5831514" cy="58900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pt_BR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549e39" w:space="0" w:sz="24" w:val="single"/>
        <w:left w:color="549e39" w:space="0" w:sz="24" w:val="single"/>
        <w:bottom w:color="549e39" w:space="0" w:sz="24" w:val="single"/>
        <w:right w:color="549e39" w:space="0" w:sz="24" w:val="single"/>
      </w:pBdr>
      <w:shd w:fill="549e39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befd3" w:space="0" w:sz="24" w:val="single"/>
        <w:left w:color="dbefd3" w:space="0" w:sz="24" w:val="single"/>
        <w:bottom w:color="dbefd3" w:space="0" w:sz="24" w:val="single"/>
        <w:right w:color="dbefd3" w:space="0" w:sz="24" w:val="single"/>
      </w:pBdr>
      <w:shd w:fill="dbefd3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549e39" w:space="2" w:sz="6" w:val="single"/>
      </w:pBdr>
      <w:spacing w:after="0" w:before="300" w:lineRule="auto"/>
    </w:pPr>
    <w:rPr>
      <w:smallCaps w:val="1"/>
      <w:color w:val="294e1c"/>
    </w:rPr>
  </w:style>
  <w:style w:type="paragraph" w:styleId="Heading4">
    <w:name w:val="heading 4"/>
    <w:basedOn w:val="Normal"/>
    <w:next w:val="Normal"/>
    <w:pPr>
      <w:pBdr>
        <w:top w:color="549e39" w:space="2" w:sz="6" w:val="dotted"/>
      </w:pBdr>
      <w:spacing w:after="0" w:before="200" w:lineRule="auto"/>
    </w:pPr>
    <w:rPr>
      <w:smallCaps w:val="1"/>
      <w:color w:val="3e762a"/>
    </w:rPr>
  </w:style>
  <w:style w:type="paragraph" w:styleId="Heading5">
    <w:name w:val="heading 5"/>
    <w:basedOn w:val="Normal"/>
    <w:next w:val="Normal"/>
    <w:pPr>
      <w:pBdr>
        <w:bottom w:color="549e39" w:space="1" w:sz="6" w:val="single"/>
      </w:pBdr>
      <w:spacing w:after="0" w:before="200" w:lineRule="auto"/>
    </w:pPr>
    <w:rPr>
      <w:smallCaps w:val="1"/>
      <w:color w:val="3e762a"/>
    </w:rPr>
  </w:style>
  <w:style w:type="paragraph" w:styleId="Heading6">
    <w:name w:val="heading 6"/>
    <w:basedOn w:val="Normal"/>
    <w:next w:val="Normal"/>
    <w:pPr>
      <w:pBdr>
        <w:bottom w:color="549e39" w:space="1" w:sz="6" w:val="dotted"/>
      </w:pBdr>
      <w:spacing w:after="0" w:before="200" w:lineRule="auto"/>
    </w:pPr>
    <w:rPr>
      <w:smallCaps w:val="1"/>
      <w:color w:val="3e762a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mallCaps w:val="1"/>
      <w:color w:val="549e39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A2F44"/>
    <w:pPr>
      <w:spacing w:after="0" w:before="200"/>
      <w:outlineLvl w:val="6"/>
    </w:pPr>
    <w:rPr>
      <w:caps w:val="1"/>
      <w:color w:val="3e762a" w:themeColor="accent1" w:themeShade="0000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A2F44"/>
    <w:pPr>
      <w:spacing w:after="0" w:before="200"/>
      <w:outlineLvl w:val="7"/>
    </w:pPr>
    <w:rPr>
      <w:caps w:val="1"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A2F44"/>
    <w:pPr>
      <w:spacing w:after="0" w:before="200"/>
      <w:outlineLvl w:val="8"/>
    </w:pPr>
    <w:rPr>
      <w:i w:val="1"/>
      <w:iCs w:val="1"/>
      <w:caps w:val="1"/>
      <w:spacing w:val="10"/>
      <w:sz w:val="18"/>
      <w:szCs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DA2F44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DA2F44"/>
    <w:rPr>
      <w:caps w:val="1"/>
      <w:color w:val="ffffff" w:themeColor="background1"/>
      <w:spacing w:val="15"/>
      <w:sz w:val="22"/>
      <w:szCs w:val="22"/>
      <w:shd w:color="auto" w:fill="549e39" w:themeFill="accent1" w:val="clear"/>
    </w:rPr>
  </w:style>
  <w:style w:type="character" w:styleId="Ttulo2Char" w:customStyle="1">
    <w:name w:val="Título 2 Char"/>
    <w:basedOn w:val="Fontepargpadro"/>
    <w:uiPriority w:val="9"/>
    <w:rsid w:val="00DA2F44"/>
    <w:rPr>
      <w:caps w:val="1"/>
      <w:spacing w:val="15"/>
      <w:shd w:color="auto" w:fill="daefd3" w:themeFill="accent1" w:themeFillTint="000033" w:val="clear"/>
    </w:rPr>
  </w:style>
  <w:style w:type="character" w:styleId="Ttulo3Char" w:customStyle="1">
    <w:name w:val="Título 3 Char"/>
    <w:basedOn w:val="Fontepargpadro"/>
    <w:uiPriority w:val="9"/>
    <w:rsid w:val="00DA2F44"/>
    <w:rPr>
      <w:caps w:val="1"/>
      <w:color w:val="294e1c" w:themeColor="accent1" w:themeShade="00007F"/>
      <w:spacing w:val="15"/>
    </w:rPr>
  </w:style>
  <w:style w:type="character" w:styleId="TtuloChar" w:customStyle="1">
    <w:name w:val="Título Char"/>
    <w:basedOn w:val="Fontepargpadro"/>
    <w:uiPriority w:val="10"/>
    <w:rsid w:val="00DA2F44"/>
    <w:rPr>
      <w:rFonts w:asciiTheme="majorHAnsi" w:cstheme="majorBidi" w:eastAsiaTheme="majorEastAsia" w:hAnsiTheme="majorHAnsi"/>
      <w:caps w:val="1"/>
      <w:color w:val="549e39" w:themeColor="accent1"/>
      <w:spacing w:val="10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DA2F44"/>
    <w:rPr>
      <w:caps w:val="1"/>
      <w:color w:val="595959" w:themeColor="text1" w:themeTint="0000A6"/>
      <w:spacing w:val="10"/>
      <w:sz w:val="21"/>
      <w:szCs w:val="21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A2F44"/>
    <w:rPr>
      <w:i w:val="1"/>
      <w:iCs w:val="1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DA2F44"/>
    <w:rPr>
      <w:i w:val="1"/>
      <w:iCs w:val="1"/>
      <w:sz w:val="24"/>
      <w:szCs w:val="24"/>
    </w:rPr>
  </w:style>
  <w:style w:type="character" w:styleId="Ttulo4Char" w:customStyle="1">
    <w:name w:val="Título 4 Char"/>
    <w:basedOn w:val="Fontepargpadro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5Char" w:customStyle="1">
    <w:name w:val="Título 5 Char"/>
    <w:basedOn w:val="Fontepargpadro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6Char" w:customStyle="1">
    <w:name w:val="Título 6 Char"/>
    <w:basedOn w:val="Fontepargpadro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A2F44"/>
    <w:rPr>
      <w:caps w:val="1"/>
      <w:spacing w:val="10"/>
      <w:sz w:val="18"/>
      <w:szCs w:val="1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A2F44"/>
    <w:rPr>
      <w:i w:val="1"/>
      <w:iCs w:val="1"/>
      <w:caps w:val="1"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DA2F44"/>
    <w:rPr>
      <w:b w:val="1"/>
      <w:bCs w:val="1"/>
      <w:color w:val="3e762a" w:themeColor="accent1" w:themeShade="0000BF"/>
      <w:sz w:val="16"/>
      <w:szCs w:val="16"/>
    </w:rPr>
  </w:style>
  <w:style w:type="character" w:styleId="Forte">
    <w:name w:val="Strong"/>
    <w:uiPriority w:val="22"/>
    <w:qFormat w:val="1"/>
    <w:rsid w:val="00DA2F44"/>
    <w:rPr>
      <w:b w:val="1"/>
      <w:bCs w:val="1"/>
    </w:rPr>
  </w:style>
  <w:style w:type="character" w:styleId="nfase">
    <w:name w:val="Emphasis"/>
    <w:uiPriority w:val="20"/>
    <w:qFormat w:val="1"/>
    <w:rsid w:val="00DA2F44"/>
    <w:rPr>
      <w:caps w:val="1"/>
      <w:color w:val="294e1c" w:themeColor="accent1" w:themeShade="00007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A2F44"/>
    <w:pPr>
      <w:spacing w:after="240" w:before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A2F44"/>
    <w:rPr>
      <w:color w:val="549e39" w:themeColor="accent1"/>
      <w:sz w:val="24"/>
      <w:szCs w:val="24"/>
    </w:rPr>
  </w:style>
  <w:style w:type="character" w:styleId="nfaseSutil">
    <w:name w:val="Subtle Emphasis"/>
    <w:uiPriority w:val="19"/>
    <w:qFormat w:val="1"/>
    <w:rsid w:val="00DA2F44"/>
    <w:rPr>
      <w:i w:val="1"/>
      <w:iCs w:val="1"/>
      <w:color w:val="294e1c" w:themeColor="accent1" w:themeShade="00007F"/>
    </w:rPr>
  </w:style>
  <w:style w:type="character" w:styleId="nfaseIntensa">
    <w:name w:val="Intense Emphasis"/>
    <w:uiPriority w:val="21"/>
    <w:qFormat w:val="1"/>
    <w:rsid w:val="00DA2F44"/>
    <w:rPr>
      <w:b w:val="1"/>
      <w:bCs w:val="1"/>
      <w:caps w:val="1"/>
      <w:color w:val="294e1c" w:themeColor="accent1" w:themeShade="00007F"/>
      <w:spacing w:val="10"/>
    </w:rPr>
  </w:style>
  <w:style w:type="character" w:styleId="RefernciaSutil">
    <w:name w:val="Subtle Reference"/>
    <w:uiPriority w:val="31"/>
    <w:qFormat w:val="1"/>
    <w:rsid w:val="00DA2F44"/>
    <w:rPr>
      <w:b w:val="1"/>
      <w:bCs w:val="1"/>
      <w:color w:val="549e39" w:themeColor="accent1"/>
    </w:rPr>
  </w:style>
  <w:style w:type="character" w:styleId="RefernciaIntensa">
    <w:name w:val="Intense Reference"/>
    <w:uiPriority w:val="32"/>
    <w:qFormat w:val="1"/>
    <w:rsid w:val="00DA2F44"/>
    <w:rPr>
      <w:b w:val="1"/>
      <w:bCs w:val="1"/>
      <w:i w:val="1"/>
      <w:iCs w:val="1"/>
      <w:caps w:val="1"/>
      <w:color w:val="549e39" w:themeColor="accent1"/>
    </w:rPr>
  </w:style>
  <w:style w:type="character" w:styleId="TtulodoLivro">
    <w:name w:val="Book Title"/>
    <w:uiPriority w:val="33"/>
    <w:qFormat w:val="1"/>
    <w:rsid w:val="00DA2F44"/>
    <w:rPr>
      <w:b w:val="1"/>
      <w:bCs w:val="1"/>
      <w:i w:val="1"/>
      <w:iCs w:val="1"/>
      <w:spacing w:val="0"/>
    </w:rPr>
  </w:style>
  <w:style w:type="paragraph" w:styleId="CabealhodoSumrio">
    <w:name w:val="TOC Heading"/>
    <w:next w:val="Normal"/>
    <w:uiPriority w:val="39"/>
    <w:unhideWhenUsed w:val="1"/>
    <w:qFormat w:val="1"/>
    <w:rsid w:val="00DA2F44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e762a" w:themeColor="accent1" w:themeShade="0000BF"/>
    </w:rPr>
    <w:tblPr>
      <w:tblStyleRowBandSize w:val="1"/>
      <w:tblStyleColBandSize w:val="1"/>
      <w:tblBorders>
        <w:top w:color="549e39" w:space="0" w:sz="8" w:themeColor="accent1" w:val="single"/>
        <w:bottom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8" w:themeColor="accent1" w:val="single"/>
          <w:left w:space="0" w:sz="0" w:val="nil"/>
          <w:bottom w:color="549e39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8" w:themeColor="accent1" w:val="single"/>
          <w:left w:space="0" w:sz="0" w:val="nil"/>
          <w:bottom w:color="549e39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668926" w:themeColor="accent2" w:themeShade="0000BF"/>
    </w:rPr>
    <w:tblPr>
      <w:tblStyleRowBandSize w:val="1"/>
      <w:tblStyleColBandSize w:val="1"/>
      <w:tblBorders>
        <w:top w:color="8ab833" w:space="0" w:sz="8" w:themeColor="accent2" w:val="single"/>
        <w:bottom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8" w:themeColor="accent2" w:val="single"/>
          <w:left w:space="0" w:sz="0" w:val="nil"/>
          <w:bottom w:color="8ab833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8" w:themeColor="accent2" w:val="single"/>
          <w:left w:space="0" w:sz="0" w:val="nil"/>
          <w:bottom w:color="8ab833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939f27" w:themeColor="accent3" w:themeShade="0000BF"/>
    </w:rPr>
    <w:tblPr>
      <w:tblStyleRowBandSize w:val="1"/>
      <w:tblStyleColBandSize w:val="1"/>
      <w:tblBorders>
        <w:top w:color="c0cf3a" w:space="0" w:sz="8" w:themeColor="accent3" w:val="single"/>
        <w:bottom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8" w:themeColor="accent3" w:val="single"/>
          <w:left w:space="0" w:sz="0" w:val="nil"/>
          <w:bottom w:color="c0cf3a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8" w:themeColor="accent3" w:val="single"/>
          <w:left w:space="0" w:sz="0" w:val="nil"/>
          <w:bottom w:color="c0cf3a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17057" w:themeColor="accent4" w:themeShade="0000BF"/>
    </w:rPr>
    <w:tblPr>
      <w:tblStyleRowBandSize w:val="1"/>
      <w:tblStyleColBandSize w:val="1"/>
      <w:tblBorders>
        <w:top w:color="029676" w:space="0" w:sz="8" w:themeColor="accent4" w:val="single"/>
        <w:bottom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8" w:themeColor="accent4" w:val="single"/>
          <w:left w:space="0" w:sz="0" w:val="nil"/>
          <w:bottom w:color="02967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8" w:themeColor="accent4" w:val="single"/>
          <w:left w:space="0" w:sz="0" w:val="nil"/>
          <w:bottom w:color="02967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b98" w:themeColor="accent5" w:themeShade="0000BF"/>
    </w:rPr>
    <w:tblPr>
      <w:tblStyleRowBandSize w:val="1"/>
      <w:tblStyleColBandSize w:val="1"/>
      <w:tblBorders>
        <w:top w:color="4ab5c4" w:space="0" w:sz="8" w:themeColor="accent5" w:val="single"/>
        <w:bottom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8" w:themeColor="accent5" w:val="single"/>
          <w:left w:space="0" w:sz="0" w:val="nil"/>
          <w:bottom w:color="4ab5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8" w:themeColor="accent5" w:val="single"/>
          <w:left w:space="0" w:sz="0" w:val="nil"/>
          <w:bottom w:color="4ab5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66684" w:themeColor="accent6" w:themeShade="0000BF"/>
    </w:rPr>
    <w:tblPr>
      <w:tblStyleRowBandSize w:val="1"/>
      <w:tblStyleColBandSize w:val="1"/>
      <w:tblBorders>
        <w:top w:color="0989b1" w:space="0" w:sz="8" w:themeColor="accent6" w:val="single"/>
        <w:bottom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8" w:themeColor="accent6" w:val="single"/>
          <w:left w:space="0" w:sz="0" w:val="nil"/>
          <w:bottom w:color="0989b1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8" w:themeColor="accent6" w:val="single"/>
          <w:left w:space="0" w:sz="0" w:val="nil"/>
          <w:bottom w:color="0989b1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6" w:themeColor="accent1" w:val="doub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band1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6" w:themeColor="accent2" w:val="doub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band1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6" w:themeColor="accent3" w:val="doub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band1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6" w:themeColor="accent4" w:val="doub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band1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6" w:themeColor="accent5" w:val="doub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band1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6" w:themeColor="accent6" w:val="doub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band1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  <w:insideH w:color="549e39" w:space="0" w:sz="8" w:themeColor="accent1" w:val="single"/>
        <w:insideV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18" w:themeColor="accent1" w:val="single"/>
          <w:right w:color="549e39" w:space="0" w:sz="8" w:themeColor="accent1" w:val="single"/>
          <w:insideH w:space="0" w:sz="0" w:val="nil"/>
          <w:insideV w:color="549e39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6" w:themeColor="accent1" w:val="doub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H w:space="0" w:sz="0" w:val="nil"/>
          <w:insideV w:color="549e39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band1Vert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  <w:shd w:color="auto" w:fill="d2ebc9" w:themeFill="accent1" w:themeFillTint="00003F" w:val="clear"/>
      </w:tcPr>
    </w:tblStylePr>
    <w:tblStylePr w:type="band1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V w:color="549e39" w:space="0" w:sz="8" w:themeColor="accent1" w:val="single"/>
        </w:tcBorders>
        <w:shd w:color="auto" w:fill="d2ebc9" w:themeFill="accent1" w:themeFillTint="00003F" w:val="clear"/>
      </w:tcPr>
    </w:tblStylePr>
    <w:tblStylePr w:type="band2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V w:color="549e39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  <w:insideH w:color="8ab833" w:space="0" w:sz="8" w:themeColor="accent2" w:val="single"/>
        <w:insideV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18" w:themeColor="accent2" w:val="single"/>
          <w:right w:color="8ab833" w:space="0" w:sz="8" w:themeColor="accent2" w:val="single"/>
          <w:insideH w:space="0" w:sz="0" w:val="nil"/>
          <w:insideV w:color="8ab833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6" w:themeColor="accent2" w:val="doub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H w:space="0" w:sz="0" w:val="nil"/>
          <w:insideV w:color="8ab833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band1Vert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  <w:shd w:color="auto" w:fill="e2f0c9" w:themeFill="accent2" w:themeFillTint="00003F" w:val="clear"/>
      </w:tcPr>
    </w:tblStylePr>
    <w:tblStylePr w:type="band1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V w:color="8ab833" w:space="0" w:sz="8" w:themeColor="accent2" w:val="single"/>
        </w:tcBorders>
        <w:shd w:color="auto" w:fill="e2f0c9" w:themeFill="accent2" w:themeFillTint="00003F" w:val="clear"/>
      </w:tcPr>
    </w:tblStylePr>
    <w:tblStylePr w:type="band2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V w:color="8ab833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  <w:insideH w:color="c0cf3a" w:space="0" w:sz="8" w:themeColor="accent3" w:val="single"/>
        <w:insideV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18" w:themeColor="accent3" w:val="single"/>
          <w:right w:color="c0cf3a" w:space="0" w:sz="8" w:themeColor="accent3" w:val="single"/>
          <w:insideH w:space="0" w:sz="0" w:val="nil"/>
          <w:insideV w:color="c0cf3a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6" w:themeColor="accent3" w:val="doub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H w:space="0" w:sz="0" w:val="nil"/>
          <w:insideV w:color="c0cf3a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band1Vert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  <w:shd w:color="auto" w:fill="eff3ce" w:themeFill="accent3" w:themeFillTint="00003F" w:val="clear"/>
      </w:tcPr>
    </w:tblStylePr>
    <w:tblStylePr w:type="band1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V w:color="c0cf3a" w:space="0" w:sz="8" w:themeColor="accent3" w:val="single"/>
        </w:tcBorders>
        <w:shd w:color="auto" w:fill="eff3ce" w:themeFill="accent3" w:themeFillTint="00003F" w:val="clear"/>
      </w:tcPr>
    </w:tblStylePr>
    <w:tblStylePr w:type="band2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V w:color="c0cf3a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  <w:insideH w:color="029676" w:space="0" w:sz="8" w:themeColor="accent4" w:val="single"/>
        <w:insideV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18" w:themeColor="accent4" w:val="single"/>
          <w:right w:color="029676" w:space="0" w:sz="8" w:themeColor="accent4" w:val="single"/>
          <w:insideH w:space="0" w:sz="0" w:val="nil"/>
          <w:insideV w:color="029676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6" w:themeColor="accent4" w:val="doub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H w:space="0" w:sz="0" w:val="nil"/>
          <w:insideV w:color="029676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band1Vert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  <w:shd w:color="auto" w:fill="a7fdea" w:themeFill="accent4" w:themeFillTint="00003F" w:val="clear"/>
      </w:tcPr>
    </w:tblStylePr>
    <w:tblStylePr w:type="band1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V w:color="029676" w:space="0" w:sz="8" w:themeColor="accent4" w:val="single"/>
        </w:tcBorders>
        <w:shd w:color="auto" w:fill="a7fdea" w:themeFill="accent4" w:themeFillTint="00003F" w:val="clear"/>
      </w:tcPr>
    </w:tblStylePr>
    <w:tblStylePr w:type="band2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V w:color="029676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  <w:insideH w:color="4ab5c4" w:space="0" w:sz="8" w:themeColor="accent5" w:val="single"/>
        <w:insideV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18" w:themeColor="accent5" w:val="single"/>
          <w:right w:color="4ab5c4" w:space="0" w:sz="8" w:themeColor="accent5" w:val="single"/>
          <w:insideH w:space="0" w:sz="0" w:val="nil"/>
          <w:insideV w:color="4ab5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6" w:themeColor="accent5" w:val="doub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H w:space="0" w:sz="0" w:val="nil"/>
          <w:insideV w:color="4ab5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band1Vert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  <w:shd w:color="auto" w:fill="d2ecf0" w:themeFill="accent5" w:themeFillTint="00003F" w:val="clear"/>
      </w:tcPr>
    </w:tblStylePr>
    <w:tblStylePr w:type="band1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V w:color="4ab5c4" w:space="0" w:sz="8" w:themeColor="accent5" w:val="single"/>
        </w:tcBorders>
        <w:shd w:color="auto" w:fill="d2ecf0" w:themeFill="accent5" w:themeFillTint="00003F" w:val="clear"/>
      </w:tcPr>
    </w:tblStylePr>
    <w:tblStylePr w:type="band2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V w:color="4ab5c4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  <w:insideH w:color="0989b1" w:space="0" w:sz="8" w:themeColor="accent6" w:val="single"/>
        <w:insideV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18" w:themeColor="accent6" w:val="single"/>
          <w:right w:color="0989b1" w:space="0" w:sz="8" w:themeColor="accent6" w:val="single"/>
          <w:insideH w:space="0" w:sz="0" w:val="nil"/>
          <w:insideV w:color="0989b1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6" w:themeColor="accent6" w:val="doub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H w:space="0" w:sz="0" w:val="nil"/>
          <w:insideV w:color="0989b1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band1Vert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  <w:shd w:color="auto" w:fill="b2e9fb" w:themeFill="accent6" w:themeFillTint="00003F" w:val="clear"/>
      </w:tcPr>
    </w:tblStylePr>
    <w:tblStylePr w:type="band1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V w:color="0989b1" w:space="0" w:sz="8" w:themeColor="accent6" w:val="single"/>
        </w:tcBorders>
        <w:shd w:color="auto" w:fill="b2e9fb" w:themeFill="accent6" w:themeFillTint="00003F" w:val="clear"/>
      </w:tcPr>
    </w:tblStylePr>
    <w:tblStylePr w:type="band2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V w:color="0989b1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45c" w:space="0" w:sz="8" w:themeColor="accent1" w:themeTint="0000BF" w:val="single"/>
        <w:left w:color="78c45c" w:space="0" w:sz="8" w:themeColor="accent1" w:themeTint="0000BF" w:val="single"/>
        <w:bottom w:color="78c45c" w:space="0" w:sz="8" w:themeColor="accent1" w:themeTint="0000BF" w:val="single"/>
        <w:right w:color="78c45c" w:space="0" w:sz="8" w:themeColor="accent1" w:themeTint="0000BF" w:val="single"/>
        <w:insideH w:color="78c45c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45c" w:space="0" w:sz="8" w:themeColor="accent1" w:themeTint="0000BF" w:val="single"/>
          <w:left w:color="78c45c" w:space="0" w:sz="8" w:themeColor="accent1" w:themeTint="0000BF" w:val="single"/>
          <w:bottom w:color="78c45c" w:space="0" w:sz="8" w:themeColor="accent1" w:themeTint="0000BF" w:val="single"/>
          <w:right w:color="78c45c" w:space="0" w:sz="8" w:themeColor="accent1" w:themeTint="0000BF" w:val="single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45c" w:space="0" w:sz="6" w:themeColor="accent1" w:themeTint="0000BF" w:val="double"/>
          <w:left w:color="78c45c" w:space="0" w:sz="8" w:themeColor="accent1" w:themeTint="0000BF" w:val="single"/>
          <w:bottom w:color="78c45c" w:space="0" w:sz="8" w:themeColor="accent1" w:themeTint="0000BF" w:val="single"/>
          <w:right w:color="78c45c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bc9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9d25d" w:space="0" w:sz="8" w:themeColor="accent2" w:themeTint="0000BF" w:val="single"/>
        <w:left w:color="a9d25d" w:space="0" w:sz="8" w:themeColor="accent2" w:themeTint="0000BF" w:val="single"/>
        <w:bottom w:color="a9d25d" w:space="0" w:sz="8" w:themeColor="accent2" w:themeTint="0000BF" w:val="single"/>
        <w:right w:color="a9d25d" w:space="0" w:sz="8" w:themeColor="accent2" w:themeTint="0000BF" w:val="single"/>
        <w:insideH w:color="a9d25d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9d25d" w:space="0" w:sz="8" w:themeColor="accent2" w:themeTint="0000BF" w:val="single"/>
          <w:left w:color="a9d25d" w:space="0" w:sz="8" w:themeColor="accent2" w:themeTint="0000BF" w:val="single"/>
          <w:bottom w:color="a9d25d" w:space="0" w:sz="8" w:themeColor="accent2" w:themeTint="0000BF" w:val="single"/>
          <w:right w:color="a9d25d" w:space="0" w:sz="8" w:themeColor="accent2" w:themeTint="0000BF" w:val="single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9d25d" w:space="0" w:sz="6" w:themeColor="accent2" w:themeTint="0000BF" w:val="double"/>
          <w:left w:color="a9d25d" w:space="0" w:sz="8" w:themeColor="accent2" w:themeTint="0000BF" w:val="single"/>
          <w:bottom w:color="a9d25d" w:space="0" w:sz="8" w:themeColor="accent2" w:themeTint="0000BF" w:val="single"/>
          <w:right w:color="a9d25d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f0c9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db6b" w:space="0" w:sz="8" w:themeColor="accent3" w:themeTint="0000BF" w:val="single"/>
        <w:left w:color="cfdb6b" w:space="0" w:sz="8" w:themeColor="accent3" w:themeTint="0000BF" w:val="single"/>
        <w:bottom w:color="cfdb6b" w:space="0" w:sz="8" w:themeColor="accent3" w:themeTint="0000BF" w:val="single"/>
        <w:right w:color="cfdb6b" w:space="0" w:sz="8" w:themeColor="accent3" w:themeTint="0000BF" w:val="single"/>
        <w:insideH w:color="cfdb6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db6b" w:space="0" w:sz="8" w:themeColor="accent3" w:themeTint="0000BF" w:val="single"/>
          <w:left w:color="cfdb6b" w:space="0" w:sz="8" w:themeColor="accent3" w:themeTint="0000BF" w:val="single"/>
          <w:bottom w:color="cfdb6b" w:space="0" w:sz="8" w:themeColor="accent3" w:themeTint="0000BF" w:val="single"/>
          <w:right w:color="cfdb6b" w:space="0" w:sz="8" w:themeColor="accent3" w:themeTint="0000BF" w:val="single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db6b" w:space="0" w:sz="6" w:themeColor="accent3" w:themeTint="0000BF" w:val="double"/>
          <w:left w:color="cfdb6b" w:space="0" w:sz="8" w:themeColor="accent3" w:themeTint="0000BF" w:val="single"/>
          <w:bottom w:color="cfdb6b" w:space="0" w:sz="8" w:themeColor="accent3" w:themeTint="0000BF" w:val="single"/>
          <w:right w:color="cfdb6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f3ce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03eeba" w:space="0" w:sz="8" w:themeColor="accent4" w:themeTint="0000BF" w:val="single"/>
        <w:left w:color="03eeba" w:space="0" w:sz="8" w:themeColor="accent4" w:themeTint="0000BF" w:val="single"/>
        <w:bottom w:color="03eeba" w:space="0" w:sz="8" w:themeColor="accent4" w:themeTint="0000BF" w:val="single"/>
        <w:right w:color="03eeba" w:space="0" w:sz="8" w:themeColor="accent4" w:themeTint="0000BF" w:val="single"/>
        <w:insideH w:color="03eeba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3eeba" w:space="0" w:sz="8" w:themeColor="accent4" w:themeTint="0000BF" w:val="single"/>
          <w:left w:color="03eeba" w:space="0" w:sz="8" w:themeColor="accent4" w:themeTint="0000BF" w:val="single"/>
          <w:bottom w:color="03eeba" w:space="0" w:sz="8" w:themeColor="accent4" w:themeTint="0000BF" w:val="single"/>
          <w:right w:color="03eeba" w:space="0" w:sz="8" w:themeColor="accent4" w:themeTint="0000BF" w:val="single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3eeba" w:space="0" w:sz="6" w:themeColor="accent4" w:themeTint="0000BF" w:val="double"/>
          <w:left w:color="03eeba" w:space="0" w:sz="8" w:themeColor="accent4" w:themeTint="0000BF" w:val="single"/>
          <w:bottom w:color="03eeba" w:space="0" w:sz="8" w:themeColor="accent4" w:themeTint="0000BF" w:val="single"/>
          <w:right w:color="03eeba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fdea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7c7d2" w:space="0" w:sz="8" w:themeColor="accent5" w:themeTint="0000BF" w:val="single"/>
        <w:left w:color="77c7d2" w:space="0" w:sz="8" w:themeColor="accent5" w:themeTint="0000BF" w:val="single"/>
        <w:bottom w:color="77c7d2" w:space="0" w:sz="8" w:themeColor="accent5" w:themeTint="0000BF" w:val="single"/>
        <w:right w:color="77c7d2" w:space="0" w:sz="8" w:themeColor="accent5" w:themeTint="0000BF" w:val="single"/>
        <w:insideH w:color="77c7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7c7d2" w:space="0" w:sz="8" w:themeColor="accent5" w:themeTint="0000BF" w:val="single"/>
          <w:left w:color="77c7d2" w:space="0" w:sz="8" w:themeColor="accent5" w:themeTint="0000BF" w:val="single"/>
          <w:bottom w:color="77c7d2" w:space="0" w:sz="8" w:themeColor="accent5" w:themeTint="0000BF" w:val="single"/>
          <w:right w:color="77c7d2" w:space="0" w:sz="8" w:themeColor="accent5" w:themeTint="0000BF" w:val="single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7c7d2" w:space="0" w:sz="6" w:themeColor="accent5" w:themeTint="0000BF" w:val="double"/>
          <w:left w:color="77c7d2" w:space="0" w:sz="8" w:themeColor="accent5" w:themeTint="0000BF" w:val="single"/>
          <w:bottom w:color="77c7d2" w:space="0" w:sz="8" w:themeColor="accent5" w:themeTint="0000BF" w:val="single"/>
          <w:right w:color="77c7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c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17bef3" w:space="0" w:sz="8" w:themeColor="accent6" w:themeTint="0000BF" w:val="single"/>
        <w:left w:color="17bef3" w:space="0" w:sz="8" w:themeColor="accent6" w:themeTint="0000BF" w:val="single"/>
        <w:bottom w:color="17bef3" w:space="0" w:sz="8" w:themeColor="accent6" w:themeTint="0000BF" w:val="single"/>
        <w:right w:color="17bef3" w:space="0" w:sz="8" w:themeColor="accent6" w:themeTint="0000BF" w:val="single"/>
        <w:insideH w:color="17bef3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17bef3" w:space="0" w:sz="8" w:themeColor="accent6" w:themeTint="0000BF" w:val="single"/>
          <w:left w:color="17bef3" w:space="0" w:sz="8" w:themeColor="accent6" w:themeTint="0000BF" w:val="single"/>
          <w:bottom w:color="17bef3" w:space="0" w:sz="8" w:themeColor="accent6" w:themeTint="0000BF" w:val="single"/>
          <w:right w:color="17bef3" w:space="0" w:sz="8" w:themeColor="accent6" w:themeTint="0000BF" w:val="single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7bef3" w:space="0" w:sz="6" w:themeColor="accent6" w:themeTint="0000BF" w:val="double"/>
          <w:left w:color="17bef3" w:space="0" w:sz="8" w:themeColor="accent6" w:themeTint="0000BF" w:val="single"/>
          <w:bottom w:color="17bef3" w:space="0" w:sz="8" w:themeColor="accent6" w:themeTint="0000BF" w:val="single"/>
          <w:right w:color="17bef3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2e9fb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bottom w:color="549e39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9e39" w:space="0" w:sz="8" w:themeColor="accent1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549e39" w:space="0" w:sz="8" w:themeColor="accent1" w:val="single"/>
          <w:bottom w:color="549e39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9e39" w:space="0" w:sz="8" w:themeColor="accent1" w:val="single"/>
          <w:bottom w:color="549e39" w:space="0" w:sz="8" w:themeColor="accent1" w:val="single"/>
        </w:tcBorders>
      </w:tcPr>
    </w:tblStylePr>
    <w:tblStylePr w:type="band1Vert">
      <w:tblPr/>
      <w:tcPr>
        <w:shd w:color="auto" w:fill="d2ebc9" w:themeFill="accent1" w:themeFillTint="00003F" w:val="clear"/>
      </w:tcPr>
    </w:tblStylePr>
    <w:tblStylePr w:type="band1Horz">
      <w:tblPr/>
      <w:tcPr>
        <w:shd w:color="auto" w:fill="d2ebc9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bottom w:color="8ab833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ab833" w:space="0" w:sz="8" w:themeColor="accent2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8ab833" w:space="0" w:sz="8" w:themeColor="accent2" w:val="single"/>
          <w:bottom w:color="8ab833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ab833" w:space="0" w:sz="8" w:themeColor="accent2" w:val="single"/>
          <w:bottom w:color="8ab833" w:space="0" w:sz="8" w:themeColor="accent2" w:val="single"/>
        </w:tcBorders>
      </w:tcPr>
    </w:tblStylePr>
    <w:tblStylePr w:type="band1Vert">
      <w:tblPr/>
      <w:tcPr>
        <w:shd w:color="auto" w:fill="e2f0c9" w:themeFill="accent2" w:themeFillTint="00003F" w:val="clear"/>
      </w:tcPr>
    </w:tblStylePr>
    <w:tblStylePr w:type="band1Horz">
      <w:tblPr/>
      <w:tcPr>
        <w:shd w:color="auto" w:fill="e2f0c9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bottom w:color="c0cf3a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cf3a" w:space="0" w:sz="8" w:themeColor="accent3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c0cf3a" w:space="0" w:sz="8" w:themeColor="accent3" w:val="single"/>
          <w:bottom w:color="c0cf3a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cf3a" w:space="0" w:sz="8" w:themeColor="accent3" w:val="single"/>
          <w:bottom w:color="c0cf3a" w:space="0" w:sz="8" w:themeColor="accent3" w:val="single"/>
        </w:tcBorders>
      </w:tcPr>
    </w:tblStylePr>
    <w:tblStylePr w:type="band1Vert">
      <w:tblPr/>
      <w:tcPr>
        <w:shd w:color="auto" w:fill="eff3ce" w:themeFill="accent3" w:themeFillTint="00003F" w:val="clear"/>
      </w:tcPr>
    </w:tblStylePr>
    <w:tblStylePr w:type="band1Horz">
      <w:tblPr/>
      <w:tcPr>
        <w:shd w:color="auto" w:fill="eff3ce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bottom w:color="029676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29676" w:space="0" w:sz="8" w:themeColor="accent4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29676" w:space="0" w:sz="8" w:themeColor="accent4" w:val="single"/>
          <w:bottom w:color="02967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29676" w:space="0" w:sz="8" w:themeColor="accent4" w:val="single"/>
          <w:bottom w:color="029676" w:space="0" w:sz="8" w:themeColor="accent4" w:val="single"/>
        </w:tcBorders>
      </w:tcPr>
    </w:tblStylePr>
    <w:tblStylePr w:type="band1Vert">
      <w:tblPr/>
      <w:tcPr>
        <w:shd w:color="auto" w:fill="a7fdea" w:themeFill="accent4" w:themeFillTint="00003F" w:val="clear"/>
      </w:tcPr>
    </w:tblStylePr>
    <w:tblStylePr w:type="band1Horz">
      <w:tblPr/>
      <w:tcPr>
        <w:shd w:color="auto" w:fill="a7fdea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bottom w:color="4ab5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ab5c4" w:space="0" w:sz="8" w:themeColor="accent5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4ab5c4" w:space="0" w:sz="8" w:themeColor="accent5" w:val="single"/>
          <w:bottom w:color="4ab5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ab5c4" w:space="0" w:sz="8" w:themeColor="accent5" w:val="single"/>
          <w:bottom w:color="4ab5c4" w:space="0" w:sz="8" w:themeColor="accent5" w:val="single"/>
        </w:tcBorders>
      </w:tcPr>
    </w:tblStylePr>
    <w:tblStylePr w:type="band1Vert">
      <w:tblPr/>
      <w:tcPr>
        <w:shd w:color="auto" w:fill="d2ecf0" w:themeFill="accent5" w:themeFillTint="00003F" w:val="clear"/>
      </w:tcPr>
    </w:tblStylePr>
    <w:tblStylePr w:type="band1Horz">
      <w:tblPr/>
      <w:tcPr>
        <w:shd w:color="auto" w:fill="d2ecf0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bottom w:color="0989b1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989b1" w:space="0" w:sz="8" w:themeColor="accent6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989b1" w:space="0" w:sz="8" w:themeColor="accent6" w:val="single"/>
          <w:bottom w:color="0989b1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989b1" w:space="0" w:sz="8" w:themeColor="accent6" w:val="single"/>
          <w:bottom w:color="0989b1" w:space="0" w:sz="8" w:themeColor="accent6" w:val="single"/>
        </w:tcBorders>
      </w:tcPr>
    </w:tblStylePr>
    <w:tblStylePr w:type="band1Vert">
      <w:tblPr/>
      <w:tcPr>
        <w:shd w:color="auto" w:fill="b2e9fb" w:themeFill="accent6" w:themeFillTint="00003F" w:val="clear"/>
      </w:tcPr>
    </w:tblStylePr>
    <w:tblStylePr w:type="band1Horz">
      <w:tblPr/>
      <w:tcPr>
        <w:shd w:color="auto" w:fill="b2e9fb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9e39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9e39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9e39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9e39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ab833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ab833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ab833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cf3a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cf3a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cf3a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cf3a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2967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29676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29676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29676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ab5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ab5c4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ab5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ab5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989b1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989b1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989b1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989b1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45c" w:space="0" w:sz="8" w:themeColor="accent1" w:themeTint="0000BF" w:val="single"/>
        <w:left w:color="78c45c" w:space="0" w:sz="8" w:themeColor="accent1" w:themeTint="0000BF" w:val="single"/>
        <w:bottom w:color="78c45c" w:space="0" w:sz="8" w:themeColor="accent1" w:themeTint="0000BF" w:val="single"/>
        <w:right w:color="78c45c" w:space="0" w:sz="8" w:themeColor="accent1" w:themeTint="0000BF" w:val="single"/>
        <w:insideH w:color="78c45c" w:space="0" w:sz="8" w:themeColor="accent1" w:themeTint="0000BF" w:val="single"/>
        <w:insideV w:color="78c45c" w:space="0" w:sz="8" w:themeColor="accent1" w:themeTint="0000BF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45c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shd w:color="auto" w:fill="a5d893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9d25d" w:space="0" w:sz="8" w:themeColor="accent2" w:themeTint="0000BF" w:val="single"/>
        <w:left w:color="a9d25d" w:space="0" w:sz="8" w:themeColor="accent2" w:themeTint="0000BF" w:val="single"/>
        <w:bottom w:color="a9d25d" w:space="0" w:sz="8" w:themeColor="accent2" w:themeTint="0000BF" w:val="single"/>
        <w:right w:color="a9d25d" w:space="0" w:sz="8" w:themeColor="accent2" w:themeTint="0000BF" w:val="single"/>
        <w:insideH w:color="a9d25d" w:space="0" w:sz="8" w:themeColor="accent2" w:themeTint="0000BF" w:val="single"/>
        <w:insideV w:color="a9d25d" w:space="0" w:sz="8" w:themeColor="accent2" w:themeTint="0000BF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9d25d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shd w:color="auto" w:fill="c6e193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db6b" w:space="0" w:sz="8" w:themeColor="accent3" w:themeTint="0000BF" w:val="single"/>
        <w:left w:color="cfdb6b" w:space="0" w:sz="8" w:themeColor="accent3" w:themeTint="0000BF" w:val="single"/>
        <w:bottom w:color="cfdb6b" w:space="0" w:sz="8" w:themeColor="accent3" w:themeTint="0000BF" w:val="single"/>
        <w:right w:color="cfdb6b" w:space="0" w:sz="8" w:themeColor="accent3" w:themeTint="0000BF" w:val="single"/>
        <w:insideH w:color="cfdb6b" w:space="0" w:sz="8" w:themeColor="accent3" w:themeTint="0000BF" w:val="single"/>
        <w:insideV w:color="cfdb6b" w:space="0" w:sz="8" w:themeColor="accent3" w:themeTint="0000BF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db6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03eeba" w:space="0" w:sz="8" w:themeColor="accent4" w:themeTint="0000BF" w:val="single"/>
        <w:left w:color="03eeba" w:space="0" w:sz="8" w:themeColor="accent4" w:themeTint="0000BF" w:val="single"/>
        <w:bottom w:color="03eeba" w:space="0" w:sz="8" w:themeColor="accent4" w:themeTint="0000BF" w:val="single"/>
        <w:right w:color="03eeba" w:space="0" w:sz="8" w:themeColor="accent4" w:themeTint="0000BF" w:val="single"/>
        <w:insideH w:color="03eeba" w:space="0" w:sz="8" w:themeColor="accent4" w:themeTint="0000BF" w:val="single"/>
        <w:insideV w:color="03eeba" w:space="0" w:sz="8" w:themeColor="accent4" w:themeTint="0000BF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3eeba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shd w:color="auto" w:fill="4ffcd6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7c7d2" w:space="0" w:sz="8" w:themeColor="accent5" w:themeTint="0000BF" w:val="single"/>
        <w:left w:color="77c7d2" w:space="0" w:sz="8" w:themeColor="accent5" w:themeTint="0000BF" w:val="single"/>
        <w:bottom w:color="77c7d2" w:space="0" w:sz="8" w:themeColor="accent5" w:themeTint="0000BF" w:val="single"/>
        <w:right w:color="77c7d2" w:space="0" w:sz="8" w:themeColor="accent5" w:themeTint="0000BF" w:val="single"/>
        <w:insideH w:color="77c7d2" w:space="0" w:sz="8" w:themeColor="accent5" w:themeTint="0000BF" w:val="single"/>
        <w:insideV w:color="77c7d2" w:space="0" w:sz="8" w:themeColor="accent5" w:themeTint="0000BF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7c7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shd w:color="auto" w:fill="a4dae1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17bef3" w:space="0" w:sz="8" w:themeColor="accent6" w:themeTint="0000BF" w:val="single"/>
        <w:left w:color="17bef3" w:space="0" w:sz="8" w:themeColor="accent6" w:themeTint="0000BF" w:val="single"/>
        <w:bottom w:color="17bef3" w:space="0" w:sz="8" w:themeColor="accent6" w:themeTint="0000BF" w:val="single"/>
        <w:right w:color="17bef3" w:space="0" w:sz="8" w:themeColor="accent6" w:themeTint="0000BF" w:val="single"/>
        <w:insideH w:color="17bef3" w:space="0" w:sz="8" w:themeColor="accent6" w:themeTint="0000BF" w:val="single"/>
        <w:insideV w:color="17bef3" w:space="0" w:sz="8" w:themeColor="accent6" w:themeTint="0000BF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17bef3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shd w:color="auto" w:fill="65d4f7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  <w:insideH w:color="549e39" w:space="0" w:sz="8" w:themeColor="accent1" w:val="single"/>
        <w:insideV w:color="549e39" w:space="0" w:sz="8" w:themeColor="accent1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7e9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fd3" w:themeFill="accent1" w:themeFillTint="000033" w:val="clear"/>
      </w:tc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tcBorders>
          <w:insideH w:color="549e39" w:space="0" w:sz="6" w:themeColor="accent1" w:val="single"/>
          <w:insideV w:color="549e39" w:space="0" w:sz="6" w:themeColor="accent1" w:val="single"/>
        </w:tcBorders>
        <w:shd w:color="auto" w:fill="a5d893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  <w:insideH w:color="8ab833" w:space="0" w:sz="8" w:themeColor="accent2" w:val="single"/>
        <w:insideV w:color="8ab833" w:space="0" w:sz="8" w:themeColor="accent2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9e9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f3d3" w:themeFill="accent2" w:themeFillTint="000033" w:val="clear"/>
      </w:tc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tcBorders>
          <w:insideH w:color="8ab833" w:space="0" w:sz="6" w:themeColor="accent2" w:val="single"/>
          <w:insideV w:color="8ab833" w:space="0" w:sz="6" w:themeColor="accent2" w:val="single"/>
        </w:tcBorders>
        <w:shd w:color="auto" w:fill="c6e193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  <w:insideH w:color="c0cf3a" w:space="0" w:sz="8" w:themeColor="accent3" w:val="single"/>
        <w:insideV w:color="c0cf3a" w:space="0" w:sz="8" w:themeColor="accent3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aeb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5d7" w:themeFill="accent3" w:themeFillTint="000033" w:val="clear"/>
      </w:tc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tcBorders>
          <w:insideH w:color="c0cf3a" w:space="0" w:sz="6" w:themeColor="accent3" w:val="single"/>
          <w:insideV w:color="c0cf3a" w:space="0" w:sz="6" w:themeColor="accent3" w:val="single"/>
        </w:tcBorders>
        <w:shd w:color="auto" w:fill="dfe79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  <w:insideH w:color="029676" w:space="0" w:sz="8" w:themeColor="accent4" w:val="single"/>
        <w:insideV w:color="029676" w:space="0" w:sz="8" w:themeColor="accent4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cfef7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8feee" w:themeFill="accent4" w:themeFillTint="000033" w:val="clear"/>
      </w:tc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tcBorders>
          <w:insideH w:color="029676" w:space="0" w:sz="6" w:themeColor="accent4" w:val="single"/>
          <w:insideV w:color="029676" w:space="0" w:sz="6" w:themeColor="accent4" w:val="single"/>
        </w:tcBorders>
        <w:shd w:color="auto" w:fill="4ffcd6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  <w:insideH w:color="4ab5c4" w:space="0" w:sz="8" w:themeColor="accent5" w:val="single"/>
        <w:insideV w:color="4ab5c4" w:space="0" w:sz="8" w:themeColor="accent5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7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0f3" w:themeFill="accent5" w:themeFillTint="000033" w:val="clear"/>
      </w:tc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tcBorders>
          <w:insideH w:color="4ab5c4" w:space="0" w:sz="6" w:themeColor="accent5" w:val="single"/>
          <w:insideV w:color="4ab5c4" w:space="0" w:sz="6" w:themeColor="accent5" w:val="single"/>
        </w:tcBorders>
        <w:shd w:color="auto" w:fill="a4da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  <w:insideH w:color="0989b1" w:space="0" w:sz="8" w:themeColor="accent6" w:val="single"/>
        <w:insideV w:color="0989b1" w:space="0" w:sz="8" w:themeColor="accent6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0f6f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1edfc" w:themeFill="accent6" w:themeFillTint="000033" w:val="clear"/>
      </w:tc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tcBorders>
          <w:insideH w:color="0989b1" w:space="0" w:sz="6" w:themeColor="accent6" w:val="single"/>
          <w:insideV w:color="0989b1" w:space="0" w:sz="6" w:themeColor="accent6" w:val="single"/>
        </w:tcBorders>
        <w:shd w:color="auto" w:fill="65d4f7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9e39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9e39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893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893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ab833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ab833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6e193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6e193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cf3a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cf3a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e79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e79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29676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29676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4ffcd6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4ffcd6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ab5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ab5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4da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4dae1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989b1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989b1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5d4f7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5d4f7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9e39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e1c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ab833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5b19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cf3a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6919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29676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4a3a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ab5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5c65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989b1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44357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549e39" w:space="0" w:sz="4" w:themeColor="accent1" w:val="single"/>
        <w:bottom w:color="549e39" w:space="0" w:sz="4" w:themeColor="accent1" w:val="single"/>
        <w:right w:color="549e39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7e9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e22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e22" w:space="0" w:sz="4" w:themeColor="accent1" w:themeShade="000099" w:val="single"/>
          <w:insideV w:space="0" w:sz="0" w:val="nil"/>
        </w:tcBorders>
        <w:shd w:color="auto" w:fill="325e22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e22" w:themeFill="accent1" w:themeFillShade="000099" w:val="clear"/>
      </w:tcPr>
    </w:tblStylePr>
    <w:tblStylePr w:type="band1Vert">
      <w:tblPr/>
      <w:tcPr>
        <w:shd w:color="auto" w:fill="b7dfa8" w:themeFill="accent1" w:themeFillTint="000066" w:val="clear"/>
      </w:tcPr>
    </w:tblStylePr>
    <w:tblStylePr w:type="band1Horz">
      <w:tblPr/>
      <w:tcPr>
        <w:shd w:color="auto" w:fill="a5d893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8ab833" w:space="0" w:sz="4" w:themeColor="accent2" w:val="single"/>
        <w:bottom w:color="8ab833" w:space="0" w:sz="4" w:themeColor="accent2" w:val="single"/>
        <w:right w:color="8ab833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9e9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26e1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26e1e" w:space="0" w:sz="4" w:themeColor="accent2" w:themeShade="000099" w:val="single"/>
          <w:insideV w:space="0" w:sz="0" w:val="nil"/>
        </w:tcBorders>
        <w:shd w:color="auto" w:fill="526e1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6e1e" w:themeFill="accent2" w:themeFillShade="000099" w:val="clear"/>
      </w:tcPr>
    </w:tblStylePr>
    <w:tblStylePr w:type="band1Vert">
      <w:tblPr/>
      <w:tcPr>
        <w:shd w:color="auto" w:fill="d1e7a8" w:themeFill="accent2" w:themeFillTint="000066" w:val="clear"/>
      </w:tcPr>
    </w:tblStylePr>
    <w:tblStylePr w:type="band1Horz">
      <w:tblPr/>
      <w:tcPr>
        <w:shd w:color="auto" w:fill="c6e193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29676" w:space="0" w:sz="24" w:themeColor="accent4" w:val="single"/>
        <w:left w:color="c0cf3a" w:space="0" w:sz="4" w:themeColor="accent3" w:val="single"/>
        <w:bottom w:color="c0cf3a" w:space="0" w:sz="4" w:themeColor="accent3" w:val="single"/>
        <w:right w:color="c0cf3a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aeb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2967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7f1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7f1f" w:space="0" w:sz="4" w:themeColor="accent3" w:themeShade="000099" w:val="single"/>
          <w:insideV w:space="0" w:sz="0" w:val="nil"/>
        </w:tcBorders>
        <w:shd w:color="auto" w:fill="757f1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7f1f" w:themeFill="accent3" w:themeFillShade="000099" w:val="clear"/>
      </w:tcPr>
    </w:tblStylePr>
    <w:tblStylePr w:type="band1Vert">
      <w:tblPr/>
      <w:tcPr>
        <w:shd w:color="auto" w:fill="e5ebb0" w:themeFill="accent3" w:themeFillTint="000066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cf3a" w:space="0" w:sz="24" w:themeColor="accent3" w:val="single"/>
        <w:left w:color="029676" w:space="0" w:sz="4" w:themeColor="accent4" w:val="single"/>
        <w:bottom w:color="029676" w:space="0" w:sz="4" w:themeColor="accent4" w:val="single"/>
        <w:right w:color="029676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cfef7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cf3a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15946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15946" w:space="0" w:sz="4" w:themeColor="accent4" w:themeShade="000099" w:val="single"/>
          <w:insideV w:space="0" w:sz="0" w:val="nil"/>
        </w:tcBorders>
        <w:shd w:color="auto" w:fill="015946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5946" w:themeFill="accent4" w:themeFillShade="000099" w:val="clear"/>
      </w:tcPr>
    </w:tblStylePr>
    <w:tblStylePr w:type="band1Vert">
      <w:tblPr/>
      <w:tcPr>
        <w:shd w:color="auto" w:fill="71fdde" w:themeFill="accent4" w:themeFillTint="000066" w:val="clear"/>
      </w:tcPr>
    </w:tblStylePr>
    <w:tblStylePr w:type="band1Horz">
      <w:tblPr/>
      <w:tcPr>
        <w:shd w:color="auto" w:fill="4ffcd6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989b1" w:space="0" w:sz="24" w:themeColor="accent6" w:val="single"/>
        <w:left w:color="4ab5c4" w:space="0" w:sz="4" w:themeColor="accent5" w:val="single"/>
        <w:bottom w:color="4ab5c4" w:space="0" w:sz="4" w:themeColor="accent5" w:val="single"/>
        <w:right w:color="4ab5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7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989b1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86f7a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86f7a" w:space="0" w:sz="4" w:themeColor="accent5" w:themeShade="000099" w:val="single"/>
          <w:insideV w:space="0" w:sz="0" w:val="nil"/>
        </w:tcBorders>
        <w:shd w:color="auto" w:fill="286f7a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86f7a" w:themeFill="accent5" w:themeFillShade="000099" w:val="clear"/>
      </w:tcPr>
    </w:tblStylePr>
    <w:tblStylePr w:type="band1Vert">
      <w:tblPr/>
      <w:tcPr>
        <w:shd w:color="auto" w:fill="b6e1e7" w:themeFill="accent5" w:themeFillTint="000066" w:val="clear"/>
      </w:tcPr>
    </w:tblStylePr>
    <w:tblStylePr w:type="band1Horz">
      <w:tblPr/>
      <w:tcPr>
        <w:shd w:color="auto" w:fill="a4da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ab5c4" w:space="0" w:sz="24" w:themeColor="accent5" w:val="single"/>
        <w:left w:color="0989b1" w:space="0" w:sz="4" w:themeColor="accent6" w:val="single"/>
        <w:bottom w:color="0989b1" w:space="0" w:sz="4" w:themeColor="accent6" w:val="single"/>
        <w:right w:color="0989b1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6f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ab5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55169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55169" w:space="0" w:sz="4" w:themeColor="accent6" w:themeShade="000099" w:val="single"/>
          <w:insideV w:space="0" w:sz="0" w:val="nil"/>
        </w:tcBorders>
        <w:shd w:color="auto" w:fill="055169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55169" w:themeFill="accent6" w:themeFillShade="000099" w:val="clear"/>
      </w:tcPr>
    </w:tblStylePr>
    <w:tblStylePr w:type="band1Vert">
      <w:tblPr/>
      <w:tcPr>
        <w:shd w:color="auto" w:fill="83dcf8" w:themeFill="accent6" w:themeFillTint="000066" w:val="clear"/>
      </w:tcPr>
    </w:tblStylePr>
    <w:tblStylePr w:type="band1Horz">
      <w:tblPr/>
      <w:tcPr>
        <w:shd w:color="auto" w:fill="65d4f7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7e9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shd w:color="auto" w:fill="daefd3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3f9e9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shd w:color="auto" w:fill="e8f3d3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faeb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1775d" w:themeFill="accent4" w:themeFillShade="0000CC" w:val="clear"/>
      </w:tcPr>
    </w:tblStylePr>
    <w:tblStylePr w:type="lastRow">
      <w:rPr>
        <w:b w:val="1"/>
        <w:bCs w:val="1"/>
        <w:color w:val="01775d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shd w:color="auto" w:fill="f2f5d7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dcfef7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daa29" w:themeFill="accent3" w:themeFillShade="0000CC" w:val="clear"/>
      </w:tcPr>
    </w:tblStylePr>
    <w:tblStylePr w:type="lastRow">
      <w:rPr>
        <w:b w:val="1"/>
        <w:bCs w:val="1"/>
        <w:color w:val="9daa29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shd w:color="auto" w:fill="b8feee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7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76d8d" w:themeFill="accent6" w:themeFillShade="0000CC" w:val="clear"/>
      </w:tcPr>
    </w:tblStylePr>
    <w:tblStylePr w:type="lastRow">
      <w:rPr>
        <w:b w:val="1"/>
        <w:bCs w:val="1"/>
        <w:color w:val="076d8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shd w:color="auto" w:fill="daf0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0f6f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595a2" w:themeFill="accent5" w:themeFillShade="0000CC" w:val="clear"/>
      </w:tcPr>
    </w:tblStylePr>
    <w:tblStylePr w:type="lastRow">
      <w:rPr>
        <w:b w:val="1"/>
        <w:bCs w:val="1"/>
        <w:color w:val="3595a2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shd w:color="auto" w:fill="c1edfc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fd3" w:themeFill="accent1" w:themeFillTint="000033" w:val="clear"/>
    </w:tcPr>
    <w:tblStylePr w:type="firstRow">
      <w:rPr>
        <w:b w:val="1"/>
        <w:bCs w:val="1"/>
      </w:rPr>
      <w:tblPr/>
      <w:tcPr>
        <w:shd w:color="auto" w:fill="b7dfa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dfa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e762a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e762a" w:themeFill="accent1" w:themeFillShade="0000BF" w:val="clear"/>
      </w:tc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shd w:color="auto" w:fill="a5d893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8f3d3" w:themeFill="accent2" w:themeFillTint="000033" w:val="clear"/>
    </w:tcPr>
    <w:tblStylePr w:type="firstRow">
      <w:rPr>
        <w:b w:val="1"/>
        <w:bCs w:val="1"/>
      </w:rPr>
      <w:tblPr/>
      <w:tcPr>
        <w:shd w:color="auto" w:fill="d1e7a8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1e7a8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668926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668926" w:themeFill="accent2" w:themeFillShade="0000BF" w:val="clear"/>
      </w:tc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shd w:color="auto" w:fill="c6e193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5d7" w:themeFill="accent3" w:themeFillTint="000033" w:val="clear"/>
    </w:tcPr>
    <w:tblStylePr w:type="firstRow">
      <w:rPr>
        <w:b w:val="1"/>
        <w:bCs w:val="1"/>
      </w:rPr>
      <w:tblPr/>
      <w:tcPr>
        <w:shd w:color="auto" w:fill="e5ebb0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bb0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939f27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939f27" w:themeFill="accent3" w:themeFillShade="0000BF" w:val="clear"/>
      </w:tc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b8feee" w:themeFill="accent4" w:themeFillTint="000033" w:val="clear"/>
    </w:tcPr>
    <w:tblStylePr w:type="firstRow">
      <w:rPr>
        <w:b w:val="1"/>
        <w:bCs w:val="1"/>
      </w:rPr>
      <w:tblPr/>
      <w:tcPr>
        <w:shd w:color="auto" w:fill="71fdde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71fdde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017057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017057" w:themeFill="accent4" w:themeFillShade="0000BF" w:val="clear"/>
      </w:tc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shd w:color="auto" w:fill="4ffcd6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0f3" w:themeFill="accent5" w:themeFillTint="000033" w:val="clear"/>
    </w:tcPr>
    <w:tblStylePr w:type="firstRow">
      <w:rPr>
        <w:b w:val="1"/>
        <w:bCs w:val="1"/>
      </w:rPr>
      <w:tblPr/>
      <w:tcPr>
        <w:shd w:color="auto" w:fill="b6e1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e1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b98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b98" w:themeFill="accent5" w:themeFillShade="0000BF" w:val="clear"/>
      </w:tc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shd w:color="auto" w:fill="a4dae1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edfc" w:themeFill="accent6" w:themeFillTint="000033" w:val="clear"/>
    </w:tcPr>
    <w:tblStylePr w:type="firstRow">
      <w:rPr>
        <w:b w:val="1"/>
        <w:bCs w:val="1"/>
      </w:rPr>
      <w:tblPr/>
      <w:tcPr>
        <w:shd w:color="auto" w:fill="83dcf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3dcf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066684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066684" w:themeFill="accent6" w:themeFillShade="0000BF" w:val="clear"/>
      </w:tc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shd w:color="auto" w:fill="65d4f7" w:themeFill="accent6" w:themeFillTint="00007F" w:val="clear"/>
      </w:tcPr>
    </w:tblStylePr>
  </w:style>
  <w:style w:type="character" w:styleId="Hyperlink">
    <w:name w:val="Hyperlink"/>
    <w:basedOn w:val="Fontepargpadro"/>
    <w:uiPriority w:val="99"/>
    <w:unhideWhenUsed w:val="1"/>
    <w:rsid w:val="00446824"/>
    <w:rPr>
      <w:color w:val="6b9f25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446824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Fontepargpadro"/>
    <w:rsid w:val="00446824"/>
  </w:style>
  <w:style w:type="table" w:styleId="TabeladeGrade1Clara">
    <w:name w:val="Grid Table 1 Light"/>
    <w:basedOn w:val="Tabelanormal"/>
    <w:uiPriority w:val="46"/>
    <w:rsid w:val="00FE3619"/>
    <w:pPr>
      <w:spacing w:after="0" w:line="240" w:lineRule="auto"/>
    </w:pPr>
    <w:rPr>
      <w:rFonts w:eastAsiaTheme="minorHAnsi"/>
      <w:kern w:val="2"/>
      <w:sz w:val="24"/>
      <w:szCs w:val="24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B61B42"/>
    <w:pPr>
      <w:spacing w:after="0" w:line="240" w:lineRule="auto"/>
    </w:p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B61B42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B61B42"/>
    <w:rPr>
      <w:vertAlign w:val="superscript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A33DB2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A33DB2"/>
    <w:pPr>
      <w:spacing w:after="100"/>
      <w:ind w:left="240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A33DB2"/>
    <w:pPr>
      <w:spacing w:after="100"/>
      <w:ind w:left="480"/>
    </w:pPr>
  </w:style>
  <w:style w:type="paragraph" w:styleId="NormalWeb">
    <w:name w:val="Normal (Web)"/>
    <w:basedOn w:val="Normal"/>
    <w:uiPriority w:val="99"/>
    <w:semiHidden w:val="1"/>
    <w:unhideWhenUsed w:val="1"/>
    <w:rsid w:val="004B2521"/>
    <w:pPr>
      <w:spacing w:after="100"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FF39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FF3985"/>
    <w:pPr>
      <w:spacing w:line="240" w:lineRule="auto"/>
    </w:pPr>
  </w:style>
  <w:style w:type="character" w:styleId="TextodecomentrioChar" w:customStyle="1">
    <w:name w:val="Texto de comentário Char"/>
    <w:basedOn w:val="Fontepargpadro"/>
    <w:link w:val="Textodecomentrio"/>
    <w:uiPriority w:val="99"/>
    <w:rsid w:val="00FF398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FF3985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FF3985"/>
    <w:rPr>
      <w:b w:val="1"/>
      <w:b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dF4LaP0jPvN56cZNzwKG2+yjQ==">CgMxLjAyDmgud3J2YXhjNDM0ZG15Mg5oLm8wNzRqd24xajcyMTIOaC5yczRzMnBqbzFmMjcyDmgueWZlN3IzbG1oM3htMg5oLjg0M2tyNnlnOWt0ZjIOaC54emcycjVxdHh2ZmIyDmgucWxhbjJraXI2Z3EwMg5oLm1odGMzZHdmeHo1bDIOaC5jOXEybDZpN3F3djMyDmgub2t1YzV0cnJyd3dkMg5oLnRramF3aDNvNDM2MDIOaC40MXdva3V2cDlvMzAyDmguNjRzc201emVkdGZxMg5oLjd2cTRqYnBtaXZmMTIOaC5idXJ1MDdncWpvdnc4AHIhMWxqQ3NVQWVyc01hYThZandZV2NMU3JqbGVHSzduWm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2026-01-17T13:01:00Z</dcterms:created>
  <dc:creator>python-docx</dc:creator>
</cp:coreProperties>
</file>