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19C25" w14:textId="48D26471" w:rsidR="007B4FAC" w:rsidRDefault="00360CAD" w:rsidP="00360CAD">
      <w:pPr>
        <w:pStyle w:val="Title"/>
        <w:jc w:val="center"/>
        <w:rPr>
          <w:lang w:val="nb-NO"/>
        </w:rPr>
      </w:pPr>
      <w:r>
        <w:rPr>
          <w:lang w:val="nb-NO"/>
        </w:rPr>
        <w:t xml:space="preserve">System </w:t>
      </w:r>
      <w:r w:rsidRPr="00360CAD">
        <w:t>overview</w:t>
      </w:r>
      <w:r>
        <w:rPr>
          <w:lang w:val="nb-NO"/>
        </w:rPr>
        <w:t xml:space="preserve"> (from </w:t>
      </w:r>
      <w:r w:rsidRPr="00360CAD">
        <w:t>thesis</w:t>
      </w:r>
      <w:r>
        <w:rPr>
          <w:lang w:val="nb-NO"/>
        </w:rPr>
        <w:t>)</w:t>
      </w:r>
    </w:p>
    <w:p w14:paraId="4A641FA9" w14:textId="3C3AD666" w:rsidR="00360CAD" w:rsidRDefault="00360CAD" w:rsidP="00360CAD">
      <w:pPr>
        <w:rPr>
          <w:lang w:val="nb-NO"/>
        </w:rPr>
      </w:pPr>
      <w:r>
        <w:rPr>
          <w:noProof/>
        </w:rPr>
        <w:drawing>
          <wp:anchor distT="0" distB="0" distL="114300" distR="114300" simplePos="0" relativeHeight="251658240" behindDoc="0" locked="0" layoutInCell="1" allowOverlap="1" wp14:anchorId="2733B334" wp14:editId="6AB6AF94">
            <wp:simplePos x="0" y="0"/>
            <wp:positionH relativeFrom="page">
              <wp:align>left</wp:align>
            </wp:positionH>
            <wp:positionV relativeFrom="paragraph">
              <wp:posOffset>299084</wp:posOffset>
            </wp:positionV>
            <wp:extent cx="7588780" cy="3771265"/>
            <wp:effectExtent l="0" t="0" r="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88780" cy="3771265"/>
                    </a:xfrm>
                    <a:prstGeom prst="rect">
                      <a:avLst/>
                    </a:prstGeom>
                  </pic:spPr>
                </pic:pic>
              </a:graphicData>
            </a:graphic>
            <wp14:sizeRelH relativeFrom="margin">
              <wp14:pctWidth>0</wp14:pctWidth>
            </wp14:sizeRelH>
            <wp14:sizeRelV relativeFrom="margin">
              <wp14:pctHeight>0</wp14:pctHeight>
            </wp14:sizeRelV>
          </wp:anchor>
        </w:drawing>
      </w:r>
    </w:p>
    <w:p w14:paraId="1A0CDDD9" w14:textId="7D7ABDAB" w:rsidR="00360CAD" w:rsidRDefault="00360CAD" w:rsidP="00360CAD">
      <w:pPr>
        <w:rPr>
          <w:lang w:val="nb-NO"/>
        </w:rPr>
      </w:pPr>
    </w:p>
    <w:p w14:paraId="68CB4174" w14:textId="634BDB1E" w:rsidR="00360CAD" w:rsidRDefault="00360CAD" w:rsidP="00360CAD">
      <w:pPr>
        <w:rPr>
          <w:lang w:val="nb-NO"/>
        </w:rPr>
      </w:pPr>
    </w:p>
    <w:p w14:paraId="70220867" w14:textId="53C089E1" w:rsidR="00360CAD" w:rsidRDefault="00360CAD" w:rsidP="00360CAD">
      <w:r w:rsidRPr="00360CAD">
        <w:t>The main system components consist o</w:t>
      </w:r>
      <w:r>
        <w:t xml:space="preserve">f the acoustic telemetry receiver detecting the acoustic tag transmissions, the </w:t>
      </w:r>
      <w:proofErr w:type="spellStart"/>
      <w:r>
        <w:t>cSLIM</w:t>
      </w:r>
      <w:proofErr w:type="spellEnd"/>
      <w:r>
        <w:t xml:space="preserve"> buoy controller synchronizing the acoustic receivers, and forwarding the data through the LoRa gateway or NB-IoT network to an MQTT broker. The MQTT broker forwards the published message to subscribed applications as the </w:t>
      </w:r>
      <w:proofErr w:type="spellStart"/>
      <w:r>
        <w:t>IoF</w:t>
      </w:r>
      <w:proofErr w:type="spellEnd"/>
      <w:r>
        <w:t xml:space="preserve"> application and DUNE bridge.</w:t>
      </w:r>
    </w:p>
    <w:p w14:paraId="1C7663EB" w14:textId="04E3E66C" w:rsidR="00360CAD" w:rsidRDefault="00360CAD" w:rsidP="00360CAD"/>
    <w:p w14:paraId="360B6B9E" w14:textId="6F2C5095" w:rsidR="00360CAD" w:rsidRDefault="00360CAD" w:rsidP="00360CAD"/>
    <w:p w14:paraId="121C4936" w14:textId="62315171" w:rsidR="00360CAD" w:rsidRDefault="00360CAD">
      <w:r>
        <w:br w:type="page"/>
      </w:r>
    </w:p>
    <w:p w14:paraId="190E3811" w14:textId="24D73182" w:rsidR="00360CAD" w:rsidRDefault="00360CAD" w:rsidP="00360CAD">
      <w:pPr>
        <w:pStyle w:val="Heading1"/>
      </w:pPr>
      <w:r>
        <w:lastRenderedPageBreak/>
        <w:t>4.1 Acoustic tags and telemetry receivers</w:t>
      </w:r>
    </w:p>
    <w:p w14:paraId="6E92FE9F" w14:textId="3EBECD85" w:rsidR="00360CAD" w:rsidRDefault="00360CAD" w:rsidP="00360CAD">
      <w:r>
        <w:t xml:space="preserve">The acoustic Telemetry receiver is a TBR 700 RT from Thelma </w:t>
      </w:r>
      <w:proofErr w:type="spellStart"/>
      <w:r>
        <w:t>BioTel</w:t>
      </w:r>
      <w:proofErr w:type="spellEnd"/>
      <w:r>
        <w:t>.</w:t>
      </w:r>
      <w:r>
        <w:br/>
        <w:t>Uses RS-485 interface to communicate with the buoy controller</w:t>
      </w:r>
      <w:r w:rsidR="00702E97">
        <w:t xml:space="preserve">. It uses differential pair of signals and can send or receive one character every 10ms. The acoustic sensor uses internal clock and time to timestamp tag detections. The time can be set using a predefined message format, synchronizing the last received character. </w:t>
      </w:r>
      <w:proofErr w:type="gramStart"/>
      <w:r w:rsidR="00702E97">
        <w:t>Also</w:t>
      </w:r>
      <w:proofErr w:type="gramEnd"/>
      <w:r w:rsidR="00702E97">
        <w:t xml:space="preserve"> a shorter message without time data can be received every 10s to correct internal clock drift.  SEE TBS Live datasheet for more info.</w:t>
      </w:r>
    </w:p>
    <w:p w14:paraId="38DF2FC6" w14:textId="65388B34" w:rsidR="00702E97" w:rsidRDefault="00702E97" w:rsidP="00360CAD"/>
    <w:p w14:paraId="454146A5" w14:textId="1ACC7FC1" w:rsidR="00702E97" w:rsidRDefault="00702E97" w:rsidP="00702E97">
      <w:pPr>
        <w:pStyle w:val="Heading1"/>
      </w:pPr>
      <w:r>
        <w:t xml:space="preserve">4.2 </w:t>
      </w:r>
      <w:proofErr w:type="spellStart"/>
      <w:r>
        <w:t>cSLIM</w:t>
      </w:r>
      <w:proofErr w:type="spellEnd"/>
      <w:r>
        <w:t xml:space="preserve"> buoy controller and sea buoy</w:t>
      </w:r>
    </w:p>
    <w:p w14:paraId="324DC357" w14:textId="0B5F48E6" w:rsidR="00702E97" w:rsidRDefault="00702E97" w:rsidP="00702E97">
      <w:r w:rsidRPr="00702E97">
        <w:rPr>
          <w:noProof/>
        </w:rPr>
        <w:drawing>
          <wp:inline distT="0" distB="0" distL="0" distR="0" wp14:anchorId="03C6368A" wp14:editId="2DCC22C9">
            <wp:extent cx="5876925" cy="3100589"/>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86351" cy="3105562"/>
                    </a:xfrm>
                    <a:prstGeom prst="rect">
                      <a:avLst/>
                    </a:prstGeom>
                    <a:noFill/>
                    <a:ln>
                      <a:noFill/>
                    </a:ln>
                  </pic:spPr>
                </pic:pic>
              </a:graphicData>
            </a:graphic>
          </wp:inline>
        </w:drawing>
      </w:r>
    </w:p>
    <w:p w14:paraId="617C44CB" w14:textId="2CF2827F" w:rsidR="00702E97" w:rsidRDefault="00702E97" w:rsidP="00702E97">
      <w:r>
        <w:t>This device is the hart of the sea buoy. It synchronizes the time of the TBR acoustic receiver, receives tag-detections and forwards them to mainland using LPWAN technology. The module ALSO transmits its position, status and time drift at regular intervals.</w:t>
      </w:r>
    </w:p>
    <w:p w14:paraId="6E84FDB4" w14:textId="77777777" w:rsidR="0020117A" w:rsidRDefault="0020117A" w:rsidP="00702E97"/>
    <w:p w14:paraId="11B6CD66" w14:textId="6325C803" w:rsidR="0020117A" w:rsidRDefault="0020117A" w:rsidP="0020117A">
      <w:pPr>
        <w:pStyle w:val="Heading1"/>
      </w:pPr>
      <w:r>
        <w:t>4.3 LoRa Gateway and MQTT broker</w:t>
      </w:r>
    </w:p>
    <w:p w14:paraId="454EB383" w14:textId="14BE719F" w:rsidR="001474EE" w:rsidRDefault="0020117A" w:rsidP="0020117A">
      <w:r>
        <w:t>The LoRa gateway used is the MultiTech Conduit (</w:t>
      </w:r>
      <w:r w:rsidR="001474EE">
        <w:t>indoor and outdoor versions exist</w:t>
      </w:r>
      <w:proofErr w:type="gramStart"/>
      <w:r w:rsidR="001474EE">
        <w:t>).The</w:t>
      </w:r>
      <w:proofErr w:type="gramEnd"/>
      <w:r w:rsidR="001474EE">
        <w:t xml:space="preserve"> gateway can be connected to Ethernet and to the cellular network, supporting 2G, 3G and ¤g LTE.</w:t>
      </w:r>
      <w:r w:rsidR="001474EE">
        <w:br/>
        <w:t xml:space="preserve">Running Node-RED; The gateway forwards </w:t>
      </w:r>
      <w:proofErr w:type="spellStart"/>
      <w:r w:rsidR="001474EE">
        <w:t>LoRaWAN</w:t>
      </w:r>
      <w:proofErr w:type="spellEnd"/>
      <w:r w:rsidR="001474EE">
        <w:t xml:space="preserve"> payload to the MQTT broker. For </w:t>
      </w:r>
      <w:proofErr w:type="spellStart"/>
      <w:r w:rsidR="001474EE">
        <w:t>cSLIM</w:t>
      </w:r>
      <w:proofErr w:type="spellEnd"/>
      <w:r w:rsidR="001474EE">
        <w:t xml:space="preserve"> application, only the </w:t>
      </w:r>
      <w:proofErr w:type="spellStart"/>
      <w:r w:rsidR="001474EE">
        <w:t>LoRaWAN</w:t>
      </w:r>
      <w:proofErr w:type="spellEnd"/>
      <w:r w:rsidR="001474EE">
        <w:t xml:space="preserve"> payload is forwarded to make the messages equal to those transmitted using NB-IoT/MQTT. Have been edited, packing data in JSON objects together with </w:t>
      </w:r>
      <w:proofErr w:type="spellStart"/>
      <w:r w:rsidR="001474EE">
        <w:t>LoRaWAN</w:t>
      </w:r>
      <w:proofErr w:type="spellEnd"/>
      <w:r w:rsidR="001474EE">
        <w:t xml:space="preserve"> parameters. </w:t>
      </w:r>
    </w:p>
    <w:p w14:paraId="6919918A" w14:textId="28575ADA" w:rsidR="001474EE" w:rsidRDefault="001474EE" w:rsidP="0020117A">
      <w:r>
        <w:t xml:space="preserve">The MQTT broker, running on a virtual machine, is a </w:t>
      </w:r>
      <w:proofErr w:type="spellStart"/>
      <w:r>
        <w:t>mosquitto</w:t>
      </w:r>
      <w:proofErr w:type="spellEnd"/>
      <w:r>
        <w:t xml:space="preserve"> broker with its access restricted by username and password.</w:t>
      </w:r>
    </w:p>
    <w:p w14:paraId="3A4523EE" w14:textId="098026EC" w:rsidR="001474EE" w:rsidRDefault="001474EE" w:rsidP="0020117A"/>
    <w:p w14:paraId="1461EDD3" w14:textId="42B71B85" w:rsidR="001474EE" w:rsidRDefault="001474EE" w:rsidP="001474EE">
      <w:pPr>
        <w:pStyle w:val="Heading1"/>
      </w:pPr>
      <w:r>
        <w:lastRenderedPageBreak/>
        <w:t xml:space="preserve">4.4 </w:t>
      </w:r>
      <w:proofErr w:type="spellStart"/>
      <w:r>
        <w:t>IoF</w:t>
      </w:r>
      <w:proofErr w:type="spellEnd"/>
      <w:r>
        <w:t xml:space="preserve"> application</w:t>
      </w:r>
    </w:p>
    <w:p w14:paraId="05A78D58" w14:textId="13C7E13F" w:rsidR="001474EE" w:rsidRDefault="001474EE" w:rsidP="001474EE">
      <w:r>
        <w:t xml:space="preserve">The </w:t>
      </w:r>
      <w:proofErr w:type="spellStart"/>
      <w:r>
        <w:t>IoF</w:t>
      </w:r>
      <w:proofErr w:type="spellEnd"/>
      <w:r>
        <w:t xml:space="preserve"> application is connected to the MQTT </w:t>
      </w:r>
      <w:proofErr w:type="gramStart"/>
      <w:r>
        <w:t>broke</w:t>
      </w:r>
      <w:r w:rsidR="00E71B4E">
        <w:t>r, and</w:t>
      </w:r>
      <w:proofErr w:type="gramEnd"/>
      <w:r w:rsidR="00E71B4E">
        <w:t xml:space="preserve"> subscribed to the buoy controller publish topic. The newest back-end version receives </w:t>
      </w:r>
      <w:proofErr w:type="spellStart"/>
      <w:r w:rsidR="00E71B4E">
        <w:t>IoF</w:t>
      </w:r>
      <w:proofErr w:type="spellEnd"/>
      <w:r w:rsidR="00E71B4E">
        <w:t xml:space="preserve"> messages packed in JSON containing relevant LoRa parameters and saved received information in a database. The Database is accessed by the </w:t>
      </w:r>
      <w:proofErr w:type="spellStart"/>
      <w:r w:rsidR="00E71B4E">
        <w:t>fron</w:t>
      </w:r>
      <w:proofErr w:type="spellEnd"/>
      <w:r w:rsidR="00E71B4E">
        <w:t xml:space="preserve">-end, displaying information to the user. As the NEWEST </w:t>
      </w:r>
      <w:proofErr w:type="spellStart"/>
      <w:r w:rsidR="00E71B4E">
        <w:t>IoF</w:t>
      </w:r>
      <w:proofErr w:type="spellEnd"/>
      <w:r w:rsidR="00E71B4E">
        <w:t xml:space="preserve"> application expects additional LoRa information, it is currently incompatible with the LoRa Gateways used in the </w:t>
      </w:r>
      <w:proofErr w:type="spellStart"/>
      <w:r w:rsidR="00E71B4E">
        <w:t>cSLIM</w:t>
      </w:r>
      <w:proofErr w:type="spellEnd"/>
      <w:r w:rsidR="00E71B4E">
        <w:t xml:space="preserve"> or communication using BN-IoT. However, for applications using LoRa Gateways running the SLIM Node-RED flow by </w:t>
      </w:r>
      <w:proofErr w:type="spellStart"/>
      <w:r w:rsidR="00E71B4E">
        <w:t>Rundhovde</w:t>
      </w:r>
      <w:proofErr w:type="spellEnd"/>
      <w:r w:rsidR="00E71B4E">
        <w:t xml:space="preserve">, </w:t>
      </w:r>
      <w:proofErr w:type="spellStart"/>
      <w:r w:rsidR="00E71B4E">
        <w:t>cSLIM</w:t>
      </w:r>
      <w:proofErr w:type="spellEnd"/>
      <w:r w:rsidR="00E71B4E">
        <w:t xml:space="preserve"> should be supported.</w:t>
      </w:r>
    </w:p>
    <w:p w14:paraId="7618E196" w14:textId="248ADE74" w:rsidR="00E71B4E" w:rsidRDefault="00E71B4E" w:rsidP="001474EE"/>
    <w:p w14:paraId="7E84C6DA" w14:textId="6E631CE5" w:rsidR="008570F5" w:rsidRDefault="008570F5" w:rsidP="008570F5">
      <w:pPr>
        <w:pStyle w:val="Heading1"/>
      </w:pPr>
      <w:r>
        <w:t>4.5 DUNE bridge</w:t>
      </w:r>
    </w:p>
    <w:p w14:paraId="6B585D52" w14:textId="362A69E6" w:rsidR="008570F5" w:rsidRDefault="008570F5" w:rsidP="008570F5">
      <w:r>
        <w:t xml:space="preserve">DUNE bridge, running in a DUNE environment, is subscribed to the MQTT broker and </w:t>
      </w:r>
      <w:proofErr w:type="spellStart"/>
      <w:r>
        <w:t>cSLIM</w:t>
      </w:r>
      <w:proofErr w:type="spellEnd"/>
      <w:r>
        <w:t xml:space="preserve"> publish topic. Upon receiving messages, the application converts the TBR status and tag detections to appropriate IMC messages.  Information about the positions of the acoustic sensor is gathered using buoy controller status </w:t>
      </w:r>
      <w:proofErr w:type="spellStart"/>
      <w:r>
        <w:t>emssages</w:t>
      </w:r>
      <w:proofErr w:type="spellEnd"/>
      <w:r>
        <w:t>.</w:t>
      </w:r>
    </w:p>
    <w:p w14:paraId="142D805D" w14:textId="30A2212A" w:rsidR="008570F5" w:rsidRDefault="008570F5" w:rsidP="008570F5"/>
    <w:p w14:paraId="56DF16A2" w14:textId="77777777" w:rsidR="008570F5" w:rsidRPr="008570F5" w:rsidRDefault="008570F5" w:rsidP="008570F5"/>
    <w:sectPr w:rsidR="008570F5" w:rsidRPr="008570F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7326C" w14:textId="77777777" w:rsidR="00D806E7" w:rsidRDefault="00D806E7" w:rsidP="0075582B">
      <w:pPr>
        <w:spacing w:after="0" w:line="240" w:lineRule="auto"/>
      </w:pPr>
      <w:r>
        <w:separator/>
      </w:r>
    </w:p>
  </w:endnote>
  <w:endnote w:type="continuationSeparator" w:id="0">
    <w:p w14:paraId="4A1DB10E" w14:textId="77777777" w:rsidR="00D806E7" w:rsidRDefault="00D806E7" w:rsidP="007558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E5573A" w14:textId="77777777" w:rsidR="00D806E7" w:rsidRDefault="00D806E7" w:rsidP="0075582B">
      <w:pPr>
        <w:spacing w:after="0" w:line="240" w:lineRule="auto"/>
      </w:pPr>
      <w:r>
        <w:separator/>
      </w:r>
    </w:p>
  </w:footnote>
  <w:footnote w:type="continuationSeparator" w:id="0">
    <w:p w14:paraId="41C69E25" w14:textId="77777777" w:rsidR="00D806E7" w:rsidRDefault="00D806E7" w:rsidP="0075582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82B"/>
    <w:rsid w:val="001474EE"/>
    <w:rsid w:val="0020117A"/>
    <w:rsid w:val="00360CAD"/>
    <w:rsid w:val="00702E97"/>
    <w:rsid w:val="0075582B"/>
    <w:rsid w:val="008570F5"/>
    <w:rsid w:val="00D025F6"/>
    <w:rsid w:val="00D806E7"/>
    <w:rsid w:val="00E71B4E"/>
    <w:rsid w:val="00E752E4"/>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B4D223"/>
  <w15:chartTrackingRefBased/>
  <w15:docId w15:val="{09896ADC-3083-4BF8-9DC5-DE6E666EA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60C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2E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0CAD"/>
    <w:rPr>
      <w:rFonts w:asciiTheme="majorHAnsi" w:eastAsiaTheme="majorEastAsia" w:hAnsiTheme="majorHAnsi" w:cstheme="majorBidi"/>
      <w:color w:val="2F5496" w:themeColor="accent1" w:themeShade="BF"/>
      <w:sz w:val="32"/>
      <w:szCs w:val="32"/>
      <w:lang w:val="en-US"/>
    </w:rPr>
  </w:style>
  <w:style w:type="paragraph" w:styleId="Title">
    <w:name w:val="Title"/>
    <w:basedOn w:val="Normal"/>
    <w:next w:val="Normal"/>
    <w:link w:val="TitleChar"/>
    <w:uiPriority w:val="10"/>
    <w:qFormat/>
    <w:rsid w:val="00360CA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0CAD"/>
    <w:rPr>
      <w:rFonts w:asciiTheme="majorHAnsi" w:eastAsiaTheme="majorEastAsia" w:hAnsiTheme="majorHAnsi" w:cstheme="majorBidi"/>
      <w:spacing w:val="-10"/>
      <w:kern w:val="28"/>
      <w:sz w:val="56"/>
      <w:szCs w:val="56"/>
      <w:lang w:val="en-US"/>
    </w:rPr>
  </w:style>
  <w:style w:type="character" w:customStyle="1" w:styleId="Heading2Char">
    <w:name w:val="Heading 2 Char"/>
    <w:basedOn w:val="DefaultParagraphFont"/>
    <w:link w:val="Heading2"/>
    <w:uiPriority w:val="9"/>
    <w:rsid w:val="00702E97"/>
    <w:rPr>
      <w:rFonts w:asciiTheme="majorHAnsi" w:eastAsiaTheme="majorEastAsia" w:hAnsiTheme="majorHAnsi" w:cstheme="majorBidi"/>
      <w:color w:val="2F5496"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459</Words>
  <Characters>2433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Vetle Berg Abrahamsen</dc:creator>
  <cp:keywords/>
  <dc:description/>
  <cp:lastModifiedBy>Vetle Berg Abrahamsen</cp:lastModifiedBy>
  <cp:revision>2</cp:revision>
  <dcterms:created xsi:type="dcterms:W3CDTF">2021-09-30T07:23:00Z</dcterms:created>
  <dcterms:modified xsi:type="dcterms:W3CDTF">2021-09-30T08:28:00Z</dcterms:modified>
</cp:coreProperties>
</file>