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1D71" w14:textId="34EFE839" w:rsidR="00C404E1" w:rsidRDefault="00983477" w:rsidP="009410F2">
      <w:pPr>
        <w:pStyle w:val="Title"/>
        <w:rPr>
          <w:sz w:val="52"/>
          <w:szCs w:val="52"/>
          <w:lang w:val="en-US"/>
        </w:rPr>
      </w:pPr>
      <w:r>
        <w:rPr>
          <w:rStyle w:val="Heading1Char"/>
          <w:lang w:val="en-US"/>
        </w:rPr>
        <w:t>Draft</w:t>
      </w:r>
      <w:r w:rsidR="0F8A0A3C" w:rsidRPr="0F8A0A3C">
        <w:rPr>
          <w:rStyle w:val="Heading1Char"/>
          <w:lang w:val="en-US"/>
        </w:rPr>
        <w:t xml:space="preserve"> Description:</w:t>
      </w:r>
      <w:r w:rsidR="00C404E1" w:rsidRPr="00983477">
        <w:rPr>
          <w:lang w:val="en-US"/>
        </w:rPr>
        <w:br/>
      </w:r>
      <w:r w:rsidR="00712D68">
        <w:rPr>
          <w:rStyle w:val="Heading1Char"/>
          <w:lang w:val="en-US"/>
        </w:rPr>
        <w:t>11</w:t>
      </w:r>
      <w:r w:rsidR="00546449" w:rsidRPr="00546449">
        <w:rPr>
          <w:rStyle w:val="Heading1Char"/>
          <w:vertAlign w:val="superscript"/>
          <w:lang w:val="en-US"/>
        </w:rPr>
        <w:t>th</w:t>
      </w:r>
      <w:r w:rsidR="00546449">
        <w:rPr>
          <w:rStyle w:val="Heading1Char"/>
          <w:lang w:val="en-US"/>
        </w:rPr>
        <w:t xml:space="preserve"> SPE </w:t>
      </w:r>
      <w:r>
        <w:rPr>
          <w:rStyle w:val="Heading1Char"/>
          <w:lang w:val="en-US"/>
        </w:rPr>
        <w:t>Comparative Solution Project</w:t>
      </w:r>
    </w:p>
    <w:p w14:paraId="0423D20E" w14:textId="72523EDF" w:rsidR="00C404E1" w:rsidRPr="00983477" w:rsidRDefault="00C404E1" w:rsidP="00D678EF">
      <w:pPr>
        <w:jc w:val="both"/>
        <w:rPr>
          <w:lang w:val="en-US"/>
        </w:rPr>
      </w:pPr>
      <w:r w:rsidRPr="00983477">
        <w:rPr>
          <w:lang w:val="en-US"/>
        </w:rPr>
        <w:t>Jan M. Nordbotten</w:t>
      </w:r>
      <w:r w:rsidR="00A61E98">
        <w:rPr>
          <w:rStyle w:val="FootnoteReference"/>
        </w:rPr>
        <w:footnoteReference w:id="2"/>
      </w:r>
      <w:r w:rsidRPr="00983477">
        <w:rPr>
          <w:lang w:val="en-US"/>
        </w:rPr>
        <w:t>, Martin Fernø</w:t>
      </w:r>
      <w:r w:rsidR="00597566">
        <w:rPr>
          <w:rStyle w:val="FootnoteReference"/>
          <w:lang w:val="en-US"/>
        </w:rPr>
        <w:footnoteReference w:id="3"/>
      </w:r>
      <w:r w:rsidRPr="00983477">
        <w:rPr>
          <w:lang w:val="en-US"/>
        </w:rPr>
        <w:t>, Bernd Flemisch</w:t>
      </w:r>
      <w:r w:rsidR="00597566">
        <w:rPr>
          <w:rStyle w:val="FootnoteReference"/>
          <w:lang w:val="en-US"/>
        </w:rPr>
        <w:footnoteReference w:id="4"/>
      </w:r>
      <w:r w:rsidRPr="00983477">
        <w:rPr>
          <w:lang w:val="en-US"/>
        </w:rPr>
        <w:t xml:space="preserve">, </w:t>
      </w:r>
      <w:r w:rsidR="00983477">
        <w:rPr>
          <w:lang w:val="en-US"/>
        </w:rPr>
        <w:t>Anthony Kovscek</w:t>
      </w:r>
      <w:r w:rsidR="00597566">
        <w:rPr>
          <w:rStyle w:val="FootnoteReference"/>
          <w:lang w:val="en-US"/>
        </w:rPr>
        <w:footnoteReference w:id="5"/>
      </w:r>
      <w:r w:rsidRPr="00983477">
        <w:rPr>
          <w:lang w:val="en-US"/>
        </w:rPr>
        <w:t xml:space="preserve">, </w:t>
      </w:r>
      <w:r w:rsidR="00983477">
        <w:rPr>
          <w:lang w:val="en-US"/>
        </w:rPr>
        <w:t>Knut-Andreas Lie</w:t>
      </w:r>
      <w:r w:rsidR="00597566">
        <w:rPr>
          <w:rStyle w:val="FootnoteReference"/>
          <w:lang w:val="en-US"/>
        </w:rPr>
        <w:footnoteReference w:id="6"/>
      </w:r>
    </w:p>
    <w:p w14:paraId="3FD25B82" w14:textId="77777777" w:rsidR="004B1EE3" w:rsidRPr="00CC21D5" w:rsidRDefault="004B1EE3" w:rsidP="004B1EE3">
      <w:pPr>
        <w:jc w:val="both"/>
        <w:rPr>
          <w:rFonts w:eastAsiaTheme="minorEastAsia"/>
          <w:color w:val="000000" w:themeColor="text1"/>
          <w:lang w:val="en-US"/>
        </w:rPr>
      </w:pPr>
    </w:p>
    <w:p w14:paraId="040D72AE" w14:textId="29DDB116" w:rsidR="004B1EE3" w:rsidRDefault="004B1EE3" w:rsidP="00AF111B">
      <w:pPr>
        <w:pStyle w:val="Heading1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Technical description CSP 11</w:t>
      </w:r>
      <w:r w:rsidR="00AF111B">
        <w:rPr>
          <w:lang w:val="en-US"/>
        </w:rPr>
        <w:t>C</w:t>
      </w:r>
    </w:p>
    <w:p w14:paraId="12F538A2" w14:textId="2C01BD95" w:rsidR="004B1EE3" w:rsidRDefault="004B1EE3" w:rsidP="004B1EE3">
      <w:pPr>
        <w:jc w:val="both"/>
        <w:rPr>
          <w:lang w:val="en-US"/>
        </w:rPr>
      </w:pPr>
      <w:r>
        <w:rPr>
          <w:lang w:val="en-US"/>
        </w:rPr>
        <w:t>The CSP 11</w:t>
      </w:r>
      <w:r w:rsidR="00AF111B">
        <w:rPr>
          <w:lang w:val="en-US"/>
        </w:rPr>
        <w:t>C</w:t>
      </w:r>
      <w:r>
        <w:rPr>
          <w:lang w:val="en-US"/>
        </w:rPr>
        <w:t xml:space="preserve"> is a </w:t>
      </w:r>
      <w:r w:rsidR="00AF111B">
        <w:rPr>
          <w:lang w:val="en-US"/>
        </w:rPr>
        <w:t>3</w:t>
      </w:r>
      <w:r>
        <w:rPr>
          <w:lang w:val="en-US"/>
        </w:rPr>
        <w:t xml:space="preserve">D geometry, set at field scale and conditions, typical of the Norwegian Continental Shelf. </w:t>
      </w:r>
    </w:p>
    <w:p w14:paraId="5074FDFA" w14:textId="334038B0" w:rsidR="004B1EE3" w:rsidRDefault="004B1EE3" w:rsidP="004B1EE3">
      <w:pPr>
        <w:jc w:val="both"/>
        <w:rPr>
          <w:lang w:val="en-US"/>
        </w:rPr>
      </w:pPr>
    </w:p>
    <w:p w14:paraId="41CB7BBF" w14:textId="45305DC5" w:rsidR="004B1EE3" w:rsidRDefault="00AF111B" w:rsidP="004B1EE3">
      <w:pPr>
        <w:pStyle w:val="Heading2"/>
        <w:rPr>
          <w:lang w:val="en-US"/>
        </w:rPr>
      </w:pPr>
      <w:r>
        <w:rPr>
          <w:lang w:val="en-US"/>
        </w:rPr>
        <w:t>4</w:t>
      </w:r>
      <w:r w:rsidR="004B1EE3">
        <w:rPr>
          <w:lang w:val="en-US"/>
        </w:rPr>
        <w:t>.1 Relationship to CSP 11</w:t>
      </w:r>
      <w:r>
        <w:rPr>
          <w:lang w:val="en-US"/>
        </w:rPr>
        <w:t>B</w:t>
      </w:r>
    </w:p>
    <w:p w14:paraId="4928CA2C" w14:textId="42DED909" w:rsidR="004B1EE3" w:rsidRDefault="004B1EE3" w:rsidP="004B1EE3">
      <w:pPr>
        <w:rPr>
          <w:lang w:val="en-US"/>
        </w:rPr>
      </w:pPr>
      <w:r>
        <w:rPr>
          <w:lang w:val="en-US"/>
        </w:rPr>
        <w:t>The CSP 11</w:t>
      </w:r>
      <w:r w:rsidR="00AF111B">
        <w:rPr>
          <w:lang w:val="en-US"/>
        </w:rPr>
        <w:t>C</w:t>
      </w:r>
      <w:r>
        <w:rPr>
          <w:lang w:val="en-US"/>
        </w:rPr>
        <w:t xml:space="preserve"> is a</w:t>
      </w:r>
      <w:r w:rsidR="00AF111B">
        <w:rPr>
          <w:lang w:val="en-US"/>
        </w:rPr>
        <w:t>n arched</w:t>
      </w:r>
      <w:r>
        <w:rPr>
          <w:lang w:val="en-US"/>
        </w:rPr>
        <w:t xml:space="preserve"> </w:t>
      </w:r>
      <w:r w:rsidR="00AF111B">
        <w:rPr>
          <w:lang w:val="en-US"/>
        </w:rPr>
        <w:t>3D extrusion</w:t>
      </w:r>
      <w:r>
        <w:rPr>
          <w:lang w:val="en-US"/>
        </w:rPr>
        <w:t xml:space="preserve"> </w:t>
      </w:r>
      <w:r w:rsidR="00AF111B">
        <w:rPr>
          <w:lang w:val="en-US"/>
        </w:rPr>
        <w:t xml:space="preserve">of </w:t>
      </w:r>
      <w:r>
        <w:rPr>
          <w:lang w:val="en-US"/>
        </w:rPr>
        <w:t>CSP 11</w:t>
      </w:r>
      <w:r w:rsidR="00AF111B">
        <w:rPr>
          <w:lang w:val="en-US"/>
        </w:rPr>
        <w:t>B</w:t>
      </w:r>
      <w:r>
        <w:rPr>
          <w:lang w:val="en-US"/>
        </w:rPr>
        <w:t xml:space="preserve">, as illustrated </w:t>
      </w:r>
      <w:r w:rsidRPr="00A8213B">
        <w:rPr>
          <w:lang w:val="en-US"/>
        </w:rPr>
        <w:t xml:space="preserve">in </w:t>
      </w:r>
      <w:r w:rsidRPr="00AF111B">
        <w:rPr>
          <w:lang w:val="en-US"/>
        </w:rPr>
        <w:t xml:space="preserve">Figure </w:t>
      </w:r>
      <w:r w:rsidR="00AF111B" w:rsidRPr="00AF111B">
        <w:rPr>
          <w:lang w:val="en-US"/>
        </w:rPr>
        <w:t>3</w:t>
      </w:r>
      <w:r w:rsidRPr="00A8213B">
        <w:rPr>
          <w:lang w:val="en-US"/>
        </w:rPr>
        <w:t>.</w:t>
      </w:r>
      <w:r>
        <w:rPr>
          <w:lang w:val="en-US"/>
        </w:rPr>
        <w:t xml:space="preserve">  </w:t>
      </w:r>
    </w:p>
    <w:p w14:paraId="1D840364" w14:textId="6C82DFFA" w:rsidR="009E20EC" w:rsidRDefault="000C6634" w:rsidP="004B1E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96C008" wp14:editId="3CEF7051">
            <wp:extent cx="5693553" cy="160604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476" cy="1624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7FDE82" w14:textId="0BA99DE7" w:rsidR="009E20EC" w:rsidRDefault="009E20EC" w:rsidP="009E20E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0784B4" wp14:editId="094FAC28">
            <wp:extent cx="5680710" cy="1602421"/>
            <wp:effectExtent l="0" t="0" r="0" b="0"/>
            <wp:docPr id="35" name="Picture 3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09" cy="161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66A3E" w:rsidRPr="00666A3E">
        <w:rPr>
          <w:b/>
          <w:bCs/>
          <w:lang w:val="en-US"/>
        </w:rPr>
        <w:t xml:space="preserve">Figure </w:t>
      </w:r>
      <w:r w:rsidR="00AF111B">
        <w:rPr>
          <w:b/>
          <w:bCs/>
          <w:lang w:val="en-US"/>
        </w:rPr>
        <w:t>3</w:t>
      </w:r>
      <w:r w:rsidR="00666A3E" w:rsidRPr="00666A3E">
        <w:rPr>
          <w:lang w:val="en-US"/>
        </w:rPr>
        <w:t>: A sketch of the benchmark geometry for CSP 11</w:t>
      </w:r>
      <w:r w:rsidR="00AF111B">
        <w:rPr>
          <w:lang w:val="en-US"/>
        </w:rPr>
        <w:t>C</w:t>
      </w:r>
      <w:r w:rsidR="00666A3E" w:rsidRPr="00666A3E">
        <w:rPr>
          <w:lang w:val="en-US"/>
        </w:rPr>
        <w:t xml:space="preserve">. </w:t>
      </w:r>
      <w:r w:rsidR="00666A3E">
        <w:rPr>
          <w:lang w:val="en-US"/>
        </w:rPr>
        <w:t xml:space="preserve">For a detailed description, please refer to the </w:t>
      </w:r>
      <w:r w:rsidR="00AF111B">
        <w:rPr>
          <w:lang w:val="en-US"/>
        </w:rPr>
        <w:t xml:space="preserve">text below and to </w:t>
      </w:r>
      <w:r w:rsidR="00666A3E">
        <w:rPr>
          <w:lang w:val="en-US"/>
        </w:rPr>
        <w:t>caption of Figure 1</w:t>
      </w:r>
      <w:r w:rsidR="00666A3E" w:rsidRPr="00666A3E">
        <w:rPr>
          <w:lang w:val="en-US"/>
        </w:rPr>
        <w:t>.</w:t>
      </w:r>
      <w:r>
        <w:rPr>
          <w:lang w:val="en-US"/>
        </w:rPr>
        <w:t xml:space="preserve"> </w:t>
      </w:r>
      <w:r w:rsidRPr="009E20EC">
        <w:rPr>
          <w:highlight w:val="yellow"/>
          <w:lang w:val="en-US"/>
        </w:rPr>
        <w:t xml:space="preserve">Two suggestions are provided, text </w:t>
      </w:r>
      <w:r>
        <w:rPr>
          <w:highlight w:val="yellow"/>
          <w:lang w:val="en-US"/>
        </w:rPr>
        <w:t xml:space="preserve">associated with the top and bottom version </w:t>
      </w:r>
      <w:r w:rsidRPr="009E20EC">
        <w:rPr>
          <w:highlight w:val="yellow"/>
          <w:lang w:val="en-US"/>
        </w:rPr>
        <w:t xml:space="preserve">is differentiated by </w:t>
      </w:r>
      <w:r w:rsidRPr="009E20EC">
        <w:rPr>
          <w:color w:val="C00000"/>
          <w:highlight w:val="yellow"/>
          <w:lang w:val="en-US"/>
        </w:rPr>
        <w:t>red</w:t>
      </w:r>
      <w:r w:rsidRPr="009E20EC">
        <w:rPr>
          <w:highlight w:val="yellow"/>
          <w:lang w:val="en-US"/>
        </w:rPr>
        <w:t xml:space="preserve"> and </w:t>
      </w:r>
      <w:r w:rsidRPr="009E20EC">
        <w:rPr>
          <w:color w:val="4472C4" w:themeColor="accent1"/>
          <w:highlight w:val="yellow"/>
          <w:lang w:val="en-US"/>
        </w:rPr>
        <w:t>blue</w:t>
      </w:r>
      <w:r w:rsidRPr="009E20EC">
        <w:rPr>
          <w:highlight w:val="yellow"/>
          <w:lang w:val="en-US"/>
        </w:rPr>
        <w:t>.</w:t>
      </w:r>
    </w:p>
    <w:p w14:paraId="76DE7514" w14:textId="43229B88" w:rsidR="004B1EE3" w:rsidRDefault="004B1EE3" w:rsidP="004B1EE3">
      <w:pPr>
        <w:rPr>
          <w:lang w:val="en-US"/>
        </w:rPr>
      </w:pPr>
      <w:r>
        <w:rPr>
          <w:lang w:val="en-US"/>
        </w:rPr>
        <w:t xml:space="preserve">We summarize the commonalities and differences </w:t>
      </w:r>
      <w:r w:rsidR="007D4637">
        <w:rPr>
          <w:lang w:val="en-US"/>
        </w:rPr>
        <w:t>between CSP 11</w:t>
      </w:r>
      <w:r w:rsidR="00AF111B">
        <w:rPr>
          <w:lang w:val="en-US"/>
        </w:rPr>
        <w:t>B</w:t>
      </w:r>
      <w:r w:rsidR="007D4637">
        <w:rPr>
          <w:lang w:val="en-US"/>
        </w:rPr>
        <w:t xml:space="preserve"> and 11</w:t>
      </w:r>
      <w:r w:rsidR="00AF111B">
        <w:rPr>
          <w:lang w:val="en-US"/>
        </w:rPr>
        <w:t>C</w:t>
      </w:r>
      <w:r w:rsidR="007D4637">
        <w:rPr>
          <w:lang w:val="en-US"/>
        </w:rPr>
        <w:t xml:space="preserve"> </w:t>
      </w:r>
      <w:r>
        <w:rPr>
          <w:lang w:val="en-US"/>
        </w:rPr>
        <w:t xml:space="preserve">as follows: </w:t>
      </w:r>
    </w:p>
    <w:p w14:paraId="7F3FEBDF" w14:textId="71CDA1B7" w:rsidR="00AF111B" w:rsidRDefault="0065364B" w:rsidP="00AF111B">
      <w:pPr>
        <w:pStyle w:val="ListParagraph"/>
        <w:numPr>
          <w:ilvl w:val="0"/>
          <w:numId w:val="31"/>
        </w:numPr>
      </w:pPr>
      <w:r>
        <w:t xml:space="preserve">The governing </w:t>
      </w:r>
      <w:r w:rsidR="004B1EE3">
        <w:t xml:space="preserve">equations </w:t>
      </w:r>
      <w:r w:rsidR="00AF111B">
        <w:t xml:space="preserve">and facies properties </w:t>
      </w:r>
      <w:r w:rsidR="004B1EE3">
        <w:t>for CSP 11</w:t>
      </w:r>
      <w:r w:rsidR="00AF111B">
        <w:t>B</w:t>
      </w:r>
      <w:r w:rsidR="004B1EE3">
        <w:t xml:space="preserve"> </w:t>
      </w:r>
      <w:r>
        <w:t xml:space="preserve">apply to </w:t>
      </w:r>
      <w:r w:rsidR="004B1EE3">
        <w:t>11</w:t>
      </w:r>
      <w:r w:rsidR="00AF111B">
        <w:t xml:space="preserve">C. </w:t>
      </w:r>
    </w:p>
    <w:p w14:paraId="295791C9" w14:textId="302DB57F" w:rsidR="004B1EE3" w:rsidRDefault="004B1EE3" w:rsidP="00AF111B">
      <w:pPr>
        <w:pStyle w:val="ListParagraph"/>
        <w:numPr>
          <w:ilvl w:val="0"/>
          <w:numId w:val="31"/>
        </w:numPr>
      </w:pPr>
      <w:r>
        <w:t>The geometry of CSP 11</w:t>
      </w:r>
      <w:r w:rsidR="00AF111B">
        <w:t>B</w:t>
      </w:r>
      <w:r>
        <w:t xml:space="preserve"> is reused in CSP 11</w:t>
      </w:r>
      <w:r w:rsidR="00AF111B">
        <w:t>C</w:t>
      </w:r>
      <w:r>
        <w:t xml:space="preserve">, with the following </w:t>
      </w:r>
      <w:r w:rsidR="00AF111B">
        <w:t>modification</w:t>
      </w:r>
      <w:r>
        <w:t xml:space="preserve">: </w:t>
      </w:r>
      <w:r w:rsidR="00AF111B">
        <w:t xml:space="preserve">The depth (along the y-axis) is extended to 5000 </w:t>
      </w:r>
      <w:proofErr w:type="gramStart"/>
      <w:r w:rsidR="00AF111B">
        <w:t>meters, and</w:t>
      </w:r>
      <w:proofErr w:type="gramEnd"/>
      <w:r w:rsidR="00AF111B">
        <w:t xml:space="preserve"> deformed such that the top surface forms a parabola</w:t>
      </w:r>
      <w:r w:rsidR="00632679">
        <w:t xml:space="preserve"> elevating the central part of the domain by </w:t>
      </w:r>
      <w:r w:rsidR="002B4FFB" w:rsidRPr="009E20EC">
        <w:rPr>
          <w:color w:val="C00000"/>
        </w:rPr>
        <w:t>4</w:t>
      </w:r>
      <w:r w:rsidR="00632679" w:rsidRPr="009E20EC">
        <w:rPr>
          <w:color w:val="C00000"/>
        </w:rPr>
        <w:t>00m</w:t>
      </w:r>
      <w:r w:rsidR="009E20EC">
        <w:t xml:space="preserve"> </w:t>
      </w:r>
      <w:r w:rsidR="009E20EC" w:rsidRPr="009E20EC">
        <w:rPr>
          <w:color w:val="4472C4" w:themeColor="accent1"/>
        </w:rPr>
        <w:t>150m</w:t>
      </w:r>
      <w:r w:rsidR="00632679">
        <w:t>,</w:t>
      </w:r>
      <w:r w:rsidR="00AF111B">
        <w:t xml:space="preserve"> </w:t>
      </w:r>
      <w:r w:rsidR="00AF111B" w:rsidRPr="009E20EC">
        <w:rPr>
          <w:color w:val="C00000"/>
        </w:rPr>
        <w:t>while the bottom surface remains flat</w:t>
      </w:r>
      <w:r w:rsidR="00AF111B">
        <w:t xml:space="preserve">. See section 4.2 for precise definition.  </w:t>
      </w:r>
      <w:r w:rsidR="00AF111B">
        <w:br/>
      </w:r>
      <w:r>
        <w:br/>
        <w:t xml:space="preserve">We emphasize that we keep the coordinate system oriented with the vertical direction pointing </w:t>
      </w:r>
      <w:r>
        <w:lastRenderedPageBreak/>
        <w:t>“up” and the origin in the “lower-left” corner of the domain</w:t>
      </w:r>
      <w:r w:rsidR="00AF111B">
        <w:t xml:space="preserve">, using the convention that the two horizontal </w:t>
      </w:r>
      <w:proofErr w:type="gramStart"/>
      <w:r w:rsidR="00AF111B">
        <w:t>axis</w:t>
      </w:r>
      <w:proofErr w:type="gramEnd"/>
      <w:r w:rsidR="00AF111B">
        <w:t xml:space="preserve"> are enumerated first, i.e. with reference to figure 3 coordinate triplets are given as </w:t>
      </w:r>
      <m:oMath>
        <m:r>
          <w:rPr>
            <w:rFonts w:ascii="Cambria Math" w:hAnsi="Cambria Math"/>
          </w:rPr>
          <m:t>(x,y,z)</m:t>
        </m:r>
      </m:oMath>
      <w:r w:rsidR="00AF111B">
        <w:rPr>
          <w:rFonts w:eastAsiaTheme="minorEastAsia"/>
        </w:rPr>
        <w:t>.</w:t>
      </w:r>
    </w:p>
    <w:p w14:paraId="1C80B2AC" w14:textId="41D0F34E" w:rsidR="004B1EE3" w:rsidRDefault="004B1EE3" w:rsidP="004B1EE3">
      <w:pPr>
        <w:pStyle w:val="ListParagraph"/>
        <w:numPr>
          <w:ilvl w:val="0"/>
          <w:numId w:val="31"/>
        </w:numPr>
      </w:pPr>
      <w:r w:rsidRPr="00AF111B">
        <w:t xml:space="preserve">The geometric scaling </w:t>
      </w:r>
      <w:r w:rsidR="00AF111B" w:rsidRPr="00AF111B">
        <w:t>affects the</w:t>
      </w:r>
      <w:r w:rsidRPr="00AF111B">
        <w:t xml:space="preserve"> definition of Boxes A, B and C, and the well placements</w:t>
      </w:r>
      <w:r w:rsidR="00AF111B" w:rsidRPr="00AF111B">
        <w:t>, as</w:t>
      </w:r>
      <w:r w:rsidR="00AF111B">
        <w:t xml:space="preserve"> detailed in section 4.2.</w:t>
      </w:r>
    </w:p>
    <w:p w14:paraId="3969C309" w14:textId="729312BC" w:rsidR="004B1EE3" w:rsidRDefault="004B1EE3" w:rsidP="00AF111B">
      <w:pPr>
        <w:pStyle w:val="ListParagraph"/>
        <w:numPr>
          <w:ilvl w:val="0"/>
          <w:numId w:val="31"/>
        </w:numPr>
      </w:pPr>
      <w:r>
        <w:t xml:space="preserve">The initial and boundary conditions, together with the injection schedule, are updated to be consistent with </w:t>
      </w:r>
      <w:r w:rsidR="00AF111B">
        <w:t>the 3D extension</w:t>
      </w:r>
      <w:r>
        <w:t xml:space="preserve">, see specification below. </w:t>
      </w:r>
    </w:p>
    <w:p w14:paraId="0F42A9B1" w14:textId="77428055" w:rsidR="00AF111B" w:rsidRDefault="00AF111B" w:rsidP="00AF111B"/>
    <w:p w14:paraId="4D42240E" w14:textId="1C406CE6" w:rsidR="00AF111B" w:rsidRPr="00AF111B" w:rsidRDefault="00AF111B" w:rsidP="00AF111B">
      <w:pPr>
        <w:pStyle w:val="Heading2"/>
        <w:rPr>
          <w:lang w:val="en-US"/>
        </w:rPr>
      </w:pPr>
      <w:r w:rsidRPr="00AF111B">
        <w:rPr>
          <w:lang w:val="en-US"/>
        </w:rPr>
        <w:t>4.2 D</w:t>
      </w:r>
      <w:r>
        <w:rPr>
          <w:lang w:val="en-US"/>
        </w:rPr>
        <w:t xml:space="preserve">efinition of geometry, well placement and reporting boxes </w:t>
      </w:r>
    </w:p>
    <w:p w14:paraId="06D61AA5" w14:textId="1EE3F733" w:rsidR="00632679" w:rsidRDefault="00632679" w:rsidP="00666A3E">
      <w:pPr>
        <w:jc w:val="both"/>
        <w:rPr>
          <w:lang w:val="en-US"/>
        </w:rPr>
      </w:pPr>
      <w:r>
        <w:rPr>
          <w:lang w:val="en-US"/>
        </w:rPr>
        <w:t xml:space="preserve">For a precise definition of the geometry, we consider a reference and a physical configuration, with a mapping between them. </w:t>
      </w:r>
    </w:p>
    <w:p w14:paraId="2A8F1B52" w14:textId="53F0E32B" w:rsidR="006C0124" w:rsidRDefault="006C0124" w:rsidP="00666A3E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F09C44" wp14:editId="6F26E7B1">
            <wp:extent cx="5743991" cy="1346734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23" cy="1357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AF810E" w14:textId="015E6558" w:rsidR="006C0124" w:rsidRDefault="006C0124" w:rsidP="00666A3E">
      <w:pPr>
        <w:jc w:val="both"/>
        <w:rPr>
          <w:u w:val="single"/>
          <w:lang w:val="en-US"/>
        </w:rPr>
      </w:pPr>
      <w:r w:rsidRPr="00666A3E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4</w:t>
      </w:r>
      <w:r w:rsidRPr="00666A3E">
        <w:rPr>
          <w:lang w:val="en-US"/>
        </w:rPr>
        <w:t>: A sketch of the benchmark geometry for CSP 11</w:t>
      </w:r>
      <w:r>
        <w:rPr>
          <w:lang w:val="en-US"/>
        </w:rPr>
        <w:t>C in the reference configuration</w:t>
      </w:r>
      <w:r w:rsidRPr="00666A3E">
        <w:rPr>
          <w:lang w:val="en-US"/>
        </w:rPr>
        <w:t xml:space="preserve">. </w:t>
      </w:r>
    </w:p>
    <w:p w14:paraId="5127E9F2" w14:textId="48C57F3F" w:rsidR="00AF111B" w:rsidRDefault="00632679" w:rsidP="00666A3E">
      <w:pPr>
        <w:jc w:val="both"/>
        <w:rPr>
          <w:lang w:val="en-US"/>
        </w:rPr>
      </w:pPr>
      <w:r w:rsidRPr="00632679">
        <w:rPr>
          <w:u w:val="single"/>
          <w:lang w:val="en-US"/>
        </w:rPr>
        <w:t>Reference configuration</w:t>
      </w:r>
      <w:r>
        <w:rPr>
          <w:lang w:val="en-US"/>
        </w:rPr>
        <w:t xml:space="preserve">: Let </w:t>
      </w:r>
      <m:oMath>
        <m:r>
          <w:rPr>
            <w:rFonts w:ascii="Cambria Math" w:hAnsi="Cambria Math"/>
            <w:lang w:val="en-US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0, 8400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0, 5000</m:t>
            </m:r>
          </m:e>
        </m:d>
        <m:r>
          <w:rPr>
            <w:rFonts w:ascii="Cambria Math" w:eastAsiaTheme="minorEastAsia" w:hAnsi="Cambria Math"/>
            <w:lang w:val="en-US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0, 1200</m:t>
            </m:r>
          </m:e>
        </m:d>
      </m:oMath>
      <w:r>
        <w:rPr>
          <w:rFonts w:eastAsiaTheme="minorEastAsia"/>
          <w:lang w:val="en-US"/>
        </w:rPr>
        <w:t xml:space="preserve"> be the extrusion of the geometry from 11B to a depth of 5000 meters</w:t>
      </w:r>
      <w:r w:rsidR="006C0124">
        <w:rPr>
          <w:rFonts w:eastAsiaTheme="minorEastAsia"/>
          <w:lang w:val="en-US"/>
        </w:rPr>
        <w:t xml:space="preserve">, as shown in Figure </w:t>
      </w:r>
      <w:proofErr w:type="gramStart"/>
      <w:r w:rsidR="006C0124">
        <w:rPr>
          <w:rFonts w:eastAsiaTheme="minorEastAsia"/>
          <w:lang w:val="en-US"/>
        </w:rPr>
        <w:t>4.</w:t>
      </w:r>
      <w:r>
        <w:rPr>
          <w:rFonts w:eastAsiaTheme="minorEastAsia"/>
          <w:lang w:val="en-US"/>
        </w:rPr>
        <w:t>.</w:t>
      </w:r>
      <w:proofErr w:type="gramEnd"/>
      <w:r>
        <w:rPr>
          <w:rFonts w:eastAsiaTheme="minorEastAsia"/>
          <w:lang w:val="en-US"/>
        </w:rPr>
        <w:t xml:space="preserve"> I.e., for any coordinate triplet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u,v,w</m:t>
            </m:r>
          </m:e>
        </m:d>
        <m:r>
          <w:rPr>
            <w:rFonts w:ascii="Cambria Math" w:eastAsiaTheme="minorEastAsia" w:hAnsi="Cambria Math"/>
            <w:lang w:val="en-US"/>
          </w:rPr>
          <m:t>∈U</m:t>
        </m:r>
      </m:oMath>
      <w:r>
        <w:rPr>
          <w:rFonts w:eastAsiaTheme="minorEastAsia"/>
          <w:lang w:val="en-US"/>
        </w:rPr>
        <w:t xml:space="preserve">, the facies properties are defined only by the first horizontal coordinate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>
        <w:rPr>
          <w:rFonts w:eastAsiaTheme="minorEastAsia"/>
          <w:lang w:val="en-US"/>
        </w:rPr>
        <w:t xml:space="preserve"> and the vertical coordinate </w:t>
      </w:r>
      <m:oMath>
        <m:r>
          <w:rPr>
            <w:rFonts w:ascii="Cambria Math" w:eastAsiaTheme="minorEastAsia" w:hAnsi="Cambria Math"/>
            <w:lang w:val="en-US"/>
          </w:rPr>
          <m:t>w</m:t>
        </m:r>
      </m:oMath>
      <w:r>
        <w:rPr>
          <w:rFonts w:eastAsiaTheme="minorEastAsia"/>
          <w:lang w:val="en-US"/>
        </w:rPr>
        <w:t xml:space="preserve">, according to the geometry defined in Section 3.1. </w:t>
      </w:r>
    </w:p>
    <w:p w14:paraId="2B1189EF" w14:textId="6B9633C8" w:rsidR="00632679" w:rsidRDefault="00632679" w:rsidP="00666A3E">
      <w:pPr>
        <w:jc w:val="both"/>
        <w:rPr>
          <w:rFonts w:eastAsiaTheme="minorEastAsia"/>
          <w:lang w:val="en-US"/>
        </w:rPr>
      </w:pPr>
      <w:r w:rsidRPr="00632679">
        <w:rPr>
          <w:u w:val="single"/>
          <w:lang w:val="en-US"/>
        </w:rPr>
        <w:t>Mapping</w:t>
      </w:r>
      <w:r>
        <w:rPr>
          <w:lang w:val="en-US"/>
        </w:rPr>
        <w:t xml:space="preserve">: For any </w:t>
      </w:r>
      <w:r w:rsidR="004F4527">
        <w:rPr>
          <w:lang w:val="en-US"/>
        </w:rPr>
        <w:t xml:space="preserve">reference </w:t>
      </w:r>
      <w:r>
        <w:rPr>
          <w:lang w:val="en-US"/>
        </w:rPr>
        <w:t xml:space="preserve">coordinate triplet </w:t>
      </w:r>
      <m:oMath>
        <m:r>
          <m:rPr>
            <m:sty m:val="bi"/>
          </m:rP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u,v,w</m:t>
            </m:r>
          </m:e>
        </m:d>
        <m:r>
          <w:rPr>
            <w:rFonts w:ascii="Cambria Math" w:eastAsiaTheme="minorEastAsia" w:hAnsi="Cambria Math"/>
            <w:lang w:val="en-US"/>
          </w:rPr>
          <m:t>∈U</m:t>
        </m:r>
      </m:oMath>
      <w:r>
        <w:rPr>
          <w:rFonts w:eastAsiaTheme="minorEastAsia"/>
          <w:lang w:val="en-US"/>
        </w:rPr>
        <w:t xml:space="preserve"> in the reference configuration, we identify a position in physical space as: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2"/>
        <w:gridCol w:w="6359"/>
        <w:gridCol w:w="1363"/>
      </w:tblGrid>
      <w:tr w:rsidR="00F660A7" w:rsidRPr="009C16B8" w14:paraId="302593A3" w14:textId="77777777" w:rsidTr="00F660A7">
        <w:tc>
          <w:tcPr>
            <w:tcW w:w="750" w:type="pct"/>
          </w:tcPr>
          <w:p w14:paraId="4F3FAC72" w14:textId="77777777" w:rsidR="00F660A7" w:rsidRPr="0014448A" w:rsidRDefault="00F660A7" w:rsidP="00B70ACF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3500" w:type="pct"/>
          </w:tcPr>
          <w:p w14:paraId="6C3D3806" w14:textId="77777777" w:rsidR="00F660A7" w:rsidRPr="009E20EC" w:rsidRDefault="00DC5626" w:rsidP="00B70ACF">
            <w:pPr>
              <w:jc w:val="center"/>
              <w:rPr>
                <w:rFonts w:eastAsiaTheme="minorEastAsia"/>
                <w:color w:val="C0000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C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C00000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u,v,w</m:t>
                    </m:r>
                  </m:e>
                </m:d>
                <m:r>
                  <w:rPr>
                    <w:rFonts w:ascii="Cambria Math" w:hAnsi="Cambria Math"/>
                    <w:color w:val="C00000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C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v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lang w:val="en-US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C0000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0000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C00000"/>
                                              <w:lang w:val="en-US"/>
                                            </w:rPr>
                                            <m:t>v-2500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C00000"/>
                                              <w:lang w:val="en-US"/>
                                            </w:rPr>
                                            <m:t>2500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8C77BE3" w14:textId="72BA9BE5" w:rsidR="009E20EC" w:rsidRPr="00703330" w:rsidRDefault="00DC5626" w:rsidP="009E20E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lang w:val="en-US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4472C4" w:themeColor="accent1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lang w:val="en-US"/>
                      </w:rPr>
                      <m:t>u,v,w</m:t>
                    </m:r>
                  </m:e>
                </m:d>
                <m:r>
                  <w:rPr>
                    <w:rFonts w:ascii="Cambria Math" w:hAnsi="Cambria Math"/>
                    <w:color w:val="4472C4" w:themeColor="accent1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lang w:val="en-US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lang w:val="en-US"/>
                            </w:rPr>
                            <m:t>v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lang w:val="en-US"/>
                            </w:rPr>
                            <m:t>w+150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lang w:val="en-US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472C4" w:themeColor="accent1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4472C4" w:themeColor="accent1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  <w:lang w:val="en-US"/>
                                            </w:rPr>
                                            <m:t>v-2500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  <w:lang w:val="en-US"/>
                                            </w:rPr>
                                            <m:t>2500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14:paraId="77E89192" w14:textId="77777777" w:rsidR="00F660A7" w:rsidRPr="00D20138" w:rsidRDefault="00F660A7" w:rsidP="00F660A7">
            <w:pPr>
              <w:pStyle w:val="ListParagraph"/>
              <w:numPr>
                <w:ilvl w:val="1"/>
                <w:numId w:val="35"/>
              </w:numPr>
              <w:jc w:val="center"/>
              <w:rPr>
                <w:rFonts w:eastAsiaTheme="minorEastAsia"/>
              </w:rPr>
            </w:pPr>
          </w:p>
        </w:tc>
      </w:tr>
    </w:tbl>
    <w:p w14:paraId="4B1D89A2" w14:textId="6FADD04D" w:rsidR="00AF111B" w:rsidRDefault="00632679" w:rsidP="00666A3E">
      <w:pPr>
        <w:jc w:val="both"/>
        <w:rPr>
          <w:rFonts w:eastAsiaTheme="minorEastAsia"/>
          <w:lang w:val="en-US"/>
        </w:rPr>
      </w:pPr>
      <w:r w:rsidRPr="009E20EC">
        <w:rPr>
          <w:color w:val="C00000"/>
          <w:lang w:val="en-US"/>
        </w:rPr>
        <w:t xml:space="preserve">I.e., </w:t>
      </w:r>
      <w:r w:rsidR="009E20EC">
        <w:rPr>
          <w:color w:val="C00000"/>
          <w:lang w:val="en-US"/>
        </w:rPr>
        <w:t xml:space="preserve">the </w:t>
      </w:r>
      <w:r w:rsidRPr="009E20EC">
        <w:rPr>
          <w:color w:val="C00000"/>
          <w:lang w:val="en-US"/>
        </w:rPr>
        <w:t xml:space="preserve">domain is arched in the </w:t>
      </w:r>
      <m:oMath>
        <m:r>
          <w:rPr>
            <w:rFonts w:ascii="Cambria Math" w:hAnsi="Cambria Math"/>
            <w:color w:val="C00000"/>
            <w:lang w:val="en-US"/>
          </w:rPr>
          <m:t>y</m:t>
        </m:r>
      </m:oMath>
      <w:r w:rsidRPr="009E20EC">
        <w:rPr>
          <w:rFonts w:eastAsiaTheme="minorEastAsia"/>
          <w:color w:val="C00000"/>
          <w:lang w:val="en-US"/>
        </w:rPr>
        <w:t>-direction, such that A) the bottom boundary (</w:t>
      </w:r>
      <m:oMath>
        <m:r>
          <w:rPr>
            <w:rFonts w:ascii="Cambria Math" w:eastAsiaTheme="minorEastAsia" w:hAnsi="Cambria Math"/>
            <w:color w:val="C00000"/>
            <w:lang w:val="en-US"/>
          </w:rPr>
          <m:t>z=w=0</m:t>
        </m:r>
      </m:oMath>
      <w:r w:rsidRPr="009E20EC">
        <w:rPr>
          <w:rFonts w:eastAsiaTheme="minorEastAsia"/>
          <w:color w:val="C00000"/>
          <w:lang w:val="en-US"/>
        </w:rPr>
        <w:t>) is flat; B) the near and far boundary (</w:t>
      </w:r>
      <m:oMath>
        <m:r>
          <w:rPr>
            <w:rFonts w:ascii="Cambria Math" w:eastAsiaTheme="minorEastAsia" w:hAnsi="Cambria Math"/>
            <w:color w:val="C00000"/>
            <w:lang w:val="en-US"/>
          </w:rPr>
          <m:t>y=v=0</m:t>
        </m:r>
      </m:oMath>
      <w:r w:rsidRPr="009E20EC">
        <w:rPr>
          <w:rFonts w:eastAsiaTheme="minorEastAsia"/>
          <w:color w:val="C00000"/>
          <w:lang w:val="en-US"/>
        </w:rPr>
        <w:t xml:space="preserve"> and </w:t>
      </w:r>
      <m:oMath>
        <m:r>
          <w:rPr>
            <w:rFonts w:ascii="Cambria Math" w:eastAsiaTheme="minorEastAsia" w:hAnsi="Cambria Math"/>
            <w:color w:val="C00000"/>
            <w:lang w:val="en-US"/>
          </w:rPr>
          <m:t>y=v=5000</m:t>
        </m:r>
      </m:oMath>
      <w:r w:rsidRPr="009E20EC">
        <w:rPr>
          <w:rFonts w:eastAsiaTheme="minorEastAsia"/>
          <w:color w:val="C00000"/>
          <w:lang w:val="en-US"/>
        </w:rPr>
        <w:t xml:space="preserve">) are unstretched with </w:t>
      </w:r>
      <m:oMath>
        <m:r>
          <w:rPr>
            <w:rFonts w:ascii="Cambria Math" w:eastAsiaTheme="minorEastAsia" w:hAnsi="Cambria Math"/>
            <w:color w:val="C00000"/>
            <w:lang w:val="en-US"/>
          </w:rPr>
          <m:t>z=w</m:t>
        </m:r>
      </m:oMath>
      <w:r w:rsidRPr="009E20EC">
        <w:rPr>
          <w:rFonts w:eastAsiaTheme="minorEastAsia"/>
          <w:color w:val="C00000"/>
          <w:lang w:val="en-US"/>
        </w:rPr>
        <w:t xml:space="preserve">, and C) the central part </w:t>
      </w:r>
      <w:bookmarkStart w:id="0" w:name="_Hlk128558789"/>
      <w:r w:rsidRPr="009E20EC">
        <w:rPr>
          <w:rFonts w:eastAsiaTheme="minorEastAsia"/>
          <w:color w:val="C00000"/>
          <w:lang w:val="en-US"/>
        </w:rPr>
        <w:t>(</w:t>
      </w:r>
      <m:oMath>
        <m:r>
          <w:rPr>
            <w:rFonts w:ascii="Cambria Math" w:eastAsiaTheme="minorEastAsia" w:hAnsi="Cambria Math"/>
            <w:color w:val="C00000"/>
            <w:lang w:val="en-US"/>
          </w:rPr>
          <m:t>y=v=2500</m:t>
        </m:r>
      </m:oMath>
      <w:r w:rsidRPr="009E20EC">
        <w:rPr>
          <w:rFonts w:eastAsiaTheme="minorEastAsia"/>
          <w:color w:val="C00000"/>
          <w:lang w:val="en-US"/>
        </w:rPr>
        <w:t>)</w:t>
      </w:r>
      <w:bookmarkEnd w:id="0"/>
      <w:r w:rsidRPr="009E20EC">
        <w:rPr>
          <w:rFonts w:eastAsiaTheme="minorEastAsia"/>
          <w:color w:val="C00000"/>
          <w:lang w:val="en-US"/>
        </w:rPr>
        <w:t xml:space="preserve"> is stretched by </w:t>
      </w:r>
      <w:r w:rsidR="002B4FFB" w:rsidRPr="009E20EC">
        <w:rPr>
          <w:rFonts w:eastAsiaTheme="minorEastAsia"/>
          <w:color w:val="C00000"/>
          <w:lang w:val="en-US"/>
        </w:rPr>
        <w:t>4</w:t>
      </w:r>
      <w:r w:rsidRPr="009E20EC">
        <w:rPr>
          <w:rFonts w:eastAsiaTheme="minorEastAsia"/>
          <w:color w:val="C00000"/>
          <w:lang w:val="en-US"/>
        </w:rPr>
        <w:t xml:space="preserve">00 meters (about </w:t>
      </w:r>
      <w:r w:rsidR="002B4FFB" w:rsidRPr="009E20EC">
        <w:rPr>
          <w:rFonts w:eastAsiaTheme="minorEastAsia"/>
          <w:color w:val="C00000"/>
          <w:lang w:val="en-US"/>
        </w:rPr>
        <w:t>33</w:t>
      </w:r>
      <w:r w:rsidRPr="009E20EC">
        <w:rPr>
          <w:rFonts w:eastAsiaTheme="minorEastAsia"/>
          <w:color w:val="C00000"/>
          <w:lang w:val="en-US"/>
        </w:rPr>
        <w:t>%) to a total height of 1</w:t>
      </w:r>
      <w:r w:rsidR="002B4FFB" w:rsidRPr="009E20EC">
        <w:rPr>
          <w:rFonts w:eastAsiaTheme="minorEastAsia"/>
          <w:color w:val="C00000"/>
          <w:lang w:val="en-US"/>
        </w:rPr>
        <w:t>6</w:t>
      </w:r>
      <w:r w:rsidRPr="009E20EC">
        <w:rPr>
          <w:rFonts w:eastAsiaTheme="minorEastAsia"/>
          <w:color w:val="C00000"/>
          <w:lang w:val="en-US"/>
        </w:rPr>
        <w:t xml:space="preserve">00 meters. </w:t>
      </w:r>
    </w:p>
    <w:p w14:paraId="5185A2BF" w14:textId="6C8F25C1" w:rsidR="009E20EC" w:rsidRDefault="009E20EC" w:rsidP="009E20EC">
      <w:pPr>
        <w:jc w:val="both"/>
        <w:rPr>
          <w:lang w:val="en-US"/>
        </w:rPr>
      </w:pPr>
      <w:r w:rsidRPr="009E20EC">
        <w:rPr>
          <w:color w:val="4472C4" w:themeColor="accent1"/>
          <w:lang w:val="en-US"/>
        </w:rPr>
        <w:t xml:space="preserve">I.e., the domain is arched in the </w:t>
      </w:r>
      <m:oMath>
        <m:r>
          <w:rPr>
            <w:rFonts w:ascii="Cambria Math" w:hAnsi="Cambria Math"/>
            <w:color w:val="4472C4" w:themeColor="accent1"/>
            <w:lang w:val="en-US"/>
          </w:rPr>
          <m:t>y</m:t>
        </m:r>
      </m:oMath>
      <w:r w:rsidRPr="009E20EC">
        <w:rPr>
          <w:rFonts w:eastAsiaTheme="minorEastAsia"/>
          <w:color w:val="4472C4" w:themeColor="accent1"/>
          <w:lang w:val="en-US"/>
        </w:rPr>
        <w:t xml:space="preserve">-direction, given a parabolic shape with maximum elevation difference of 150 meters at the </w:t>
      </w:r>
      <w:r>
        <w:rPr>
          <w:rFonts w:eastAsiaTheme="minorEastAsia"/>
          <w:color w:val="4472C4" w:themeColor="accent1"/>
          <w:lang w:val="en-US"/>
        </w:rPr>
        <w:t>central ridge</w:t>
      </w:r>
      <w:r w:rsidRPr="009E20EC">
        <w:rPr>
          <w:rFonts w:eastAsiaTheme="minorEastAsia"/>
          <w:color w:val="4472C4" w:themeColor="accent1"/>
          <w:lang w:val="en-US"/>
        </w:rPr>
        <w:t xml:space="preserve"> of the domain</w:t>
      </w:r>
      <w:r>
        <w:rPr>
          <w:rFonts w:eastAsiaTheme="minorEastAsia"/>
          <w:color w:val="4472C4" w:themeColor="accent1"/>
          <w:lang w:val="en-US"/>
        </w:rPr>
        <w:t xml:space="preserve"> </w:t>
      </w:r>
      <w:r w:rsidRPr="009E20EC">
        <w:rPr>
          <w:rFonts w:eastAsiaTheme="minorEastAsia"/>
          <w:color w:val="4472C4" w:themeColor="accent1"/>
          <w:lang w:val="en-US"/>
        </w:rPr>
        <w:t>(</w:t>
      </w:r>
      <m:oMath>
        <m:r>
          <w:rPr>
            <w:rFonts w:ascii="Cambria Math" w:eastAsiaTheme="minorEastAsia" w:hAnsi="Cambria Math"/>
            <w:color w:val="4472C4" w:themeColor="accent1"/>
            <w:lang w:val="en-US"/>
          </w:rPr>
          <m:t>y=v=2500</m:t>
        </m:r>
      </m:oMath>
      <w:r w:rsidRPr="009E20EC">
        <w:rPr>
          <w:rFonts w:eastAsiaTheme="minorEastAsia"/>
          <w:color w:val="4472C4" w:themeColor="accent1"/>
          <w:lang w:val="en-US"/>
        </w:rPr>
        <w:t xml:space="preserve">). </w:t>
      </w:r>
    </w:p>
    <w:p w14:paraId="52882647" w14:textId="1F9CA6D4" w:rsidR="004F4527" w:rsidRDefault="004F4527" w:rsidP="004F4527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note that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u,v,z</m:t>
            </m:r>
          </m:e>
        </m:d>
      </m:oMath>
      <w:r>
        <w:rPr>
          <w:rFonts w:eastAsiaTheme="minorEastAsia"/>
          <w:lang w:val="en-US"/>
        </w:rPr>
        <w:t xml:space="preserve"> is an invertible function for the domain of interest </w:t>
      </w:r>
      <m:oMath>
        <m:r>
          <w:rPr>
            <w:rFonts w:ascii="Cambria Math" w:eastAsiaTheme="minorEastAsia" w:hAnsi="Cambria Math"/>
            <w:lang w:val="en-US"/>
          </w:rPr>
          <m:t>X=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d>
      </m:oMath>
      <w:r>
        <w:rPr>
          <w:rFonts w:eastAsiaTheme="minorEastAsia"/>
          <w:lang w:val="en-US"/>
        </w:rPr>
        <w:t xml:space="preserve">, and we denote the inverse as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Ψ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Φ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>
        <w:rPr>
          <w:rFonts w:eastAsiaTheme="minorEastAsia"/>
          <w:lang w:val="en-US"/>
        </w:rPr>
        <w:t xml:space="preserve">. </w:t>
      </w:r>
      <w:proofErr w:type="gramStart"/>
      <w:r>
        <w:rPr>
          <w:rFonts w:eastAsiaTheme="minorEastAsia"/>
          <w:lang w:val="en-US"/>
        </w:rPr>
        <w:t>Thus</w:t>
      </w:r>
      <w:proofErr w:type="gramEnd"/>
      <w:r>
        <w:rPr>
          <w:rFonts w:eastAsiaTheme="minorEastAsia"/>
          <w:lang w:val="en-US"/>
        </w:rPr>
        <w:t xml:space="preserve"> for any physical coordinate triplet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x,y,z</m:t>
            </m:r>
          </m:e>
        </m:d>
        <m:r>
          <w:rPr>
            <w:rFonts w:ascii="Cambria Math" w:eastAsiaTheme="minorEastAsia" w:hAnsi="Cambria Math"/>
            <w:lang w:val="en-US"/>
          </w:rPr>
          <m:t>∈X⊂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>
        <w:rPr>
          <w:rFonts w:eastAsiaTheme="minorEastAsia"/>
          <w:lang w:val="en-US"/>
        </w:rPr>
        <w:t xml:space="preserve">, we can recover the position in reference configuration as: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2"/>
        <w:gridCol w:w="6359"/>
        <w:gridCol w:w="1363"/>
      </w:tblGrid>
      <w:tr w:rsidR="00F660A7" w:rsidRPr="009C16B8" w14:paraId="762A2F19" w14:textId="77777777" w:rsidTr="00B70ACF">
        <w:tc>
          <w:tcPr>
            <w:tcW w:w="750" w:type="pct"/>
          </w:tcPr>
          <w:p w14:paraId="717B3CE9" w14:textId="77777777" w:rsidR="00F660A7" w:rsidRPr="0014448A" w:rsidRDefault="00F660A7" w:rsidP="00B70ACF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3500" w:type="pct"/>
          </w:tcPr>
          <w:p w14:paraId="3353B4C0" w14:textId="77777777" w:rsidR="00F660A7" w:rsidRPr="009E20EC" w:rsidRDefault="00DC5626" w:rsidP="00B70ACF">
            <w:pPr>
              <w:jc w:val="center"/>
              <w:rPr>
                <w:rFonts w:eastAsiaTheme="minorEastAsia"/>
                <w:color w:val="C0000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C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v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w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C00000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lang w:val="en-US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color w:val="C00000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C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lang w:val="en-US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lang w:val="en-US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lang w:val="en-US"/>
                                        </w:rPr>
                                        <m:t>3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000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C00000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C00000"/>
                                                  <w:lang w:val="en-US"/>
                                                </w:rPr>
                                                <m:t>y-2500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C00000"/>
                                                  <w:lang w:val="en-US"/>
                                                </w:rPr>
                                                <m:t>2500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C00000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14:paraId="1FDCB1FB" w14:textId="20C47BA8" w:rsidR="009E20EC" w:rsidRPr="00703330" w:rsidRDefault="00DC5626" w:rsidP="009E20E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lang w:val="en-US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lang w:val="en-US"/>
                            </w:rPr>
                            <m:t>v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lang w:val="en-US"/>
                            </w:rPr>
                            <m:t>w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4472C4" w:themeColor="accent1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lang w:val="en-US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lang w:val="en-US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color w:val="4472C4" w:themeColor="accent1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lang w:val="en-US"/>
                            </w:rPr>
                            <m:t>z-150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lang w:val="en-US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472C4" w:themeColor="accent1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4472C4" w:themeColor="accent1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  <w:lang w:val="en-US"/>
                                            </w:rPr>
                                            <m:t>v-2500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4472C4" w:themeColor="accent1"/>
                                              <w:lang w:val="en-US"/>
                                            </w:rPr>
                                            <m:t>2500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14:paraId="70A49D0F" w14:textId="77777777" w:rsidR="00F660A7" w:rsidRPr="00D20138" w:rsidRDefault="00F660A7" w:rsidP="00F660A7">
            <w:pPr>
              <w:pStyle w:val="ListParagraph"/>
              <w:numPr>
                <w:ilvl w:val="1"/>
                <w:numId w:val="35"/>
              </w:numPr>
              <w:jc w:val="center"/>
              <w:rPr>
                <w:rFonts w:eastAsiaTheme="minorEastAsia"/>
              </w:rPr>
            </w:pPr>
          </w:p>
        </w:tc>
      </w:tr>
    </w:tbl>
    <w:p w14:paraId="4B14A142" w14:textId="77777777" w:rsidR="00F660A7" w:rsidRDefault="00F660A7" w:rsidP="004F4527">
      <w:pPr>
        <w:jc w:val="both"/>
        <w:rPr>
          <w:rFonts w:eastAsiaTheme="minorEastAsia"/>
          <w:lang w:val="en-US"/>
        </w:rPr>
      </w:pPr>
    </w:p>
    <w:p w14:paraId="4BD3F60E" w14:textId="4C863F9D" w:rsidR="004F4527" w:rsidRDefault="004F4527" w:rsidP="00666A3E">
      <w:pPr>
        <w:jc w:val="both"/>
        <w:rPr>
          <w:rFonts w:eastAsiaTheme="minorEastAsia"/>
          <w:lang w:val="en-US"/>
        </w:rPr>
      </w:pPr>
      <w:r>
        <w:rPr>
          <w:u w:val="single"/>
          <w:lang w:val="en-US"/>
        </w:rPr>
        <w:t>Physical configuration</w:t>
      </w:r>
      <w:r w:rsidRPr="004F4527">
        <w:rPr>
          <w:lang w:val="en-US"/>
        </w:rPr>
        <w:t xml:space="preserve">: The </w:t>
      </w:r>
      <w:r>
        <w:rPr>
          <w:lang w:val="en-US"/>
        </w:rPr>
        <w:t xml:space="preserve">facies distribution, as well as location of boundaries, for positions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∈X</m:t>
        </m:r>
      </m:oMath>
      <w:r>
        <w:rPr>
          <w:lang w:val="en-US"/>
        </w:rPr>
        <w:t xml:space="preserve"> in the physical configuration can now be obtained based on the facies distribution, and boundaries, of the reference configuration and the mapping </w:t>
      </w:r>
      <m:oMath>
        <m:r>
          <m:rPr>
            <m:sty m:val="p"/>
          </m:rPr>
          <w:rPr>
            <w:rFonts w:ascii="Cambria Math" w:hAnsi="Cambria Math"/>
            <w:lang w:val="en-US"/>
          </w:rPr>
          <m:t>Ψ</m:t>
        </m:r>
      </m:oMath>
      <w:r>
        <w:rPr>
          <w:rFonts w:eastAsiaTheme="minorEastAsia"/>
          <w:lang w:val="en-US"/>
        </w:rPr>
        <w:t>.</w:t>
      </w:r>
    </w:p>
    <w:p w14:paraId="3D2FCBE8" w14:textId="336E3B15" w:rsidR="00666A3E" w:rsidRPr="00666A3E" w:rsidRDefault="002B4FFB" w:rsidP="00666A3E">
      <w:pPr>
        <w:jc w:val="both"/>
        <w:rPr>
          <w:lang w:val="en-US"/>
        </w:rPr>
      </w:pPr>
      <w:r>
        <w:rPr>
          <w:lang w:val="en-US"/>
        </w:rPr>
        <w:t>The boxes are adjusted to account for the 3D configuration. W</w:t>
      </w:r>
      <w:r w:rsidR="00666A3E">
        <w:rPr>
          <w:lang w:val="en-US"/>
        </w:rPr>
        <w:t xml:space="preserve">e state the </w:t>
      </w:r>
      <m:oMath>
        <m:r>
          <w:rPr>
            <w:rFonts w:ascii="Cambria Math" w:hAnsi="Cambria Math"/>
            <w:lang w:val="en-US"/>
          </w:rPr>
          <m:t>(x,y,z)</m:t>
        </m:r>
      </m:oMath>
      <w:r w:rsidR="00666A3E" w:rsidRPr="00666A3E">
        <w:rPr>
          <w:lang w:val="en-US"/>
        </w:rPr>
        <w:t xml:space="preserve"> coordinates </w:t>
      </w:r>
      <w:r w:rsidR="00666A3E">
        <w:rPr>
          <w:lang w:val="en-US"/>
        </w:rPr>
        <w:t>of the three boxes (</w:t>
      </w:r>
      <w:r w:rsidR="00666A3E" w:rsidRPr="00666A3E">
        <w:rPr>
          <w:lang w:val="en-US"/>
        </w:rPr>
        <w:t>measured relative to the lower left corner of the domain</w:t>
      </w:r>
      <w:r w:rsidR="00666A3E">
        <w:rPr>
          <w:lang w:val="en-US"/>
        </w:rPr>
        <w:t xml:space="preserve">) </w:t>
      </w:r>
      <w:r w:rsidR="00666A3E" w:rsidRPr="00666A3E">
        <w:rPr>
          <w:lang w:val="en-US"/>
        </w:rPr>
        <w:t xml:space="preserve">in terms </w:t>
      </w:r>
      <w:r>
        <w:rPr>
          <w:lang w:val="en-US"/>
        </w:rPr>
        <w:t xml:space="preserve">near </w:t>
      </w:r>
      <w:r w:rsidR="00666A3E" w:rsidRPr="00666A3E">
        <w:rPr>
          <w:lang w:val="en-US"/>
        </w:rPr>
        <w:t xml:space="preserve">bottom left and </w:t>
      </w:r>
      <w:r>
        <w:rPr>
          <w:lang w:val="en-US"/>
        </w:rPr>
        <w:t xml:space="preserve">far </w:t>
      </w:r>
      <w:r w:rsidR="00666A3E" w:rsidRPr="00666A3E">
        <w:rPr>
          <w:lang w:val="en-US"/>
        </w:rPr>
        <w:t>top right corners:</w:t>
      </w:r>
    </w:p>
    <w:p w14:paraId="727D31D4" w14:textId="7F7AD5DC" w:rsidR="00666A3E" w:rsidRPr="009E20EC" w:rsidRDefault="00666A3E" w:rsidP="00666A3E">
      <w:pPr>
        <w:spacing w:after="0"/>
        <w:jc w:val="both"/>
        <w:rPr>
          <w:color w:val="C00000"/>
          <w:lang w:val="en-US"/>
        </w:rPr>
      </w:pPr>
      <w:r w:rsidRPr="009E20EC">
        <w:rPr>
          <w:color w:val="C00000"/>
          <w:lang w:val="en-US"/>
        </w:rPr>
        <w:t xml:space="preserve">Box A: </w:t>
      </w:r>
      <w:r w:rsidR="002B4FFB" w:rsidRPr="009E20EC">
        <w:rPr>
          <w:color w:val="C00000"/>
          <w:lang w:val="en-US"/>
        </w:rPr>
        <w:t>Near b</w:t>
      </w:r>
      <w:r w:rsidRPr="009E20EC">
        <w:rPr>
          <w:color w:val="C00000"/>
          <w:lang w:val="en-US"/>
        </w:rPr>
        <w:t>ottom left (</w:t>
      </w:r>
      <w:r w:rsidR="00823476" w:rsidRPr="009E20EC">
        <w:rPr>
          <w:color w:val="C00000"/>
          <w:lang w:val="en-US"/>
        </w:rPr>
        <w:t>3300</w:t>
      </w:r>
      <w:r w:rsidRPr="009E20EC">
        <w:rPr>
          <w:color w:val="C00000"/>
          <w:lang w:val="en-US"/>
        </w:rPr>
        <w:t xml:space="preserve">, </w:t>
      </w:r>
      <w:r w:rsidR="002B4FFB" w:rsidRPr="009E20EC">
        <w:rPr>
          <w:color w:val="C00000"/>
          <w:lang w:val="en-US"/>
        </w:rPr>
        <w:t xml:space="preserve">0, </w:t>
      </w:r>
      <w:r w:rsidR="00823476" w:rsidRPr="009E20EC">
        <w:rPr>
          <w:color w:val="C00000"/>
          <w:lang w:val="en-US"/>
        </w:rPr>
        <w:t>0</w:t>
      </w:r>
      <w:r w:rsidRPr="009E20EC">
        <w:rPr>
          <w:color w:val="C00000"/>
          <w:lang w:val="en-US"/>
        </w:rPr>
        <w:t xml:space="preserve">), </w:t>
      </w:r>
      <w:r w:rsidR="002B4FFB" w:rsidRPr="009E20EC">
        <w:rPr>
          <w:color w:val="C00000"/>
          <w:lang w:val="en-US"/>
        </w:rPr>
        <w:t xml:space="preserve">far </w:t>
      </w:r>
      <w:r w:rsidRPr="009E20EC">
        <w:rPr>
          <w:color w:val="C00000"/>
          <w:lang w:val="en-US"/>
        </w:rPr>
        <w:t>top right (</w:t>
      </w:r>
      <w:r w:rsidR="00823476" w:rsidRPr="009E20EC">
        <w:rPr>
          <w:color w:val="C00000"/>
          <w:lang w:val="en-US"/>
        </w:rPr>
        <w:t>8400</w:t>
      </w:r>
      <w:r w:rsidRPr="009E20EC">
        <w:rPr>
          <w:color w:val="C00000"/>
          <w:lang w:val="en-US"/>
        </w:rPr>
        <w:t xml:space="preserve">, </w:t>
      </w:r>
      <w:r w:rsidR="002B4FFB" w:rsidRPr="009E20EC">
        <w:rPr>
          <w:color w:val="C00000"/>
          <w:lang w:val="en-US"/>
        </w:rPr>
        <w:t xml:space="preserve">5000, </w:t>
      </w:r>
      <w:r w:rsidR="009E20EC">
        <w:rPr>
          <w:color w:val="C00000"/>
          <w:lang w:val="en-US"/>
        </w:rPr>
        <w:t>80</w:t>
      </w:r>
      <w:r w:rsidR="00823476" w:rsidRPr="009E20EC">
        <w:rPr>
          <w:color w:val="C00000"/>
          <w:lang w:val="en-US"/>
        </w:rPr>
        <w:t>0</w:t>
      </w:r>
      <w:r w:rsidRPr="009E20EC">
        <w:rPr>
          <w:color w:val="C00000"/>
          <w:lang w:val="en-US"/>
        </w:rPr>
        <w:t>)</w:t>
      </w:r>
    </w:p>
    <w:p w14:paraId="4FFECE9A" w14:textId="2290CBA2" w:rsidR="00666A3E" w:rsidRPr="009E20EC" w:rsidRDefault="00666A3E" w:rsidP="00666A3E">
      <w:pPr>
        <w:spacing w:after="0"/>
        <w:jc w:val="both"/>
        <w:rPr>
          <w:color w:val="C00000"/>
          <w:lang w:val="en-US"/>
        </w:rPr>
      </w:pPr>
      <w:r w:rsidRPr="009E20EC">
        <w:rPr>
          <w:color w:val="C00000"/>
          <w:lang w:val="en-US"/>
        </w:rPr>
        <w:t xml:space="preserve">Box B: </w:t>
      </w:r>
      <w:r w:rsidR="002B4FFB" w:rsidRPr="009E20EC">
        <w:rPr>
          <w:color w:val="C00000"/>
          <w:lang w:val="en-US"/>
        </w:rPr>
        <w:t>Near b</w:t>
      </w:r>
      <w:r w:rsidRPr="009E20EC">
        <w:rPr>
          <w:color w:val="C00000"/>
          <w:lang w:val="en-US"/>
        </w:rPr>
        <w:t xml:space="preserve">ottom left (0, </w:t>
      </w:r>
      <w:r w:rsidR="002B4FFB" w:rsidRPr="009E20EC">
        <w:rPr>
          <w:color w:val="C00000"/>
          <w:lang w:val="en-US"/>
        </w:rPr>
        <w:t>0, 8</w:t>
      </w:r>
      <w:r w:rsidR="00823476" w:rsidRPr="009E20EC">
        <w:rPr>
          <w:color w:val="C00000"/>
          <w:lang w:val="en-US"/>
        </w:rPr>
        <w:t>00</w:t>
      </w:r>
      <w:r w:rsidRPr="009E20EC">
        <w:rPr>
          <w:color w:val="C00000"/>
          <w:lang w:val="en-US"/>
        </w:rPr>
        <w:t xml:space="preserve">), </w:t>
      </w:r>
      <w:r w:rsidR="002B4FFB" w:rsidRPr="009E20EC">
        <w:rPr>
          <w:color w:val="C00000"/>
          <w:lang w:val="en-US"/>
        </w:rPr>
        <w:t xml:space="preserve">far </w:t>
      </w:r>
      <w:r w:rsidRPr="009E20EC">
        <w:rPr>
          <w:color w:val="C00000"/>
          <w:lang w:val="en-US"/>
        </w:rPr>
        <w:t>top right (</w:t>
      </w:r>
      <w:r w:rsidR="00823476" w:rsidRPr="009E20EC">
        <w:rPr>
          <w:color w:val="C00000"/>
          <w:lang w:val="en-US"/>
        </w:rPr>
        <w:t>3300</w:t>
      </w:r>
      <w:r w:rsidRPr="009E20EC">
        <w:rPr>
          <w:color w:val="C00000"/>
          <w:lang w:val="en-US"/>
        </w:rPr>
        <w:t xml:space="preserve">, </w:t>
      </w:r>
      <w:r w:rsidR="002B4FFB" w:rsidRPr="009E20EC">
        <w:rPr>
          <w:color w:val="C00000"/>
          <w:lang w:val="en-US"/>
        </w:rPr>
        <w:t xml:space="preserve">5000, </w:t>
      </w:r>
      <w:r w:rsidRPr="009E20EC">
        <w:rPr>
          <w:color w:val="C00000"/>
          <w:lang w:val="en-US"/>
        </w:rPr>
        <w:t>1</w:t>
      </w:r>
      <w:r w:rsidR="002B4FFB" w:rsidRPr="009E20EC">
        <w:rPr>
          <w:color w:val="C00000"/>
          <w:lang w:val="en-US"/>
        </w:rPr>
        <w:t>6</w:t>
      </w:r>
      <w:r w:rsidR="00823476" w:rsidRPr="009E20EC">
        <w:rPr>
          <w:color w:val="C00000"/>
          <w:lang w:val="en-US"/>
        </w:rPr>
        <w:t>00</w:t>
      </w:r>
      <w:r w:rsidRPr="009E20EC">
        <w:rPr>
          <w:color w:val="C00000"/>
          <w:lang w:val="en-US"/>
        </w:rPr>
        <w:t>)</w:t>
      </w:r>
    </w:p>
    <w:p w14:paraId="7D48C74D" w14:textId="2962251F" w:rsidR="00666A3E" w:rsidRDefault="00666A3E" w:rsidP="00666A3E">
      <w:pPr>
        <w:spacing w:after="0"/>
        <w:jc w:val="both"/>
        <w:rPr>
          <w:lang w:val="en-US"/>
        </w:rPr>
      </w:pPr>
      <w:r w:rsidRPr="009E20EC">
        <w:rPr>
          <w:color w:val="C00000"/>
          <w:lang w:val="en-US"/>
        </w:rPr>
        <w:t>Box C: Bottom left (</w:t>
      </w:r>
      <w:r w:rsidR="00823476" w:rsidRPr="009E20EC">
        <w:rPr>
          <w:color w:val="C00000"/>
          <w:lang w:val="en-US"/>
        </w:rPr>
        <w:t>3300</w:t>
      </w:r>
      <w:r w:rsidRPr="009E20EC">
        <w:rPr>
          <w:color w:val="C00000"/>
          <w:lang w:val="en-US"/>
        </w:rPr>
        <w:t xml:space="preserve">, </w:t>
      </w:r>
      <w:r w:rsidR="002B4FFB" w:rsidRPr="009E20EC">
        <w:rPr>
          <w:color w:val="C00000"/>
          <w:lang w:val="en-US"/>
        </w:rPr>
        <w:t xml:space="preserve">1000, </w:t>
      </w:r>
      <w:r w:rsidR="00823476" w:rsidRPr="009E20EC">
        <w:rPr>
          <w:color w:val="C00000"/>
          <w:highlight w:val="yellow"/>
          <w:lang w:val="en-US"/>
        </w:rPr>
        <w:t>0</w:t>
      </w:r>
      <w:r w:rsidRPr="009E20EC">
        <w:rPr>
          <w:color w:val="C00000"/>
          <w:lang w:val="en-US"/>
        </w:rPr>
        <w:t>), top right (</w:t>
      </w:r>
      <w:r w:rsidR="00823476" w:rsidRPr="009E20EC">
        <w:rPr>
          <w:color w:val="C00000"/>
          <w:lang w:val="en-US"/>
        </w:rPr>
        <w:t>7800</w:t>
      </w:r>
      <w:r w:rsidRPr="009E20EC">
        <w:rPr>
          <w:color w:val="C00000"/>
          <w:lang w:val="en-US"/>
        </w:rPr>
        <w:t xml:space="preserve">, </w:t>
      </w:r>
      <w:r w:rsidR="002B4FFB" w:rsidRPr="009E20EC">
        <w:rPr>
          <w:color w:val="C00000"/>
          <w:lang w:val="en-US"/>
        </w:rPr>
        <w:t xml:space="preserve">4000, </w:t>
      </w:r>
      <w:r w:rsidRPr="009E20EC">
        <w:rPr>
          <w:color w:val="C00000"/>
          <w:lang w:val="en-US"/>
        </w:rPr>
        <w:t>4</w:t>
      </w:r>
      <w:r w:rsidR="002B4FFB" w:rsidRPr="009E20EC">
        <w:rPr>
          <w:color w:val="C00000"/>
          <w:lang w:val="en-US"/>
        </w:rPr>
        <w:t>33</w:t>
      </w:r>
      <w:r w:rsidRPr="009E20EC">
        <w:rPr>
          <w:color w:val="C00000"/>
          <w:lang w:val="en-US"/>
        </w:rPr>
        <w:t xml:space="preserve">) </w:t>
      </w:r>
    </w:p>
    <w:p w14:paraId="24659B4E" w14:textId="2E21C78F" w:rsidR="00666A3E" w:rsidRDefault="00666A3E" w:rsidP="00666A3E">
      <w:pPr>
        <w:spacing w:after="0"/>
        <w:jc w:val="both"/>
        <w:rPr>
          <w:lang w:val="en-US"/>
        </w:rPr>
      </w:pPr>
    </w:p>
    <w:p w14:paraId="2D4BB00F" w14:textId="41F2499B" w:rsidR="009E20EC" w:rsidRPr="009E20EC" w:rsidRDefault="009E20EC" w:rsidP="009E20EC">
      <w:pPr>
        <w:spacing w:after="0"/>
        <w:jc w:val="both"/>
        <w:rPr>
          <w:color w:val="4472C4" w:themeColor="accent1"/>
          <w:lang w:val="en-US"/>
        </w:rPr>
      </w:pPr>
      <w:r w:rsidRPr="009E20EC">
        <w:rPr>
          <w:color w:val="4472C4" w:themeColor="accent1"/>
          <w:lang w:val="en-US"/>
        </w:rPr>
        <w:t xml:space="preserve">Box A: Near bottom left (3300, 0, 0), far top right (8400, 5000, </w:t>
      </w:r>
      <w:r>
        <w:rPr>
          <w:color w:val="4472C4" w:themeColor="accent1"/>
          <w:lang w:val="en-US"/>
        </w:rPr>
        <w:t>75</w:t>
      </w:r>
      <w:r w:rsidRPr="009E20EC">
        <w:rPr>
          <w:color w:val="4472C4" w:themeColor="accent1"/>
          <w:lang w:val="en-US"/>
        </w:rPr>
        <w:t>0)</w:t>
      </w:r>
    </w:p>
    <w:p w14:paraId="4BADF428" w14:textId="3AA1F979" w:rsidR="009E20EC" w:rsidRPr="009E20EC" w:rsidRDefault="009E20EC" w:rsidP="009E20EC">
      <w:pPr>
        <w:spacing w:after="0"/>
        <w:jc w:val="both"/>
        <w:rPr>
          <w:color w:val="4472C4" w:themeColor="accent1"/>
          <w:lang w:val="en-US"/>
        </w:rPr>
      </w:pPr>
      <w:r w:rsidRPr="009E20EC">
        <w:rPr>
          <w:color w:val="4472C4" w:themeColor="accent1"/>
          <w:lang w:val="en-US"/>
        </w:rPr>
        <w:t xml:space="preserve">Box B: Near bottom left (0, 0, </w:t>
      </w:r>
      <w:r>
        <w:rPr>
          <w:color w:val="4472C4" w:themeColor="accent1"/>
          <w:lang w:val="en-US"/>
        </w:rPr>
        <w:t>75</w:t>
      </w:r>
      <w:r w:rsidRPr="009E20EC">
        <w:rPr>
          <w:color w:val="4472C4" w:themeColor="accent1"/>
          <w:lang w:val="en-US"/>
        </w:rPr>
        <w:t>0), far top right (3300, 5000, 1</w:t>
      </w:r>
      <w:r>
        <w:rPr>
          <w:color w:val="4472C4" w:themeColor="accent1"/>
          <w:lang w:val="en-US"/>
        </w:rPr>
        <w:t>35</w:t>
      </w:r>
      <w:r w:rsidRPr="009E20EC">
        <w:rPr>
          <w:color w:val="4472C4" w:themeColor="accent1"/>
          <w:lang w:val="en-US"/>
        </w:rPr>
        <w:t>0)</w:t>
      </w:r>
    </w:p>
    <w:p w14:paraId="60F18A18" w14:textId="742C29D5" w:rsidR="009E20EC" w:rsidRDefault="009E20EC" w:rsidP="009E20EC">
      <w:pPr>
        <w:spacing w:after="0"/>
        <w:jc w:val="both"/>
        <w:rPr>
          <w:lang w:val="en-US"/>
        </w:rPr>
      </w:pPr>
      <w:r w:rsidRPr="009E20EC">
        <w:rPr>
          <w:color w:val="4472C4" w:themeColor="accent1"/>
          <w:lang w:val="en-US"/>
        </w:rPr>
        <w:t xml:space="preserve">Box C: Bottom left (3300, 1000, </w:t>
      </w:r>
      <w:r w:rsidRPr="009E20EC">
        <w:rPr>
          <w:color w:val="4472C4" w:themeColor="accent1"/>
          <w:highlight w:val="yellow"/>
          <w:lang w:val="en-US"/>
        </w:rPr>
        <w:t>0</w:t>
      </w:r>
      <w:r w:rsidRPr="009E20EC">
        <w:rPr>
          <w:color w:val="4472C4" w:themeColor="accent1"/>
          <w:lang w:val="en-US"/>
        </w:rPr>
        <w:t xml:space="preserve">), top right (7800, 4000, </w:t>
      </w:r>
      <w:r>
        <w:rPr>
          <w:color w:val="4472C4" w:themeColor="accent1"/>
          <w:lang w:val="en-US"/>
        </w:rPr>
        <w:t>550</w:t>
      </w:r>
      <w:r w:rsidRPr="009E20EC">
        <w:rPr>
          <w:color w:val="4472C4" w:themeColor="accent1"/>
          <w:lang w:val="en-US"/>
        </w:rPr>
        <w:t>)</w:t>
      </w:r>
    </w:p>
    <w:p w14:paraId="45C2E0F1" w14:textId="77777777" w:rsidR="009E20EC" w:rsidRDefault="009E20EC" w:rsidP="009E20EC">
      <w:pPr>
        <w:spacing w:after="0"/>
        <w:jc w:val="both"/>
        <w:rPr>
          <w:lang w:val="en-US"/>
        </w:rPr>
      </w:pPr>
    </w:p>
    <w:p w14:paraId="7609DC77" w14:textId="51FF8845" w:rsidR="002B4FFB" w:rsidRDefault="002B4FFB" w:rsidP="00666A3E">
      <w:pPr>
        <w:spacing w:after="0"/>
        <w:jc w:val="both"/>
        <w:rPr>
          <w:lang w:val="en-US"/>
        </w:rPr>
      </w:pPr>
      <w:r>
        <w:rPr>
          <w:lang w:val="en-US"/>
        </w:rPr>
        <w:t>Note that the definition of Box B</w:t>
      </w:r>
      <w:r w:rsidR="006D3F2B">
        <w:rPr>
          <w:lang w:val="en-US"/>
        </w:rPr>
        <w:t xml:space="preserve"> (and Box C)</w:t>
      </w:r>
      <w:r>
        <w:rPr>
          <w:lang w:val="en-US"/>
        </w:rPr>
        <w:t xml:space="preserve"> extends outside the top </w:t>
      </w:r>
      <w:r w:rsidR="006D3F2B">
        <w:rPr>
          <w:lang w:val="en-US"/>
        </w:rPr>
        <w:t xml:space="preserve">(and respectively bottom) </w:t>
      </w:r>
      <w:r>
        <w:rPr>
          <w:lang w:val="en-US"/>
        </w:rPr>
        <w:t xml:space="preserve">boundary, and the actual Box B </w:t>
      </w:r>
      <w:r w:rsidR="006D3F2B">
        <w:rPr>
          <w:lang w:val="en-US"/>
        </w:rPr>
        <w:t xml:space="preserve">(and Box C) </w:t>
      </w:r>
      <w:r>
        <w:rPr>
          <w:lang w:val="en-US"/>
        </w:rPr>
        <w:t xml:space="preserve">can be truncated to the part within the physical domain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</w:t>
      </w:r>
    </w:p>
    <w:p w14:paraId="2101BDB1" w14:textId="77777777" w:rsidR="002B4FFB" w:rsidRPr="00666A3E" w:rsidRDefault="002B4FFB" w:rsidP="00666A3E">
      <w:pPr>
        <w:spacing w:after="0"/>
        <w:jc w:val="both"/>
        <w:rPr>
          <w:lang w:val="en-US"/>
        </w:rPr>
      </w:pPr>
    </w:p>
    <w:p w14:paraId="2B661BA1" w14:textId="13F562EB" w:rsidR="00666A3E" w:rsidRPr="00666A3E" w:rsidRDefault="00666A3E" w:rsidP="00666A3E">
      <w:pPr>
        <w:jc w:val="both"/>
        <w:rPr>
          <w:lang w:val="en-US"/>
        </w:rPr>
      </w:pPr>
      <w:r w:rsidRPr="00666A3E">
        <w:rPr>
          <w:lang w:val="en-US"/>
        </w:rPr>
        <w:t xml:space="preserve">The two injection wells </w:t>
      </w:r>
      <w:r w:rsidR="002C0B02">
        <w:rPr>
          <w:lang w:val="en-US"/>
        </w:rPr>
        <w:t xml:space="preserve">are considered as </w:t>
      </w:r>
      <w:r w:rsidR="002C0B02" w:rsidRPr="00806B87">
        <w:rPr>
          <w:highlight w:val="yellow"/>
          <w:lang w:val="en-US"/>
        </w:rPr>
        <w:t>straight (horizontal)</w:t>
      </w:r>
      <w:r w:rsidR="007715A8">
        <w:rPr>
          <w:lang w:val="en-US"/>
        </w:rPr>
        <w:t>,</w:t>
      </w:r>
      <w:r w:rsidR="002C0B02">
        <w:rPr>
          <w:lang w:val="en-US"/>
        </w:rPr>
        <w:t xml:space="preserve"> </w:t>
      </w:r>
      <w:r w:rsidR="007715A8">
        <w:rPr>
          <w:lang w:val="en-US"/>
        </w:rPr>
        <w:t xml:space="preserve">and </w:t>
      </w:r>
      <w:r w:rsidR="002C0B02">
        <w:rPr>
          <w:lang w:val="en-US"/>
        </w:rPr>
        <w:t xml:space="preserve">are open/perforated between the near and far points with </w:t>
      </w:r>
      <m:oMath>
        <m:r>
          <w:rPr>
            <w:rFonts w:ascii="Cambria Math" w:hAnsi="Cambria Math"/>
            <w:lang w:val="en-US"/>
          </w:rPr>
          <m:t>(x,y,z)</m:t>
        </m:r>
      </m:oMath>
      <w:r w:rsidRPr="00666A3E">
        <w:rPr>
          <w:lang w:val="en-US"/>
        </w:rPr>
        <w:t xml:space="preserve"> coordinates: </w:t>
      </w:r>
    </w:p>
    <w:p w14:paraId="0AF2D8E7" w14:textId="5CDCF6D5" w:rsidR="00666A3E" w:rsidRPr="00806B87" w:rsidRDefault="00666A3E" w:rsidP="00666A3E">
      <w:pPr>
        <w:spacing w:after="0"/>
        <w:jc w:val="both"/>
        <w:rPr>
          <w:color w:val="C00000"/>
          <w:lang w:val="en-US"/>
        </w:rPr>
      </w:pPr>
      <w:r w:rsidRPr="00806B87">
        <w:rPr>
          <w:color w:val="C00000"/>
          <w:lang w:val="en-US"/>
        </w:rPr>
        <w:t xml:space="preserve">Well 1: </w:t>
      </w:r>
      <w:r w:rsidR="002C0B02" w:rsidRPr="00806B87">
        <w:rPr>
          <w:color w:val="C00000"/>
          <w:lang w:val="en-US"/>
        </w:rPr>
        <w:t xml:space="preserve">Near end </w:t>
      </w:r>
      <w:r w:rsidRPr="00806B87">
        <w:rPr>
          <w:color w:val="C00000"/>
          <w:lang w:val="en-US"/>
        </w:rPr>
        <w:t>(</w:t>
      </w:r>
      <w:r w:rsidR="00823476" w:rsidRPr="00806B87">
        <w:rPr>
          <w:color w:val="C00000"/>
          <w:lang w:val="en-US"/>
        </w:rPr>
        <w:t>2700</w:t>
      </w:r>
      <w:r w:rsidRPr="00806B87">
        <w:rPr>
          <w:color w:val="C00000"/>
          <w:lang w:val="en-US"/>
        </w:rPr>
        <w:t xml:space="preserve">, </w:t>
      </w:r>
      <w:r w:rsidR="002C0B02" w:rsidRPr="00806B87">
        <w:rPr>
          <w:color w:val="C00000"/>
          <w:lang w:val="en-US"/>
        </w:rPr>
        <w:t xml:space="preserve">1000, </w:t>
      </w:r>
      <w:r w:rsidRPr="00806B87">
        <w:rPr>
          <w:color w:val="C00000"/>
          <w:lang w:val="en-US"/>
        </w:rPr>
        <w:t>3</w:t>
      </w:r>
      <w:r w:rsidR="00823476" w:rsidRPr="00806B87">
        <w:rPr>
          <w:color w:val="C00000"/>
          <w:lang w:val="en-US"/>
        </w:rPr>
        <w:t>00</w:t>
      </w:r>
      <w:r w:rsidRPr="00806B87">
        <w:rPr>
          <w:color w:val="C00000"/>
          <w:lang w:val="en-US"/>
        </w:rPr>
        <w:t>)</w:t>
      </w:r>
      <w:r w:rsidR="002C0B02" w:rsidRPr="00806B87">
        <w:rPr>
          <w:color w:val="C00000"/>
          <w:lang w:val="en-US"/>
        </w:rPr>
        <w:t>, far end (2700, 4000, 300)</w:t>
      </w:r>
    </w:p>
    <w:p w14:paraId="648A53E6" w14:textId="3988D547" w:rsidR="004B1EE3" w:rsidRDefault="00666A3E" w:rsidP="00666A3E">
      <w:pPr>
        <w:spacing w:after="0"/>
        <w:jc w:val="both"/>
        <w:rPr>
          <w:lang w:val="en-US"/>
        </w:rPr>
      </w:pPr>
      <w:r w:rsidRPr="00806B87">
        <w:rPr>
          <w:color w:val="C00000"/>
          <w:lang w:val="en-US"/>
        </w:rPr>
        <w:t xml:space="preserve">Well 2: </w:t>
      </w:r>
      <w:r w:rsidR="002C0B02" w:rsidRPr="00806B87">
        <w:rPr>
          <w:color w:val="C00000"/>
          <w:lang w:val="en-US"/>
        </w:rPr>
        <w:t xml:space="preserve">Near end </w:t>
      </w:r>
      <w:r w:rsidRPr="00806B87">
        <w:rPr>
          <w:color w:val="C00000"/>
          <w:lang w:val="en-US"/>
        </w:rPr>
        <w:t>(</w:t>
      </w:r>
      <w:r w:rsidR="00823476" w:rsidRPr="00806B87">
        <w:rPr>
          <w:color w:val="C00000"/>
          <w:lang w:val="en-US"/>
        </w:rPr>
        <w:t>5100</w:t>
      </w:r>
      <w:r w:rsidRPr="00806B87">
        <w:rPr>
          <w:color w:val="C00000"/>
          <w:lang w:val="en-US"/>
        </w:rPr>
        <w:t xml:space="preserve">, </w:t>
      </w:r>
      <w:r w:rsidR="002C0B02" w:rsidRPr="00806B87">
        <w:rPr>
          <w:color w:val="C00000"/>
          <w:lang w:val="en-US"/>
        </w:rPr>
        <w:t xml:space="preserve">1000, </w:t>
      </w:r>
      <w:r w:rsidR="002C0B02" w:rsidRPr="00806B87">
        <w:rPr>
          <w:color w:val="C00000"/>
          <w:highlight w:val="yellow"/>
          <w:lang w:val="en-US"/>
        </w:rPr>
        <w:t>950</w:t>
      </w:r>
      <w:r w:rsidRPr="00806B87">
        <w:rPr>
          <w:color w:val="C00000"/>
          <w:lang w:val="en-US"/>
        </w:rPr>
        <w:t>)</w:t>
      </w:r>
      <w:r w:rsidR="002C0B02" w:rsidRPr="00806B87">
        <w:rPr>
          <w:color w:val="C00000"/>
          <w:lang w:val="en-US"/>
        </w:rPr>
        <w:t xml:space="preserve">, far end (5100, 4000, </w:t>
      </w:r>
      <w:r w:rsidR="002C0B02" w:rsidRPr="00806B87">
        <w:rPr>
          <w:color w:val="C00000"/>
          <w:highlight w:val="yellow"/>
          <w:lang w:val="en-US"/>
        </w:rPr>
        <w:t>950</w:t>
      </w:r>
      <w:r w:rsidR="002C0B02" w:rsidRPr="00806B87">
        <w:rPr>
          <w:color w:val="C00000"/>
          <w:lang w:val="en-US"/>
        </w:rPr>
        <w:t>)</w:t>
      </w:r>
    </w:p>
    <w:p w14:paraId="355333A5" w14:textId="6C300E6D" w:rsidR="00666A3E" w:rsidRDefault="00666A3E" w:rsidP="004B1EE3">
      <w:pPr>
        <w:jc w:val="both"/>
        <w:rPr>
          <w:lang w:val="en-US"/>
        </w:rPr>
      </w:pPr>
    </w:p>
    <w:p w14:paraId="2A2CAFB5" w14:textId="77777777" w:rsidR="00806B87" w:rsidRPr="00806B87" w:rsidRDefault="00806B87" w:rsidP="00806B87">
      <w:pPr>
        <w:spacing w:after="0"/>
        <w:jc w:val="both"/>
        <w:rPr>
          <w:color w:val="4472C4" w:themeColor="accent1"/>
          <w:lang w:val="en-US"/>
        </w:rPr>
      </w:pPr>
      <w:r w:rsidRPr="00806B87">
        <w:rPr>
          <w:color w:val="4472C4" w:themeColor="accent1"/>
          <w:lang w:val="en-US"/>
        </w:rPr>
        <w:t>Well 1: Near end (2700, 1000, 300), far end (2700, 4000, 300)</w:t>
      </w:r>
    </w:p>
    <w:p w14:paraId="0F5D700C" w14:textId="0D55E1A3" w:rsidR="00806B87" w:rsidRPr="00806B87" w:rsidRDefault="00806B87" w:rsidP="00806B87">
      <w:pPr>
        <w:spacing w:after="0"/>
        <w:jc w:val="both"/>
        <w:rPr>
          <w:color w:val="4472C4" w:themeColor="accent1"/>
          <w:lang w:val="en-US"/>
        </w:rPr>
      </w:pPr>
      <w:r w:rsidRPr="00806B87">
        <w:rPr>
          <w:color w:val="4472C4" w:themeColor="accent1"/>
          <w:lang w:val="en-US"/>
        </w:rPr>
        <w:t xml:space="preserve">Well 2: Near end (5100, 1000, </w:t>
      </w:r>
      <w:r>
        <w:rPr>
          <w:color w:val="4472C4" w:themeColor="accent1"/>
          <w:highlight w:val="yellow"/>
          <w:lang w:val="en-US"/>
        </w:rPr>
        <w:t>8</w:t>
      </w:r>
      <w:r w:rsidRPr="00806B87">
        <w:rPr>
          <w:color w:val="4472C4" w:themeColor="accent1"/>
          <w:highlight w:val="yellow"/>
          <w:lang w:val="en-US"/>
        </w:rPr>
        <w:t>50</w:t>
      </w:r>
      <w:r w:rsidRPr="00806B87">
        <w:rPr>
          <w:color w:val="4472C4" w:themeColor="accent1"/>
          <w:lang w:val="en-US"/>
        </w:rPr>
        <w:t xml:space="preserve">), far end (5100, 4000, </w:t>
      </w:r>
      <w:r>
        <w:rPr>
          <w:color w:val="4472C4" w:themeColor="accent1"/>
          <w:highlight w:val="yellow"/>
          <w:lang w:val="en-US"/>
        </w:rPr>
        <w:t>8</w:t>
      </w:r>
      <w:r w:rsidRPr="00806B87">
        <w:rPr>
          <w:color w:val="4472C4" w:themeColor="accent1"/>
          <w:highlight w:val="yellow"/>
          <w:lang w:val="en-US"/>
        </w:rPr>
        <w:t>50</w:t>
      </w:r>
      <w:r w:rsidRPr="00806B87">
        <w:rPr>
          <w:color w:val="4472C4" w:themeColor="accent1"/>
          <w:lang w:val="en-US"/>
        </w:rPr>
        <w:t>)</w:t>
      </w:r>
    </w:p>
    <w:p w14:paraId="0AA6558D" w14:textId="77777777" w:rsidR="00806B87" w:rsidRDefault="00806B87" w:rsidP="004B1EE3">
      <w:pPr>
        <w:jc w:val="both"/>
        <w:rPr>
          <w:lang w:val="en-US"/>
        </w:rPr>
      </w:pPr>
    </w:p>
    <w:p w14:paraId="160AB5B7" w14:textId="5124545A" w:rsidR="005A41F3" w:rsidRDefault="005A41F3" w:rsidP="004B1EE3">
      <w:pPr>
        <w:jc w:val="both"/>
        <w:rPr>
          <w:lang w:val="en-US"/>
        </w:rPr>
      </w:pPr>
      <w:r>
        <w:rPr>
          <w:lang w:val="en-US"/>
        </w:rPr>
        <w:t xml:space="preserve">Furthermore, to avoid ambiguity, we </w:t>
      </w:r>
      <w:r w:rsidR="002C0B02">
        <w:rPr>
          <w:lang w:val="en-US"/>
        </w:rPr>
        <w:t xml:space="preserve">keep the definition of </w:t>
      </w:r>
      <w:r>
        <w:rPr>
          <w:lang w:val="en-US"/>
        </w:rPr>
        <w:t xml:space="preserve">the following quantity: </w:t>
      </w:r>
    </w:p>
    <w:p w14:paraId="2C49F053" w14:textId="7FEDD478" w:rsidR="005A41F3" w:rsidRPr="005A41F3" w:rsidRDefault="005A41F3" w:rsidP="004B1EE3">
      <w:pPr>
        <w:jc w:val="both"/>
        <w:rPr>
          <w:lang w:val="en-US"/>
        </w:rPr>
      </w:pPr>
      <w:r>
        <w:rPr>
          <w:lang w:val="en-US"/>
        </w:rPr>
        <w:t xml:space="preserve">One </w:t>
      </w:r>
      <w:r w:rsidRPr="005A41F3">
        <w:rPr>
          <w:b/>
          <w:bCs/>
          <w:lang w:val="en-US"/>
        </w:rPr>
        <w:t>year</w:t>
      </w:r>
      <w:r>
        <w:rPr>
          <w:lang w:val="en-US"/>
        </w:rPr>
        <w:t xml:space="preserve"> is defined as exactly 365 days, containing </w:t>
      </w:r>
      <w:r w:rsidRPr="005A41F3">
        <w:rPr>
          <w:lang w:val="en-US"/>
        </w:rPr>
        <w:t>31,536,000</w:t>
      </w:r>
      <w:r>
        <w:rPr>
          <w:lang w:val="en-US"/>
        </w:rPr>
        <w:t xml:space="preserve"> seconds.</w:t>
      </w:r>
    </w:p>
    <w:p w14:paraId="5F865E75" w14:textId="77777777" w:rsidR="0065364B" w:rsidRDefault="0065364B" w:rsidP="004B1EE3">
      <w:pPr>
        <w:jc w:val="both"/>
        <w:rPr>
          <w:lang w:val="en-US"/>
        </w:rPr>
      </w:pPr>
    </w:p>
    <w:p w14:paraId="539142D3" w14:textId="60B63088" w:rsidR="004B1EE3" w:rsidRDefault="00773729" w:rsidP="004B1EE3">
      <w:pPr>
        <w:pStyle w:val="Heading2"/>
        <w:rPr>
          <w:lang w:val="en-US"/>
        </w:rPr>
      </w:pPr>
      <w:r w:rsidRPr="00773729">
        <w:rPr>
          <w:lang w:val="en-US"/>
        </w:rPr>
        <w:t>4</w:t>
      </w:r>
      <w:r w:rsidR="004B1EE3" w:rsidRPr="00773729">
        <w:rPr>
          <w:lang w:val="en-US"/>
        </w:rPr>
        <w:t>.</w:t>
      </w:r>
      <w:r w:rsidR="00D1373C" w:rsidRPr="00773729">
        <w:rPr>
          <w:lang w:val="en-US"/>
        </w:rPr>
        <w:t>3</w:t>
      </w:r>
      <w:r w:rsidR="004B1EE3" w:rsidRPr="00773729">
        <w:rPr>
          <w:lang w:val="en-US"/>
        </w:rPr>
        <w:t xml:space="preserve"> Initial and boundary conditions</w:t>
      </w:r>
      <w:r w:rsidR="004B1EE3">
        <w:rPr>
          <w:lang w:val="en-US"/>
        </w:rPr>
        <w:t xml:space="preserve"> </w:t>
      </w:r>
    </w:p>
    <w:p w14:paraId="1D0B0F42" w14:textId="06302F9D" w:rsidR="004B1EE3" w:rsidRPr="004B1EE3" w:rsidRDefault="004B1EE3" w:rsidP="004B1EE3">
      <w:pPr>
        <w:spacing w:after="0"/>
        <w:jc w:val="both"/>
        <w:rPr>
          <w:lang w:val="en-US"/>
        </w:rPr>
      </w:pPr>
      <w:r w:rsidRPr="004B1EE3">
        <w:rPr>
          <w:lang w:val="en-US"/>
        </w:rPr>
        <w:t xml:space="preserve">We </w:t>
      </w:r>
      <w:r>
        <w:rPr>
          <w:lang w:val="en-US"/>
        </w:rPr>
        <w:t>define initial and boundary conditions based on a depth of 2</w:t>
      </w:r>
      <w:r w:rsidR="00773729">
        <w:rPr>
          <w:lang w:val="en-US"/>
        </w:rPr>
        <w:t xml:space="preserve">000 </w:t>
      </w:r>
      <w:r>
        <w:rPr>
          <w:lang w:val="en-US"/>
        </w:rPr>
        <w:t xml:space="preserve">m to the top of the defined geometry. </w:t>
      </w:r>
    </w:p>
    <w:p w14:paraId="5CD4644D" w14:textId="77777777" w:rsidR="002D4C79" w:rsidRDefault="002D4C79" w:rsidP="004B1EE3">
      <w:pPr>
        <w:spacing w:after="0"/>
        <w:jc w:val="both"/>
        <w:rPr>
          <w:u w:val="single"/>
          <w:lang w:val="en-US"/>
        </w:rPr>
      </w:pPr>
    </w:p>
    <w:p w14:paraId="2C827402" w14:textId="77777777" w:rsidR="00773729" w:rsidRPr="00773729" w:rsidRDefault="004B1EE3" w:rsidP="00773729">
      <w:pPr>
        <w:spacing w:after="0"/>
        <w:jc w:val="both"/>
        <w:rPr>
          <w:rFonts w:eastAsiaTheme="minorEastAsia"/>
          <w:lang w:val="en-US"/>
        </w:rPr>
      </w:pPr>
      <w:r w:rsidRPr="00DA7FFD">
        <w:rPr>
          <w:u w:val="single"/>
          <w:lang w:val="en-US"/>
        </w:rPr>
        <w:t>Boundary conditions</w:t>
      </w:r>
      <w:r w:rsidRPr="00DA7FFD">
        <w:rPr>
          <w:lang w:val="en-US"/>
        </w:rPr>
        <w:t xml:space="preserve">: </w:t>
      </w:r>
      <w:r w:rsidR="00773729">
        <w:rPr>
          <w:lang w:val="en-US"/>
        </w:rPr>
        <w:t xml:space="preserve">The </w:t>
      </w:r>
      <w:r>
        <w:rPr>
          <w:lang w:val="en-US"/>
        </w:rPr>
        <w:t>left, right,</w:t>
      </w:r>
      <w:r w:rsidR="00773729">
        <w:rPr>
          <w:lang w:val="en-US"/>
        </w:rPr>
        <w:t xml:space="preserve"> front, back,</w:t>
      </w:r>
      <w:r>
        <w:rPr>
          <w:lang w:val="en-US"/>
        </w:rPr>
        <w:t xml:space="preserve"> </w:t>
      </w:r>
      <w:proofErr w:type="gramStart"/>
      <w:r w:rsidR="00735B46">
        <w:rPr>
          <w:lang w:val="en-US"/>
        </w:rPr>
        <w:t>top</w:t>
      </w:r>
      <w:proofErr w:type="gramEnd"/>
      <w:r w:rsidR="00735B46">
        <w:rPr>
          <w:lang w:val="en-US"/>
        </w:rPr>
        <w:t xml:space="preserve"> </w:t>
      </w:r>
      <w:r>
        <w:rPr>
          <w:lang w:val="en-US"/>
        </w:rPr>
        <w:t>and bottom boundaries are considered to have aquifer support</w:t>
      </w:r>
      <w:r w:rsidR="00A06AD9">
        <w:rPr>
          <w:lang w:val="en-US"/>
        </w:rPr>
        <w:t xml:space="preserve"> at fixed temperature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for any point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>
        <w:rPr>
          <w:rFonts w:eastAsiaTheme="minorEastAsia"/>
          <w:lang w:val="en-US"/>
        </w:rPr>
        <w:t xml:space="preserve"> on the boundary</w:t>
      </w:r>
      <w:r>
        <w:rPr>
          <w:lang w:val="en-US"/>
        </w:rPr>
        <w:t xml:space="preserve"> at time </w:t>
      </w:r>
      <m:oMath>
        <m:r>
          <w:rPr>
            <w:rFonts w:ascii="Cambria Math" w:hAnsi="Cambria Math"/>
            <w:lang w:val="en-US"/>
          </w:rPr>
          <m:t>t</m:t>
        </m:r>
      </m:oMath>
      <w:r w:rsidR="00773729">
        <w:rPr>
          <w:rFonts w:eastAsiaTheme="minorEastAsia"/>
          <w:lang w:val="en-US"/>
        </w:rPr>
        <w:t xml:space="preserve"> equation (3.3) from section 3.3 applies. </w:t>
      </w:r>
    </w:p>
    <w:p w14:paraId="13C570A5" w14:textId="0D9FA34A" w:rsidR="00A06AD9" w:rsidRDefault="00773729" w:rsidP="00773729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T</w:t>
      </w:r>
      <w:r w:rsidR="00A06AD9">
        <w:rPr>
          <w:lang w:val="en-US"/>
        </w:rPr>
        <w:t xml:space="preserve">he constant (in time) depth-dependent temperature boundary </w:t>
      </w:r>
      <w:r w:rsidR="00A06AD9" w:rsidRPr="004B1EE3">
        <w:rPr>
          <w:lang w:val="en-US"/>
        </w:rPr>
        <w:t xml:space="preserve">conditions </w:t>
      </w:r>
      <w:r w:rsidR="00A06AD9">
        <w:rPr>
          <w:lang w:val="en-US"/>
        </w:rPr>
        <w:t xml:space="preserve">are given as </w:t>
      </w:r>
      <w:r w:rsidR="00A06AD9" w:rsidRPr="00A8213B">
        <w:rPr>
          <w:lang w:val="en-US"/>
        </w:rPr>
        <w:t>40</w:t>
      </w:r>
      <w:r w:rsidR="00A06AD9" w:rsidRPr="00A8213B">
        <w:rPr>
          <w:rFonts w:ascii="Georgia" w:hAnsi="Georgia"/>
          <w:lang w:val="en-US"/>
        </w:rPr>
        <w:t xml:space="preserve">° </w:t>
      </w:r>
      <w:r w:rsidR="00A06AD9" w:rsidRPr="00A8213B">
        <w:rPr>
          <w:lang w:val="en-US"/>
        </w:rPr>
        <w:t xml:space="preserve">C at the top </w:t>
      </w:r>
      <w:r>
        <w:rPr>
          <w:lang w:val="en-US"/>
        </w:rPr>
        <w:t>of the arched domain</w:t>
      </w:r>
      <w:r w:rsidR="00A06AD9" w:rsidRPr="00A8213B">
        <w:rPr>
          <w:lang w:val="en-US"/>
        </w:rPr>
        <w:t>, increasing with a geothermal gradient of 25</w:t>
      </w:r>
      <w:r w:rsidR="00A06AD9" w:rsidRPr="00A8213B">
        <w:rPr>
          <w:rFonts w:ascii="Georgia" w:hAnsi="Georgia"/>
          <w:lang w:val="en-US"/>
        </w:rPr>
        <w:t xml:space="preserve">° </w:t>
      </w:r>
      <w:r w:rsidR="00A06AD9" w:rsidRPr="00A8213B">
        <w:rPr>
          <w:lang w:val="en-US"/>
        </w:rPr>
        <w:t xml:space="preserve">C/km at the right and left boundaries up to </w:t>
      </w:r>
      <w:r>
        <w:rPr>
          <w:color w:val="C00000"/>
          <w:lang w:val="en-US"/>
        </w:rPr>
        <w:t>8</w:t>
      </w:r>
      <w:r w:rsidR="00A8213B" w:rsidRPr="00773729">
        <w:rPr>
          <w:color w:val="C00000"/>
          <w:lang w:val="en-US"/>
        </w:rPr>
        <w:t>0</w:t>
      </w:r>
      <w:r w:rsidR="00A06AD9" w:rsidRPr="00773729">
        <w:rPr>
          <w:rFonts w:ascii="Georgia" w:hAnsi="Georgia"/>
          <w:color w:val="C00000"/>
          <w:lang w:val="en-US"/>
        </w:rPr>
        <w:t xml:space="preserve">° </w:t>
      </w:r>
      <w:r w:rsidR="00A06AD9" w:rsidRPr="00773729">
        <w:rPr>
          <w:color w:val="C00000"/>
          <w:lang w:val="en-US"/>
        </w:rPr>
        <w:t>C</w:t>
      </w:r>
      <w:r w:rsidR="00A06AD9">
        <w:rPr>
          <w:lang w:val="en-US"/>
        </w:rPr>
        <w:t xml:space="preserve"> </w:t>
      </w:r>
      <w:r w:rsidRPr="00773729">
        <w:rPr>
          <w:color w:val="4472C4" w:themeColor="accent1"/>
          <w:lang w:val="en-US"/>
        </w:rPr>
        <w:t>7</w:t>
      </w:r>
      <w:r>
        <w:rPr>
          <w:color w:val="4472C4" w:themeColor="accent1"/>
          <w:lang w:val="en-US"/>
        </w:rPr>
        <w:t>3.75</w:t>
      </w:r>
      <w:r w:rsidRPr="00773729">
        <w:rPr>
          <w:rFonts w:ascii="Georgia" w:hAnsi="Georgia"/>
          <w:color w:val="4472C4" w:themeColor="accent1"/>
          <w:lang w:val="en-US"/>
        </w:rPr>
        <w:t xml:space="preserve">° </w:t>
      </w:r>
      <w:r w:rsidRPr="00773729">
        <w:rPr>
          <w:color w:val="4472C4" w:themeColor="accent1"/>
          <w:lang w:val="en-US"/>
        </w:rPr>
        <w:t>C</w:t>
      </w:r>
      <w:r>
        <w:rPr>
          <w:lang w:val="en-US"/>
        </w:rPr>
        <w:t xml:space="preserve"> at </w:t>
      </w:r>
      <w:r w:rsidR="00A06AD9">
        <w:rPr>
          <w:lang w:val="en-US"/>
        </w:rPr>
        <w:t xml:space="preserve">the bottom boundary (recall that </w:t>
      </w:r>
      <m:oMath>
        <m:r>
          <w:rPr>
            <w:rFonts w:ascii="Cambria Math" w:hAnsi="Cambria Math"/>
            <w:lang w:val="en-US"/>
          </w:rPr>
          <m:t>z=0</m:t>
        </m:r>
      </m:oMath>
      <w:r w:rsidR="00A06AD9">
        <w:rPr>
          <w:rFonts w:eastAsiaTheme="minorEastAsia"/>
          <w:lang w:val="en-US"/>
        </w:rPr>
        <w:t xml:space="preserve"> is the bottom of the domain)</w:t>
      </w:r>
      <w:r w:rsidR="00A06AD9">
        <w:rPr>
          <w:lang w:val="en-US"/>
        </w:rPr>
        <w:t xml:space="preserve">: </w:t>
      </w:r>
    </w:p>
    <w:p w14:paraId="187F2D6B" w14:textId="77777777" w:rsidR="00A06AD9" w:rsidRPr="004B1EE3" w:rsidRDefault="00A06AD9" w:rsidP="00A06AD9">
      <w:pPr>
        <w:spacing w:after="0"/>
        <w:jc w:val="both"/>
        <w:rPr>
          <w:u w:val="single"/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2"/>
        <w:gridCol w:w="6359"/>
        <w:gridCol w:w="1363"/>
      </w:tblGrid>
      <w:tr w:rsidR="00A06AD9" w:rsidRPr="009C16B8" w14:paraId="36F66D45" w14:textId="77777777" w:rsidTr="00C943B2">
        <w:tc>
          <w:tcPr>
            <w:tcW w:w="750" w:type="pct"/>
          </w:tcPr>
          <w:p w14:paraId="61FE17EE" w14:textId="77777777" w:rsidR="00A06AD9" w:rsidRPr="0014448A" w:rsidRDefault="00A06AD9" w:rsidP="00C943B2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3500" w:type="pct"/>
          </w:tcPr>
          <w:p w14:paraId="6BE8F48A" w14:textId="1209390E" w:rsidR="00A06AD9" w:rsidRPr="00703330" w:rsidRDefault="00DC5626" w:rsidP="00C943B2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geo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C00000"/>
                    <w:lang w:val="en-US"/>
                  </w:rPr>
                  <m:t>70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4472C4" w:themeColor="accent1"/>
                    <w:lang w:val="en-US"/>
                  </w:rPr>
                  <m:t>73.75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0.025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750" w:type="pct"/>
          </w:tcPr>
          <w:p w14:paraId="62FA4A04" w14:textId="77777777" w:rsidR="00A06AD9" w:rsidRPr="00D20138" w:rsidRDefault="00A06AD9" w:rsidP="00F660A7">
            <w:pPr>
              <w:pStyle w:val="ListParagraph"/>
              <w:numPr>
                <w:ilvl w:val="1"/>
                <w:numId w:val="35"/>
              </w:numPr>
              <w:jc w:val="both"/>
              <w:rPr>
                <w:rFonts w:eastAsiaTheme="minorEastAsia"/>
              </w:rPr>
            </w:pPr>
          </w:p>
        </w:tc>
      </w:tr>
    </w:tbl>
    <w:p w14:paraId="26CAC689" w14:textId="77777777" w:rsidR="00A06AD9" w:rsidRDefault="00A06AD9" w:rsidP="00A06AD9">
      <w:pPr>
        <w:spacing w:after="0"/>
        <w:jc w:val="both"/>
        <w:rPr>
          <w:u w:val="single"/>
          <w:lang w:val="en-US"/>
        </w:rPr>
      </w:pPr>
    </w:p>
    <w:p w14:paraId="29E6D606" w14:textId="77777777" w:rsidR="00773729" w:rsidRDefault="004B1EE3" w:rsidP="00773729">
      <w:pPr>
        <w:spacing w:after="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These </w:t>
      </w:r>
      <w:r w:rsidR="00A06AD9">
        <w:rPr>
          <w:rFonts w:eastAsiaTheme="minorEastAsia"/>
          <w:lang w:val="en-US"/>
        </w:rPr>
        <w:t xml:space="preserve">boundary conditions are closed </w:t>
      </w:r>
      <w:r>
        <w:rPr>
          <w:rFonts w:eastAsiaTheme="minorEastAsia"/>
          <w:lang w:val="en-US"/>
        </w:rPr>
        <w:t>by the “aquifer support”</w:t>
      </w:r>
      <w:r w:rsidR="00A06AD9">
        <w:rPr>
          <w:rFonts w:eastAsiaTheme="minorEastAsia"/>
          <w:lang w:val="en-US"/>
        </w:rPr>
        <w:t xml:space="preserve"> approximation</w:t>
      </w:r>
      <w:r w:rsidR="00773729">
        <w:rPr>
          <w:rFonts w:eastAsiaTheme="minorEastAsia"/>
          <w:lang w:val="en-US"/>
        </w:rPr>
        <w:t xml:space="preserve"> as stated in equation (3.5), with </w:t>
      </w:r>
      <m:oMath>
        <m:r>
          <w:rPr>
            <w:rFonts w:ascii="Cambria Math" w:eastAsiaTheme="minorEastAsia" w:hAnsi="Cambria Math"/>
            <w:lang w:val="en-US"/>
          </w:rPr>
          <m:t>L=2000</m:t>
        </m:r>
      </m:oMath>
      <w:r w:rsidR="001244F5">
        <w:rPr>
          <w:rFonts w:eastAsiaTheme="minorEastAsia"/>
          <w:lang w:val="en-US"/>
        </w:rPr>
        <w:t xml:space="preserve">m for the </w:t>
      </w:r>
      <w:r w:rsidR="00735B46">
        <w:rPr>
          <w:rFonts w:eastAsiaTheme="minorEastAsia"/>
          <w:lang w:val="en-US"/>
        </w:rPr>
        <w:t>top</w:t>
      </w:r>
      <w:r w:rsidR="001244F5">
        <w:rPr>
          <w:rFonts w:eastAsiaTheme="minorEastAsia"/>
          <w:lang w:val="en-US"/>
        </w:rPr>
        <w:t xml:space="preserve"> and </w:t>
      </w:r>
      <w:r w:rsidR="00735B46">
        <w:rPr>
          <w:rFonts w:eastAsiaTheme="minorEastAsia"/>
          <w:lang w:val="en-US"/>
        </w:rPr>
        <w:t xml:space="preserve">bottom </w:t>
      </w:r>
      <w:r w:rsidR="001244F5">
        <w:rPr>
          <w:rFonts w:eastAsiaTheme="minorEastAsia"/>
          <w:lang w:val="en-US"/>
        </w:rPr>
        <w:t xml:space="preserve">boundary, and </w:t>
      </w:r>
      <m:oMath>
        <m:r>
          <w:rPr>
            <w:rFonts w:ascii="Cambria Math" w:eastAsiaTheme="minorEastAsia" w:hAnsi="Cambria Math"/>
            <w:lang w:val="en-US"/>
          </w:rPr>
          <m:t>L=20000</m:t>
        </m:r>
      </m:oMath>
      <w:r w:rsidR="001244F5">
        <w:rPr>
          <w:rFonts w:eastAsiaTheme="minorEastAsia"/>
          <w:lang w:val="en-US"/>
        </w:rPr>
        <w:t>m for the right</w:t>
      </w:r>
      <w:r w:rsidR="00773729">
        <w:rPr>
          <w:rFonts w:eastAsiaTheme="minorEastAsia"/>
          <w:lang w:val="en-US"/>
        </w:rPr>
        <w:t xml:space="preserve">, </w:t>
      </w:r>
      <w:r w:rsidR="001244F5">
        <w:rPr>
          <w:rFonts w:eastAsiaTheme="minorEastAsia"/>
          <w:lang w:val="en-US"/>
        </w:rPr>
        <w:t>left</w:t>
      </w:r>
      <w:r w:rsidR="00773729">
        <w:rPr>
          <w:rFonts w:eastAsiaTheme="minorEastAsia"/>
          <w:lang w:val="en-US"/>
        </w:rPr>
        <w:t>, front and back</w:t>
      </w:r>
      <w:r w:rsidR="001244F5">
        <w:rPr>
          <w:rFonts w:eastAsiaTheme="minorEastAsia"/>
          <w:lang w:val="en-US"/>
        </w:rPr>
        <w:t xml:space="preserve"> boundaries. </w:t>
      </w:r>
    </w:p>
    <w:p w14:paraId="710B4E10" w14:textId="77777777" w:rsidR="00773729" w:rsidRDefault="00773729" w:rsidP="00773729">
      <w:pPr>
        <w:spacing w:after="0"/>
        <w:jc w:val="both"/>
        <w:rPr>
          <w:lang w:val="en-US"/>
        </w:rPr>
      </w:pPr>
    </w:p>
    <w:p w14:paraId="71DE3B18" w14:textId="77777777" w:rsidR="00773729" w:rsidRDefault="00773729" w:rsidP="00773729">
      <w:pPr>
        <w:spacing w:after="0"/>
        <w:jc w:val="both"/>
        <w:rPr>
          <w:lang w:val="en-US"/>
        </w:rPr>
      </w:pPr>
      <w:r>
        <w:rPr>
          <w:lang w:val="en-US"/>
        </w:rPr>
        <w:t>T</w:t>
      </w:r>
      <w:r w:rsidR="008B61CE">
        <w:rPr>
          <w:lang w:val="en-US"/>
        </w:rPr>
        <w:t xml:space="preserve">he two injection wells </w:t>
      </w:r>
      <m:oMath>
        <m:r>
          <w:rPr>
            <w:rFonts w:ascii="Cambria Math" w:hAnsi="Cambria Math"/>
            <w:lang w:val="en-US"/>
          </w:rPr>
          <m:t>j=1,2</m:t>
        </m:r>
      </m:oMath>
      <w:r w:rsidR="008B61CE">
        <w:rPr>
          <w:rFonts w:eastAsiaTheme="minorEastAsia"/>
          <w:lang w:val="en-US"/>
        </w:rPr>
        <w:t xml:space="preserve"> </w:t>
      </w:r>
      <w:r w:rsidR="008B61CE">
        <w:rPr>
          <w:lang w:val="en-US"/>
        </w:rPr>
        <w:t>are equipped with fixed temperature boundary conditions during injection, thereafter zero heat transfer,</w:t>
      </w:r>
      <w:r>
        <w:rPr>
          <w:lang w:val="en-US"/>
        </w:rPr>
        <w:t xml:space="preserve"> as stated in Equation (3.6).</w:t>
      </w:r>
    </w:p>
    <w:p w14:paraId="3362D677" w14:textId="2065864F" w:rsidR="007D0718" w:rsidRDefault="00773729" w:rsidP="00773729">
      <w:pPr>
        <w:spacing w:after="0"/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 </w:t>
      </w:r>
    </w:p>
    <w:p w14:paraId="67BBFBEB" w14:textId="77777777" w:rsidR="00773729" w:rsidRDefault="00B6535E" w:rsidP="00773729">
      <w:pPr>
        <w:jc w:val="both"/>
        <w:rPr>
          <w:rFonts w:eastAsiaTheme="minorEastAsia"/>
          <w:lang w:val="en-US"/>
        </w:rPr>
      </w:pPr>
      <w:r>
        <w:rPr>
          <w:u w:val="single"/>
          <w:lang w:val="en-US"/>
        </w:rPr>
        <w:t>Initial conditions:</w:t>
      </w:r>
      <w:r>
        <w:rPr>
          <w:lang w:val="en-US"/>
        </w:rPr>
        <w:t xml:space="preserve">  </w:t>
      </w:r>
      <w:r w:rsidR="00897B8B">
        <w:rPr>
          <w:lang w:val="en-US"/>
        </w:rPr>
        <w:t xml:space="preserve">The CSP is initialized at </w:t>
      </w:r>
      <m:oMath>
        <m:r>
          <w:rPr>
            <w:rFonts w:ascii="Cambria Math" w:hAnsi="Cambria Math"/>
            <w:lang w:val="en-US"/>
          </w:rPr>
          <m:t>t=-3.15⋅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</m:oMath>
      <w:r w:rsidR="00897B8B">
        <w:rPr>
          <w:rFonts w:eastAsiaTheme="minorEastAsia"/>
          <w:lang w:val="en-US"/>
        </w:rPr>
        <w:t>s (1000 years before injection). The initial condition is given by an initially stagnant water-filled reservoir following the geothermal gradient</w:t>
      </w:r>
      <w:r w:rsidR="00773729">
        <w:rPr>
          <w:rFonts w:eastAsiaTheme="minorEastAsia"/>
          <w:lang w:val="en-US"/>
        </w:rPr>
        <w:t xml:space="preserve">, as stated in Equation (3.7). </w:t>
      </w:r>
    </w:p>
    <w:p w14:paraId="3F957FB9" w14:textId="6D252A53" w:rsidR="007816D5" w:rsidRPr="00B6535E" w:rsidRDefault="00670B2D" w:rsidP="00773729">
      <w:pPr>
        <w:jc w:val="both"/>
        <w:rPr>
          <w:lang w:val="en-US"/>
        </w:rPr>
      </w:pPr>
      <w:r>
        <w:rPr>
          <w:lang w:val="en-US"/>
        </w:rPr>
        <w:t xml:space="preserve">To make the initial condition well-posed, we specify a pressure at the center of Well 1 of </w:t>
      </w:r>
      <m:oMath>
        <m:r>
          <w:rPr>
            <w:rFonts w:ascii="Cambria Math" w:hAnsi="Cambria Math"/>
            <w:lang w:val="en-US"/>
          </w:rPr>
          <m:t>3.0⋅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7</m:t>
            </m:r>
          </m:sup>
        </m:sSup>
      </m:oMath>
      <w:r w:rsidRPr="00670B2D">
        <w:rPr>
          <w:lang w:val="en-US"/>
        </w:rPr>
        <w:t xml:space="preserve"> Pa</w:t>
      </w:r>
      <w:r>
        <w:rPr>
          <w:lang w:val="en-US"/>
        </w:rPr>
        <w:t>.</w:t>
      </w:r>
    </w:p>
    <w:p w14:paraId="1485334A" w14:textId="77777777" w:rsidR="004A3798" w:rsidRPr="00DA7FFD" w:rsidRDefault="004A3798" w:rsidP="004A3798">
      <w:pPr>
        <w:spacing w:after="0"/>
        <w:jc w:val="both"/>
        <w:rPr>
          <w:lang w:val="en-US"/>
        </w:rPr>
      </w:pPr>
    </w:p>
    <w:p w14:paraId="550D521B" w14:textId="4A57B6C8" w:rsidR="004A3798" w:rsidRDefault="002B44B0" w:rsidP="004A3798">
      <w:pPr>
        <w:pStyle w:val="Heading2"/>
        <w:jc w:val="both"/>
        <w:rPr>
          <w:lang w:val="en-US"/>
        </w:rPr>
      </w:pPr>
      <w:r>
        <w:rPr>
          <w:lang w:val="en-US"/>
        </w:rPr>
        <w:t>4</w:t>
      </w:r>
      <w:r w:rsidR="004A3798">
        <w:rPr>
          <w:lang w:val="en-US"/>
        </w:rPr>
        <w:t>.</w:t>
      </w:r>
      <w:r w:rsidR="000D1D5C">
        <w:rPr>
          <w:lang w:val="en-US"/>
        </w:rPr>
        <w:t>4</w:t>
      </w:r>
      <w:r w:rsidR="004A3798" w:rsidRPr="481845AB">
        <w:rPr>
          <w:lang w:val="en-US"/>
        </w:rPr>
        <w:t xml:space="preserve"> Facies properties</w:t>
      </w:r>
    </w:p>
    <w:p w14:paraId="1EEA2C46" w14:textId="72746DDC" w:rsidR="00D1373C" w:rsidRDefault="004A3798" w:rsidP="00F660A7">
      <w:pPr>
        <w:spacing w:after="0"/>
        <w:jc w:val="both"/>
        <w:rPr>
          <w:lang w:val="en-US"/>
        </w:rPr>
      </w:pPr>
      <w:r>
        <w:rPr>
          <w:lang w:val="en-US"/>
        </w:rPr>
        <w:t xml:space="preserve">The geometry contains seven facies, six permeable and one impermeable. These </w:t>
      </w:r>
      <w:r w:rsidR="00F660A7">
        <w:rPr>
          <w:lang w:val="en-US"/>
        </w:rPr>
        <w:t xml:space="preserve">have properties as given in Tables 3 and 4, and the entry pressure follows the scaling given in </w:t>
      </w:r>
      <w:r w:rsidR="00F660A7" w:rsidRPr="007A1FBA">
        <w:rPr>
          <w:lang w:val="en-US"/>
        </w:rPr>
        <w:t>Equation (3.</w:t>
      </w:r>
      <w:r w:rsidR="007A1FBA" w:rsidRPr="007A1FBA">
        <w:rPr>
          <w:lang w:val="en-US"/>
        </w:rPr>
        <w:t>9</w:t>
      </w:r>
      <w:r w:rsidR="00F660A7" w:rsidRPr="007A1FBA">
        <w:rPr>
          <w:lang w:val="en-US"/>
        </w:rPr>
        <w:t>)</w:t>
      </w:r>
      <w:r w:rsidR="00F660A7">
        <w:rPr>
          <w:lang w:val="en-US"/>
        </w:rPr>
        <w:t xml:space="preserve">. </w:t>
      </w:r>
    </w:p>
    <w:p w14:paraId="5B7BB024" w14:textId="77777777" w:rsidR="00F660A7" w:rsidRDefault="00F660A7" w:rsidP="00F660A7">
      <w:pPr>
        <w:spacing w:after="0"/>
        <w:jc w:val="both"/>
        <w:rPr>
          <w:lang w:val="en-US"/>
        </w:rPr>
      </w:pPr>
    </w:p>
    <w:p w14:paraId="776B2B8F" w14:textId="2224FDA0" w:rsidR="00653EFA" w:rsidRDefault="00653EFA" w:rsidP="004A3798">
      <w:pPr>
        <w:jc w:val="both"/>
        <w:rPr>
          <w:lang w:val="en-US"/>
        </w:rPr>
      </w:pPr>
      <w:r>
        <w:rPr>
          <w:lang w:val="en-US"/>
        </w:rPr>
        <w:t xml:space="preserve">From the horizontal permeability, the full facies permeability is defined based on a 10:1 horizontal to vertical anisotropy ratio </w:t>
      </w:r>
      <w:r w:rsidR="00F660A7">
        <w:rPr>
          <w:lang w:val="en-US"/>
        </w:rPr>
        <w:t xml:space="preserve">in the </w:t>
      </w:r>
      <w:r w:rsidR="00F660A7" w:rsidRPr="00F660A7">
        <w:rPr>
          <w:u w:val="single"/>
          <w:lang w:val="en-US"/>
        </w:rPr>
        <w:t>reference configuration</w:t>
      </w:r>
      <w:r w:rsidR="00F660A7">
        <w:rPr>
          <w:lang w:val="en-US"/>
        </w:rPr>
        <w:t xml:space="preserve"> </w:t>
      </w:r>
      <w:r>
        <w:rPr>
          <w:lang w:val="en-US"/>
        </w:rPr>
        <w:t xml:space="preserve">as: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2"/>
        <w:gridCol w:w="6359"/>
        <w:gridCol w:w="1363"/>
      </w:tblGrid>
      <w:tr w:rsidR="00653EFA" w:rsidRPr="008B61CE" w14:paraId="59415692" w14:textId="77777777" w:rsidTr="00C943B2">
        <w:tc>
          <w:tcPr>
            <w:tcW w:w="750" w:type="pct"/>
          </w:tcPr>
          <w:p w14:paraId="2536150A" w14:textId="77777777" w:rsidR="00653EFA" w:rsidRPr="0014448A" w:rsidRDefault="00653EFA" w:rsidP="00C943B2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3500" w:type="pct"/>
          </w:tcPr>
          <w:p w14:paraId="26D1E8DE" w14:textId="4C4A87B4" w:rsidR="00653EFA" w:rsidRPr="008B61CE" w:rsidRDefault="00DC5626" w:rsidP="00C943B2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0.1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50" w:type="pct"/>
          </w:tcPr>
          <w:p w14:paraId="5DDF4405" w14:textId="77777777" w:rsidR="00653EFA" w:rsidRPr="00D20138" w:rsidRDefault="00653EFA" w:rsidP="00F660A7">
            <w:pPr>
              <w:pStyle w:val="ListParagraph"/>
              <w:numPr>
                <w:ilvl w:val="1"/>
                <w:numId w:val="35"/>
              </w:numPr>
              <w:jc w:val="both"/>
              <w:rPr>
                <w:rFonts w:eastAsiaTheme="minorEastAsia"/>
              </w:rPr>
            </w:pPr>
          </w:p>
        </w:tc>
      </w:tr>
    </w:tbl>
    <w:p w14:paraId="13BF1930" w14:textId="224012A6" w:rsidR="00653EFA" w:rsidRDefault="00F660A7" w:rsidP="004A3798">
      <w:pPr>
        <w:jc w:val="both"/>
        <w:rPr>
          <w:lang w:val="en-US"/>
        </w:rPr>
      </w:pPr>
      <w:r>
        <w:rPr>
          <w:lang w:val="en-US"/>
        </w:rPr>
        <w:t xml:space="preserve">The permeability at a point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</m:d>
      </m:oMath>
      <w:r>
        <w:rPr>
          <w:lang w:val="en-US"/>
        </w:rPr>
        <w:t xml:space="preserve"> in the physical configuration is then given by the standard transformation rules as (see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r w:rsidRPr="00F660A7">
        <w:rPr>
          <w:highlight w:val="yellow"/>
          <w:lang w:val="en-US"/>
        </w:rPr>
        <w:t>XXX</w:t>
      </w:r>
      <w:r>
        <w:rPr>
          <w:lang w:val="en-US"/>
        </w:rPr>
        <w:t xml:space="preserve"> for a derivation):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2"/>
        <w:gridCol w:w="6359"/>
        <w:gridCol w:w="1363"/>
      </w:tblGrid>
      <w:tr w:rsidR="00F660A7" w:rsidRPr="008B61CE" w14:paraId="1654F76C" w14:textId="77777777" w:rsidTr="00B70ACF">
        <w:tc>
          <w:tcPr>
            <w:tcW w:w="750" w:type="pct"/>
          </w:tcPr>
          <w:p w14:paraId="2FDCCD6A" w14:textId="77777777" w:rsidR="00F660A7" w:rsidRPr="0014448A" w:rsidRDefault="00F660A7" w:rsidP="00B70ACF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3500" w:type="pct"/>
          </w:tcPr>
          <w:p w14:paraId="44C1272F" w14:textId="09B338EC" w:rsidR="00F660A7" w:rsidRPr="008B61CE" w:rsidRDefault="00DC5626" w:rsidP="00B70AC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750" w:type="pct"/>
          </w:tcPr>
          <w:p w14:paraId="41092172" w14:textId="77777777" w:rsidR="00F660A7" w:rsidRPr="00D20138" w:rsidRDefault="00F660A7" w:rsidP="00F660A7">
            <w:pPr>
              <w:pStyle w:val="ListParagraph"/>
              <w:numPr>
                <w:ilvl w:val="1"/>
                <w:numId w:val="35"/>
              </w:numPr>
              <w:jc w:val="both"/>
              <w:rPr>
                <w:rFonts w:eastAsiaTheme="minorEastAsia"/>
              </w:rPr>
            </w:pPr>
          </w:p>
        </w:tc>
      </w:tr>
    </w:tbl>
    <w:p w14:paraId="2FC14E60" w14:textId="5FED2E64" w:rsidR="00F660A7" w:rsidRDefault="00F660A7" w:rsidP="004A3798">
      <w:pPr>
        <w:jc w:val="both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1A1E7D">
        <w:rPr>
          <w:lang w:val="en-US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2"/>
        <w:gridCol w:w="6359"/>
        <w:gridCol w:w="1363"/>
      </w:tblGrid>
      <w:tr w:rsidR="00F660A7" w:rsidRPr="008B61CE" w14:paraId="304657B3" w14:textId="77777777" w:rsidTr="00F660A7">
        <w:tc>
          <w:tcPr>
            <w:tcW w:w="750" w:type="pct"/>
          </w:tcPr>
          <w:p w14:paraId="281ECCC6" w14:textId="77777777" w:rsidR="00F660A7" w:rsidRPr="0014448A" w:rsidRDefault="00F660A7" w:rsidP="00B70ACF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3500" w:type="pct"/>
          </w:tcPr>
          <w:p w14:paraId="1C855FA9" w14:textId="77777777" w:rsidR="00F660A7" w:rsidRPr="001A1E7D" w:rsidRDefault="00F660A7" w:rsidP="00B70ACF">
            <w:pPr>
              <w:jc w:val="center"/>
              <w:rPr>
                <w:rFonts w:eastAsiaTheme="minorEastAsia"/>
                <w:color w:val="C0000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lang w:val="en-US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  <w:lang w:val="en-US"/>
                  </w:rPr>
                  <m:t>∇Φ</m:t>
                </m:r>
                <m:r>
                  <w:rPr>
                    <w:rFonts w:ascii="Cambria Math" w:eastAsiaTheme="minorEastAsia" w:hAnsi="Cambria Math"/>
                    <w:color w:val="C00000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C00000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C0000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C00000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C0000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C00000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C0000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C00000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C00000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  <w:lang w:val="en-US"/>
                                </w:rPr>
                                <m:t>2w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  <w:lang w:val="en-US"/>
                                </w:rPr>
                                <m:t>7500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lang w:val="en-US"/>
                                    </w:rPr>
                                    <m:t>v-2500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lang w:val="en-US"/>
                                    </w:rPr>
                                    <m:t>2500</m:t>
                                  </m:r>
                                </m:den>
                              </m:f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lang w:val="en-US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C0000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0000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C00000"/>
                                              <w:lang w:val="en-US"/>
                                            </w:rPr>
                                            <m:t>v-2500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C00000"/>
                                              <w:lang w:val="en-US"/>
                                            </w:rPr>
                                            <m:t>2500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40A29555" w14:textId="1DF8892E" w:rsidR="001A1E7D" w:rsidRPr="008B61CE" w:rsidRDefault="001A1E7D" w:rsidP="00B70AC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472C4" w:themeColor="accent1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4472C4" w:themeColor="accent1"/>
                        <w:lang w:val="en-US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/>
                    <w:color w:val="4472C4" w:themeColor="accent1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472C4" w:themeColor="accent1"/>
                    <w:lang w:val="en-US"/>
                  </w:rPr>
                  <m:t>∇Φ</m:t>
                </m:r>
                <m:r>
                  <w:rPr>
                    <w:rFonts w:ascii="Cambria Math" w:eastAsiaTheme="minorEastAsia" w:hAnsi="Cambria Math"/>
                    <w:color w:val="4472C4" w:themeColor="accent1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4472C4" w:themeColor="accent1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4472C4" w:themeColor="accent1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4472C4" w:themeColor="accent1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4472C4" w:themeColor="accent1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4472C4" w:themeColor="accent1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4472C4" w:themeColor="accent1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4472C4" w:themeColor="accent1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4472C4" w:themeColor="accent1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lang w:val="en-US"/>
                                </w:rPr>
                                <m:t>50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lang w:val="en-US"/>
                                    </w:rPr>
                                    <m:t>v-2500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lang w:val="en-US"/>
                                    </w:rPr>
                                    <m:t>2500</m:t>
                                  </m:r>
                                </m:den>
                              </m:f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14:paraId="3847A9B5" w14:textId="77777777" w:rsidR="00F660A7" w:rsidRPr="00D20138" w:rsidRDefault="00F660A7" w:rsidP="00F660A7">
            <w:pPr>
              <w:pStyle w:val="ListParagraph"/>
              <w:numPr>
                <w:ilvl w:val="1"/>
                <w:numId w:val="35"/>
              </w:numPr>
              <w:jc w:val="center"/>
              <w:rPr>
                <w:rFonts w:eastAsiaTheme="minorEastAsia"/>
              </w:rPr>
            </w:pPr>
          </w:p>
        </w:tc>
      </w:tr>
    </w:tbl>
    <w:p w14:paraId="5BEC0DA2" w14:textId="6A2D0C47" w:rsidR="00F660A7" w:rsidRDefault="00F660A7" w:rsidP="004A3798">
      <w:pPr>
        <w:jc w:val="both"/>
        <w:rPr>
          <w:lang w:val="en-US"/>
        </w:rPr>
      </w:pPr>
      <w:r>
        <w:rPr>
          <w:lang w:val="en-US"/>
        </w:rPr>
        <w:t>And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2"/>
        <w:gridCol w:w="6359"/>
        <w:gridCol w:w="1363"/>
      </w:tblGrid>
      <w:tr w:rsidR="00F660A7" w:rsidRPr="008B61CE" w14:paraId="73EAE540" w14:textId="77777777" w:rsidTr="00B70ACF">
        <w:tc>
          <w:tcPr>
            <w:tcW w:w="750" w:type="pct"/>
          </w:tcPr>
          <w:p w14:paraId="5EC36C96" w14:textId="77777777" w:rsidR="00F660A7" w:rsidRPr="0014448A" w:rsidRDefault="00F660A7" w:rsidP="00B70ACF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3500" w:type="pct"/>
          </w:tcPr>
          <w:p w14:paraId="59569D04" w14:textId="77777777" w:rsidR="00F660A7" w:rsidRPr="001A1E7D" w:rsidRDefault="00F660A7" w:rsidP="00B70AC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00000"/>
                    <w:lang w:val="en-US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lang w:val="en-US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color w:val="C0000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  <w:lang w:val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C00000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lang w:val="en-US"/>
                              </w:rPr>
                              <m:t>u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color w:val="C00000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C0000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C00000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C00000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color w:val="C0000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C0000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C0000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C00000"/>
                            <w:lang w:val="en-US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C0000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000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C00000"/>
                                    <w:lang w:val="en-US"/>
                                  </w:rPr>
                                  <m:t>v-2500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C00000"/>
                                    <w:lang w:val="en-US"/>
                                  </w:rPr>
                                  <m:t>2500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C00000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0A299402" w14:textId="43D19A2A" w:rsidR="001A1E7D" w:rsidRPr="001A1E7D" w:rsidRDefault="001A1E7D" w:rsidP="00B70AC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4472C4" w:themeColor="accent1"/>
                    <w:lang w:val="en-US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4472C4" w:themeColor="accent1"/>
                        <w:lang w:val="en-US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/>
                    <w:color w:val="4472C4" w:themeColor="accent1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color w:val="4472C4" w:themeColor="accent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4472C4" w:themeColor="accent1"/>
                        <w:lang w:val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4472C4" w:themeColor="accent1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4472C4" w:themeColor="accent1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4472C4" w:themeColor="accent1"/>
                                <w:lang w:val="en-US"/>
                              </w:rPr>
                              <m:t>u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color w:val="4472C4" w:themeColor="accent1"/>
                    <w:lang w:val="en-US"/>
                  </w:rPr>
                  <m:t>=</m:t>
                </m:r>
                <m:r>
                  <w:rPr>
                    <w:rFonts w:ascii="Cambria Math" w:hAnsi="Cambria Math"/>
                    <w:color w:val="4472C4" w:themeColor="accent1"/>
                    <w:lang w:val="en-US"/>
                  </w:rPr>
                  <m:t>1</m:t>
                </m:r>
              </m:oMath>
            </m:oMathPara>
          </w:p>
        </w:tc>
        <w:tc>
          <w:tcPr>
            <w:tcW w:w="750" w:type="pct"/>
          </w:tcPr>
          <w:p w14:paraId="781FB836" w14:textId="77777777" w:rsidR="00F660A7" w:rsidRPr="00D20138" w:rsidRDefault="00F660A7" w:rsidP="00773729">
            <w:pPr>
              <w:pStyle w:val="ListParagraph"/>
              <w:numPr>
                <w:ilvl w:val="1"/>
                <w:numId w:val="35"/>
              </w:numPr>
              <w:jc w:val="both"/>
              <w:rPr>
                <w:rFonts w:eastAsiaTheme="minorEastAsia"/>
              </w:rPr>
            </w:pPr>
          </w:p>
        </w:tc>
      </w:tr>
    </w:tbl>
    <w:p w14:paraId="460260BC" w14:textId="3B9B5BE0" w:rsidR="00F660A7" w:rsidRDefault="00F660A7" w:rsidP="004A3798">
      <w:pPr>
        <w:jc w:val="both"/>
        <w:rPr>
          <w:lang w:val="en-US"/>
        </w:rPr>
      </w:pPr>
    </w:p>
    <w:p w14:paraId="5220654F" w14:textId="696EDFFA" w:rsidR="00F660A7" w:rsidRPr="009A1601" w:rsidRDefault="00F660A7" w:rsidP="004A3798">
      <w:pPr>
        <w:jc w:val="both"/>
        <w:rPr>
          <w:lang w:val="en-US"/>
        </w:rPr>
      </w:pPr>
      <w:r>
        <w:rPr>
          <w:lang w:val="en-US"/>
        </w:rPr>
        <w:lastRenderedPageBreak/>
        <w:t xml:space="preserve">This definition of the permeability ensures that the anisotropy follows the layering in the y-direction, but intersects the layering in the x-direction. This captures, albeit only conceptually, the computational difficulties associated with both the geological situations of large-scale deformation and erosion surfaces. </w:t>
      </w:r>
    </w:p>
    <w:p w14:paraId="7BA1900A" w14:textId="77777777" w:rsidR="00296EDE" w:rsidRDefault="00296EDE" w:rsidP="004A3798">
      <w:pPr>
        <w:jc w:val="both"/>
        <w:rPr>
          <w:lang w:val="en-US"/>
        </w:rPr>
      </w:pPr>
    </w:p>
    <w:p w14:paraId="5214D7FA" w14:textId="734C6B96" w:rsidR="004A3798" w:rsidRDefault="002B44B0" w:rsidP="004A3798">
      <w:pPr>
        <w:pStyle w:val="Heading2"/>
        <w:jc w:val="both"/>
        <w:rPr>
          <w:lang w:val="en-US"/>
        </w:rPr>
      </w:pPr>
      <w:r>
        <w:rPr>
          <w:lang w:val="en-US"/>
        </w:rPr>
        <w:t>4</w:t>
      </w:r>
      <w:r w:rsidR="004A3798">
        <w:rPr>
          <w:lang w:val="en-US"/>
        </w:rPr>
        <w:t>.</w:t>
      </w:r>
      <w:r w:rsidR="000D1D5C">
        <w:rPr>
          <w:lang w:val="en-US"/>
        </w:rPr>
        <w:t>5</w:t>
      </w:r>
      <w:r w:rsidR="004A3798">
        <w:rPr>
          <w:lang w:val="en-US"/>
        </w:rPr>
        <w:t xml:space="preserve"> Operational conditions</w:t>
      </w:r>
    </w:p>
    <w:p w14:paraId="04AE757B" w14:textId="77777777" w:rsidR="004A3798" w:rsidRDefault="004A3798" w:rsidP="004A3798">
      <w:pPr>
        <w:jc w:val="both"/>
        <w:rPr>
          <w:lang w:val="en-US"/>
        </w:rPr>
      </w:pPr>
      <w:r>
        <w:rPr>
          <w:lang w:val="en-US"/>
        </w:rPr>
        <w:t>Tentative CO</w:t>
      </w:r>
      <w:r w:rsidRPr="00A85866">
        <w:rPr>
          <w:vertAlign w:val="subscript"/>
          <w:lang w:val="en-US"/>
        </w:rPr>
        <w:t>2</w:t>
      </w:r>
      <w:r>
        <w:rPr>
          <w:lang w:val="en-US"/>
        </w:rPr>
        <w:t xml:space="preserve"> injection protocol:</w:t>
      </w:r>
    </w:p>
    <w:p w14:paraId="33DD9320" w14:textId="545242E6" w:rsidR="004A3798" w:rsidRDefault="004A3798" w:rsidP="004A3798">
      <w:pPr>
        <w:pStyle w:val="ListParagraph"/>
        <w:numPr>
          <w:ilvl w:val="0"/>
          <w:numId w:val="39"/>
        </w:numPr>
        <w:jc w:val="both"/>
      </w:pPr>
      <w:r w:rsidRPr="00FF7D62">
        <w:t>CO</w:t>
      </w:r>
      <w:r w:rsidRPr="00FF7D62">
        <w:rPr>
          <w:vertAlign w:val="subscript"/>
        </w:rPr>
        <w:t>2</w:t>
      </w:r>
      <w:r w:rsidRPr="00FF7D62">
        <w:t xml:space="preserve"> injection in well 1 with rate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magenta"/>
          </w:rPr>
          <m:t>0.25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magenta"/>
              </w:rPr>
              <m:t>kg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highlight w:val="magenta"/>
              </w:rPr>
              <m:t>m⋅s</m:t>
            </m:r>
          </m:den>
        </m:f>
      </m:oMath>
      <w:r w:rsidRPr="00FF7D62">
        <w:t xml:space="preserve"> </w:t>
      </w:r>
      <w:r w:rsidR="007A1FBA">
        <w:t xml:space="preserve">(mass per length per time) </w:t>
      </w:r>
      <w:r w:rsidR="002D4C79">
        <w:t xml:space="preserve">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well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°</m:t>
        </m:r>
      </m:oMath>
      <w:r w:rsidR="002D4C79" w:rsidRPr="002D4C79">
        <w:t xml:space="preserve"> C</w:t>
      </w:r>
      <w:r w:rsidR="002D4C79">
        <w:t xml:space="preserve"> </w:t>
      </w:r>
      <w:r w:rsidRPr="00FF7D62">
        <w:t xml:space="preserve">for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  <w:lang w:val="nb-NO"/>
          </w:rPr>
          <m:t>t</m:t>
        </m:r>
        <m:r>
          <w:rPr>
            <w:rFonts w:ascii="Cambria Math" w:hAnsi="Cambria Math"/>
          </w:rPr>
          <m:t>≤</m:t>
        </m:r>
        <w:bookmarkStart w:id="1" w:name="_Hlk127196376"/>
        <m:r>
          <w:rPr>
            <w:rFonts w:ascii="Cambria Math" w:hAnsi="Cambria Math"/>
          </w:rPr>
          <m:t>1.26144⋅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w:bookmarkEnd w:id="1"/>
        <m:r>
          <m:rPr>
            <m:sty m:val="p"/>
          </m:rPr>
          <w:rPr>
            <w:rFonts w:ascii="Cambria Math" w:hAnsi="Cambria Math"/>
          </w:rPr>
          <m:t>s</m:t>
        </m:r>
      </m:oMath>
      <w:r w:rsidRPr="00FF7D62">
        <w:t xml:space="preserve"> (</w:t>
      </w:r>
      <w:r>
        <w:t>continuous injection for 40</w:t>
      </w:r>
      <w:r w:rsidRPr="00FF7D62">
        <w:t xml:space="preserve"> </w:t>
      </w:r>
      <w:r>
        <w:t>years</w:t>
      </w:r>
      <w:r w:rsidRPr="00FF7D62">
        <w:t>)</w:t>
      </w:r>
    </w:p>
    <w:p w14:paraId="5662093E" w14:textId="2BF9FCE3" w:rsidR="004A3798" w:rsidRDefault="004A3798" w:rsidP="004A3798">
      <w:pPr>
        <w:pStyle w:val="ListParagraph"/>
        <w:numPr>
          <w:ilvl w:val="0"/>
          <w:numId w:val="39"/>
        </w:numPr>
        <w:jc w:val="both"/>
      </w:pPr>
      <w:r w:rsidRPr="00FF7D62">
        <w:t>CO</w:t>
      </w:r>
      <w:r w:rsidRPr="00FF7D62">
        <w:rPr>
          <w:vertAlign w:val="subscript"/>
        </w:rPr>
        <w:t>2</w:t>
      </w:r>
      <w:r w:rsidRPr="00FF7D62">
        <w:t xml:space="preserve"> injection in well </w:t>
      </w:r>
      <w:r>
        <w:t>2</w:t>
      </w:r>
      <w:r w:rsidRPr="00FF7D62">
        <w:t xml:space="preserve"> with rate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magenta"/>
          </w:rPr>
          <m:t>0.25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magenta"/>
              </w:rPr>
              <m:t>kg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highlight w:val="magenta"/>
              </w:rPr>
              <m:t>m⋅s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FF7D62">
        <w:t xml:space="preserve"> </w:t>
      </w:r>
      <w:r w:rsidR="002D4C79">
        <w:t xml:space="preserve">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well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°</m:t>
        </m:r>
      </m:oMath>
      <w:r w:rsidR="002D4C79" w:rsidRPr="002D4C79">
        <w:t>C</w:t>
      </w:r>
      <w:r w:rsidR="007D19A8">
        <w:t xml:space="preserve"> for</w:t>
      </w:r>
      <w:r w:rsidRPr="00FF7D62">
        <w:t xml:space="preserve"> </w:t>
      </w:r>
      <m:oMath>
        <m:r>
          <w:rPr>
            <w:rFonts w:ascii="Cambria Math" w:hAnsi="Cambria Math"/>
          </w:rPr>
          <m:t>6.3072⋅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nb-NO"/>
          </w:rPr>
          <m:t>t</m:t>
        </m:r>
        <m:r>
          <w:rPr>
            <w:rFonts w:ascii="Cambria Math" w:hAnsi="Cambria Math"/>
          </w:rPr>
          <m:t>≤1.26144⋅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s</m:t>
        </m:r>
      </m:oMath>
      <w:r w:rsidRPr="00FF7D62">
        <w:t xml:space="preserve"> (</w:t>
      </w:r>
      <w:r>
        <w:t xml:space="preserve">start after 20 </w:t>
      </w:r>
      <w:r w:rsidR="007D4637">
        <w:t>years</w:t>
      </w:r>
      <w:r>
        <w:t xml:space="preserve">, end 20 </w:t>
      </w:r>
      <w:r w:rsidR="007D4637">
        <w:t xml:space="preserve">years </w:t>
      </w:r>
      <w:r w:rsidRPr="00AD3C3D">
        <w:t>later</w:t>
      </w:r>
      <w:r w:rsidRPr="00FF7D62">
        <w:t>)</w:t>
      </w:r>
    </w:p>
    <w:p w14:paraId="73AFC23D" w14:textId="63401D63" w:rsidR="004A3798" w:rsidRDefault="004A3798" w:rsidP="004A3798">
      <w:pPr>
        <w:jc w:val="both"/>
        <w:rPr>
          <w:lang w:val="en-US"/>
        </w:rPr>
      </w:pPr>
      <w:r w:rsidRPr="004A3798">
        <w:rPr>
          <w:lang w:val="en-US"/>
        </w:rPr>
        <w:t>Monitor CO</w:t>
      </w:r>
      <w:r w:rsidRPr="004A3798">
        <w:rPr>
          <w:vertAlign w:val="subscript"/>
          <w:lang w:val="en-US"/>
        </w:rPr>
        <w:t>2</w:t>
      </w:r>
      <w:r w:rsidRPr="004A3798">
        <w:rPr>
          <w:lang w:val="en-US"/>
        </w:rPr>
        <w:t xml:space="preserve"> flow and transport until final time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=1.5768⋅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</m:oMath>
      <w:r w:rsidRPr="004A3798"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500 years</w:t>
      </w:r>
      <w:r w:rsidRPr="004A3798">
        <w:rPr>
          <w:rFonts w:eastAsiaTheme="minorEastAsia"/>
          <w:lang w:val="en-US"/>
        </w:rPr>
        <w:t>)</w:t>
      </w:r>
    </w:p>
    <w:p w14:paraId="125528E9" w14:textId="7C0C1F8B" w:rsidR="00897B8B" w:rsidRDefault="00666A3E" w:rsidP="00D678EF">
      <w:pPr>
        <w:jc w:val="both"/>
        <w:rPr>
          <w:color w:val="C00000"/>
          <w:lang w:val="en-US"/>
        </w:rPr>
      </w:pPr>
      <w:r>
        <w:rPr>
          <w:color w:val="C00000"/>
          <w:lang w:val="en-US"/>
        </w:rPr>
        <w:t>Suggested i</w:t>
      </w:r>
      <w:r w:rsidR="00CD4E03">
        <w:rPr>
          <w:color w:val="C00000"/>
          <w:lang w:val="en-US"/>
        </w:rPr>
        <w:t xml:space="preserve">njection rates </w:t>
      </w:r>
      <w:r w:rsidR="00C47D8D">
        <w:rPr>
          <w:color w:val="C00000"/>
          <w:lang w:val="en-US"/>
        </w:rPr>
        <w:t>crudely approximated</w:t>
      </w:r>
      <w:r w:rsidR="00897B8B">
        <w:rPr>
          <w:color w:val="C00000"/>
          <w:lang w:val="en-US"/>
        </w:rPr>
        <w:t xml:space="preserve"> from version </w:t>
      </w:r>
      <w:r w:rsidR="00C308FC">
        <w:rPr>
          <w:color w:val="C00000"/>
          <w:lang w:val="en-US"/>
        </w:rPr>
        <w:t>B as half the total rate, distributed along 3/5</w:t>
      </w:r>
      <w:r w:rsidR="00C308FC" w:rsidRPr="00C308FC">
        <w:rPr>
          <w:color w:val="C00000"/>
          <w:vertAlign w:val="superscript"/>
          <w:lang w:val="en-US"/>
        </w:rPr>
        <w:t>th</w:t>
      </w:r>
      <w:r w:rsidR="00C308FC">
        <w:rPr>
          <w:color w:val="C00000"/>
          <w:lang w:val="en-US"/>
        </w:rPr>
        <w:t xml:space="preserve"> of the domain. </w:t>
      </w:r>
    </w:p>
    <w:p w14:paraId="379B0DF9" w14:textId="782302F1" w:rsidR="005A41F3" w:rsidRDefault="005A41F3" w:rsidP="00AD3C3D">
      <w:pPr>
        <w:jc w:val="both"/>
        <w:rPr>
          <w:color w:val="C00000"/>
          <w:lang w:val="en-US"/>
        </w:rPr>
      </w:pPr>
    </w:p>
    <w:p w14:paraId="53BE9BEF" w14:textId="023152E6" w:rsidR="005A41F3" w:rsidRPr="005A41F3" w:rsidRDefault="002B44B0" w:rsidP="005A41F3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</w:t>
      </w:r>
      <w:r w:rsidR="005A41F3" w:rsidRPr="005A41F3">
        <w:rPr>
          <w:rFonts w:eastAsiaTheme="minorEastAsia"/>
          <w:lang w:val="en-US"/>
        </w:rPr>
        <w:t xml:space="preserve">.6 </w:t>
      </w:r>
      <w:r w:rsidR="001B3789" w:rsidRPr="005A41F3">
        <w:rPr>
          <w:rFonts w:eastAsiaTheme="minorEastAsia"/>
          <w:lang w:val="en-US"/>
        </w:rPr>
        <w:t>Measurables</w:t>
      </w:r>
    </w:p>
    <w:p w14:paraId="301842EA" w14:textId="6A07356A" w:rsidR="005A41F3" w:rsidRDefault="005A41F3" w:rsidP="005A41F3">
      <w:pPr>
        <w:rPr>
          <w:lang w:val="en-US"/>
        </w:rPr>
      </w:pPr>
      <w:r w:rsidRPr="005A41F3">
        <w:rPr>
          <w:lang w:val="en-US"/>
        </w:rPr>
        <w:t xml:space="preserve">The same </w:t>
      </w:r>
      <w:r w:rsidR="001B3789" w:rsidRPr="005A41F3">
        <w:rPr>
          <w:lang w:val="en-US"/>
        </w:rPr>
        <w:t>measurables</w:t>
      </w:r>
      <w:r w:rsidRPr="005A41F3">
        <w:rPr>
          <w:lang w:val="en-US"/>
        </w:rPr>
        <w:t xml:space="preserve"> a</w:t>
      </w:r>
      <w:r>
        <w:rPr>
          <w:lang w:val="en-US"/>
        </w:rPr>
        <w:t>s for 11A</w:t>
      </w:r>
      <w:r w:rsidR="00C308FC">
        <w:rPr>
          <w:lang w:val="en-US"/>
        </w:rPr>
        <w:t xml:space="preserve"> and 11B</w:t>
      </w:r>
      <w:r>
        <w:rPr>
          <w:lang w:val="en-US"/>
        </w:rPr>
        <w:t xml:space="preserve"> (defined in Section 2.5) also apply to 11</w:t>
      </w:r>
      <w:r w:rsidR="00C308FC">
        <w:rPr>
          <w:lang w:val="en-US"/>
        </w:rPr>
        <w:t>C</w:t>
      </w:r>
      <w:r>
        <w:rPr>
          <w:lang w:val="en-US"/>
        </w:rPr>
        <w:t xml:space="preserve">. </w:t>
      </w:r>
    </w:p>
    <w:p w14:paraId="68A346EF" w14:textId="5D89B701" w:rsidR="00C308FC" w:rsidRDefault="00C308FC">
      <w:pPr>
        <w:rPr>
          <w:lang w:val="en-US"/>
        </w:rPr>
      </w:pPr>
    </w:p>
    <w:p w14:paraId="55AC2BF6" w14:textId="77777777" w:rsidR="005A41F3" w:rsidRDefault="005A41F3" w:rsidP="005A41F3">
      <w:pPr>
        <w:rPr>
          <w:lang w:val="en-US"/>
        </w:rPr>
      </w:pPr>
    </w:p>
    <w:p w14:paraId="2700691B" w14:textId="18978596" w:rsidR="005A41F3" w:rsidRDefault="002B44B0" w:rsidP="005A41F3">
      <w:pPr>
        <w:pStyle w:val="Heading2"/>
        <w:rPr>
          <w:lang w:val="en-US"/>
        </w:rPr>
      </w:pPr>
      <w:r w:rsidRPr="00EC4A58">
        <w:rPr>
          <w:lang w:val="en-US"/>
        </w:rPr>
        <w:t>4</w:t>
      </w:r>
      <w:r w:rsidR="005A41F3" w:rsidRPr="00EC4A58">
        <w:rPr>
          <w:lang w:val="en-US"/>
        </w:rPr>
        <w:t>.7 Data reporting</w:t>
      </w:r>
    </w:p>
    <w:p w14:paraId="3E5E1216" w14:textId="77777777" w:rsidR="002B44B0" w:rsidRDefault="002B44B0" w:rsidP="005A41F3">
      <w:pPr>
        <w:rPr>
          <w:lang w:val="en-US"/>
        </w:rPr>
      </w:pPr>
    </w:p>
    <w:p w14:paraId="2DE5191B" w14:textId="74AC6A68" w:rsidR="002B44B0" w:rsidRPr="002B44B0" w:rsidRDefault="002B44B0" w:rsidP="005A41F3">
      <w:pPr>
        <w:rPr>
          <w:color w:val="C00000"/>
          <w:lang w:val="en-US"/>
        </w:rPr>
      </w:pPr>
      <w:r w:rsidRPr="002B44B0">
        <w:rPr>
          <w:color w:val="C00000"/>
          <w:lang w:val="en-US"/>
        </w:rPr>
        <w:t>Needs to be discussed</w:t>
      </w:r>
    </w:p>
    <w:p w14:paraId="42C82491" w14:textId="77777777" w:rsidR="002B44B0" w:rsidRDefault="002B44B0" w:rsidP="005A41F3">
      <w:pPr>
        <w:rPr>
          <w:lang w:val="en-US"/>
        </w:rPr>
      </w:pPr>
    </w:p>
    <w:p w14:paraId="56E1157E" w14:textId="77777777" w:rsidR="005A41F3" w:rsidRPr="005A41F3" w:rsidRDefault="005A41F3" w:rsidP="00AD3C3D">
      <w:pPr>
        <w:jc w:val="both"/>
        <w:rPr>
          <w:lang w:val="en-US"/>
        </w:rPr>
      </w:pPr>
    </w:p>
    <w:sectPr w:rsidR="005A41F3" w:rsidRPr="005A41F3" w:rsidSect="008D4D55">
      <w:footerReference w:type="default" r:id="rId11"/>
      <w:type w:val="continuous"/>
      <w:pgSz w:w="11906" w:h="16838"/>
      <w:pgMar w:top="1008" w:right="1411" w:bottom="1008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35594" w14:textId="77777777" w:rsidR="002C5864" w:rsidRDefault="002C5864" w:rsidP="00A61E98">
      <w:pPr>
        <w:spacing w:after="0" w:line="240" w:lineRule="auto"/>
      </w:pPr>
      <w:r>
        <w:separator/>
      </w:r>
    </w:p>
  </w:endnote>
  <w:endnote w:type="continuationSeparator" w:id="0">
    <w:p w14:paraId="19127534" w14:textId="77777777" w:rsidR="002C5864" w:rsidRDefault="002C5864" w:rsidP="00A61E98">
      <w:pPr>
        <w:spacing w:after="0" w:line="240" w:lineRule="auto"/>
      </w:pPr>
      <w:r>
        <w:continuationSeparator/>
      </w:r>
    </w:p>
  </w:endnote>
  <w:endnote w:type="continuationNotice" w:id="1">
    <w:p w14:paraId="198C6EE3" w14:textId="77777777" w:rsidR="002C5864" w:rsidRDefault="002C58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9539977"/>
      <w:docPartObj>
        <w:docPartGallery w:val="Page Numbers (Bottom of Page)"/>
        <w:docPartUnique/>
      </w:docPartObj>
    </w:sdtPr>
    <w:sdtEndPr/>
    <w:sdtContent>
      <w:p w14:paraId="68B6C0E6" w14:textId="7BA8C2A5" w:rsidR="007E346C" w:rsidRDefault="007E346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680A26" w14:textId="77777777" w:rsidR="007E346C" w:rsidRDefault="007E3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C8B8B" w14:textId="77777777" w:rsidR="002C5864" w:rsidRDefault="002C5864" w:rsidP="00A61E98">
      <w:pPr>
        <w:spacing w:after="0" w:line="240" w:lineRule="auto"/>
      </w:pPr>
      <w:r>
        <w:separator/>
      </w:r>
    </w:p>
  </w:footnote>
  <w:footnote w:type="continuationSeparator" w:id="0">
    <w:p w14:paraId="4D63322E" w14:textId="77777777" w:rsidR="002C5864" w:rsidRDefault="002C5864" w:rsidP="00A61E98">
      <w:pPr>
        <w:spacing w:after="0" w:line="240" w:lineRule="auto"/>
      </w:pPr>
      <w:r>
        <w:continuationSeparator/>
      </w:r>
    </w:p>
  </w:footnote>
  <w:footnote w:type="continuationNotice" w:id="1">
    <w:p w14:paraId="2F5EF797" w14:textId="77777777" w:rsidR="002C5864" w:rsidRDefault="002C5864">
      <w:pPr>
        <w:spacing w:after="0" w:line="240" w:lineRule="auto"/>
      </w:pPr>
    </w:p>
  </w:footnote>
  <w:footnote w:id="2">
    <w:p w14:paraId="2688A19F" w14:textId="73A898DF" w:rsidR="007E346C" w:rsidRPr="00A61E98" w:rsidRDefault="007E346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1E98">
        <w:rPr>
          <w:lang w:val="en-US"/>
        </w:rPr>
        <w:t xml:space="preserve"> Department of Mathematics, University of B</w:t>
      </w:r>
      <w:r>
        <w:rPr>
          <w:lang w:val="en-US"/>
        </w:rPr>
        <w:t>ergen</w:t>
      </w:r>
    </w:p>
  </w:footnote>
  <w:footnote w:id="3">
    <w:p w14:paraId="14FC3181" w14:textId="4623CC12" w:rsidR="007E346C" w:rsidRPr="00597566" w:rsidRDefault="007E346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97566">
        <w:rPr>
          <w:lang w:val="en-US"/>
        </w:rPr>
        <w:t xml:space="preserve"> Department of Physics and Technology,</w:t>
      </w:r>
      <w:r>
        <w:rPr>
          <w:lang w:val="en-US"/>
        </w:rPr>
        <w:t xml:space="preserve"> University of Bergen</w:t>
      </w:r>
    </w:p>
  </w:footnote>
  <w:footnote w:id="4">
    <w:p w14:paraId="3B897C2E" w14:textId="44EA7A63" w:rsidR="007E346C" w:rsidRPr="00983477" w:rsidRDefault="007E346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83477">
        <w:rPr>
          <w:lang w:val="en-US"/>
        </w:rPr>
        <w:t xml:space="preserve"> Institute for Modelling Hydraulic and Environmental Systems, University of Stuttgart</w:t>
      </w:r>
    </w:p>
  </w:footnote>
  <w:footnote w:id="5">
    <w:p w14:paraId="331D48AD" w14:textId="28EAB9CA" w:rsidR="007E346C" w:rsidRPr="00597566" w:rsidRDefault="007E346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97566">
        <w:rPr>
          <w:lang w:val="en-US"/>
        </w:rPr>
        <w:t xml:space="preserve"> </w:t>
      </w:r>
      <w:r w:rsidRPr="00546449">
        <w:rPr>
          <w:lang w:val="en-US"/>
        </w:rPr>
        <w:t>Energy Science &amp; Engineering, Stanford University</w:t>
      </w:r>
    </w:p>
  </w:footnote>
  <w:footnote w:id="6">
    <w:p w14:paraId="2EA1CBD2" w14:textId="7A8432CB" w:rsidR="007E346C" w:rsidRPr="002964B8" w:rsidRDefault="007E346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964B8">
        <w:rPr>
          <w:lang w:val="en-US"/>
        </w:rPr>
        <w:t xml:space="preserve"> </w:t>
      </w:r>
      <w:r w:rsidRPr="007B348F">
        <w:rPr>
          <w:lang w:val="en-US"/>
        </w:rPr>
        <w:t>SINTEF Digital, Mathematics &amp; Cybernetics, Oslo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46A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0A79DC"/>
    <w:multiLevelType w:val="multilevel"/>
    <w:tmpl w:val="9A7029C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5D606DF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83A3B8A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151259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19655C0"/>
    <w:multiLevelType w:val="multilevel"/>
    <w:tmpl w:val="0B52B618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4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6B26C19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1A2597"/>
    <w:multiLevelType w:val="multilevel"/>
    <w:tmpl w:val="5C803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17240E0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2AB2B93"/>
    <w:multiLevelType w:val="multilevel"/>
    <w:tmpl w:val="0C40714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84174B9"/>
    <w:multiLevelType w:val="multilevel"/>
    <w:tmpl w:val="0B52B618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4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CBC550A"/>
    <w:multiLevelType w:val="hybridMultilevel"/>
    <w:tmpl w:val="B0B218A2"/>
    <w:lvl w:ilvl="0" w:tplc="C13C99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2065E"/>
    <w:multiLevelType w:val="hybridMultilevel"/>
    <w:tmpl w:val="9928392A"/>
    <w:lvl w:ilvl="0" w:tplc="0592FB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35E37"/>
    <w:multiLevelType w:val="multilevel"/>
    <w:tmpl w:val="B0EC01E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D4868D8"/>
    <w:multiLevelType w:val="hybridMultilevel"/>
    <w:tmpl w:val="80B06CDA"/>
    <w:lvl w:ilvl="0" w:tplc="AAB8BE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93A4F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F9D4643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14F58B9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B277425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B5D115E"/>
    <w:multiLevelType w:val="multilevel"/>
    <w:tmpl w:val="0B52B618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4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B8E6D6C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E7A0CAF"/>
    <w:multiLevelType w:val="multilevel"/>
    <w:tmpl w:val="B0EC01E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F4444A0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05778E4"/>
    <w:multiLevelType w:val="hybridMultilevel"/>
    <w:tmpl w:val="969426CA"/>
    <w:lvl w:ilvl="0" w:tplc="209C5C4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F76EC"/>
    <w:multiLevelType w:val="hybridMultilevel"/>
    <w:tmpl w:val="95DC8640"/>
    <w:lvl w:ilvl="0" w:tplc="CFFC9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35DEF"/>
    <w:multiLevelType w:val="multilevel"/>
    <w:tmpl w:val="50DEE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9DC4465"/>
    <w:multiLevelType w:val="hybridMultilevel"/>
    <w:tmpl w:val="514E8CDE"/>
    <w:lvl w:ilvl="0" w:tplc="90A6A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B84F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22B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FC5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81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90D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4F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C3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C8B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D2F22"/>
    <w:multiLevelType w:val="multilevel"/>
    <w:tmpl w:val="2AD45256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A5C7876"/>
    <w:multiLevelType w:val="hybridMultilevel"/>
    <w:tmpl w:val="57D28AC0"/>
    <w:lvl w:ilvl="0" w:tplc="8F7CF0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6D3080"/>
    <w:multiLevelType w:val="hybridMultilevel"/>
    <w:tmpl w:val="FFFFFFFF"/>
    <w:lvl w:ilvl="0" w:tplc="267A83F2">
      <w:start w:val="1"/>
      <w:numFmt w:val="decimal"/>
      <w:lvlText w:val="%1."/>
      <w:lvlJc w:val="left"/>
      <w:pPr>
        <w:ind w:left="720" w:hanging="360"/>
      </w:pPr>
    </w:lvl>
    <w:lvl w:ilvl="1" w:tplc="740C4BC6">
      <w:start w:val="1"/>
      <w:numFmt w:val="lowerLetter"/>
      <w:lvlText w:val="%2."/>
      <w:lvlJc w:val="left"/>
      <w:pPr>
        <w:ind w:left="1440" w:hanging="360"/>
      </w:pPr>
    </w:lvl>
    <w:lvl w:ilvl="2" w:tplc="42287C6C">
      <w:start w:val="1"/>
      <w:numFmt w:val="lowerRoman"/>
      <w:lvlText w:val="%3."/>
      <w:lvlJc w:val="right"/>
      <w:pPr>
        <w:ind w:left="2160" w:hanging="180"/>
      </w:pPr>
    </w:lvl>
    <w:lvl w:ilvl="3" w:tplc="AC3CED74">
      <w:start w:val="1"/>
      <w:numFmt w:val="decimal"/>
      <w:lvlText w:val="%4."/>
      <w:lvlJc w:val="left"/>
      <w:pPr>
        <w:ind w:left="2880" w:hanging="360"/>
      </w:pPr>
    </w:lvl>
    <w:lvl w:ilvl="4" w:tplc="3D3444A2">
      <w:start w:val="1"/>
      <w:numFmt w:val="lowerLetter"/>
      <w:lvlText w:val="%5."/>
      <w:lvlJc w:val="left"/>
      <w:pPr>
        <w:ind w:left="3600" w:hanging="360"/>
      </w:pPr>
    </w:lvl>
    <w:lvl w:ilvl="5" w:tplc="522CCF6E">
      <w:start w:val="1"/>
      <w:numFmt w:val="lowerRoman"/>
      <w:lvlText w:val="%6."/>
      <w:lvlJc w:val="right"/>
      <w:pPr>
        <w:ind w:left="4320" w:hanging="180"/>
      </w:pPr>
    </w:lvl>
    <w:lvl w:ilvl="6" w:tplc="5CCA44FA">
      <w:start w:val="1"/>
      <w:numFmt w:val="decimal"/>
      <w:lvlText w:val="%7."/>
      <w:lvlJc w:val="left"/>
      <w:pPr>
        <w:ind w:left="5040" w:hanging="360"/>
      </w:pPr>
    </w:lvl>
    <w:lvl w:ilvl="7" w:tplc="87C626CA">
      <w:start w:val="1"/>
      <w:numFmt w:val="lowerLetter"/>
      <w:lvlText w:val="%8."/>
      <w:lvlJc w:val="left"/>
      <w:pPr>
        <w:ind w:left="5760" w:hanging="360"/>
      </w:pPr>
    </w:lvl>
    <w:lvl w:ilvl="8" w:tplc="74BCDB4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02A1F"/>
    <w:multiLevelType w:val="hybridMultilevel"/>
    <w:tmpl w:val="74DEFB36"/>
    <w:lvl w:ilvl="0" w:tplc="447A88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992F4D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8FB5C98"/>
    <w:multiLevelType w:val="multilevel"/>
    <w:tmpl w:val="B0EC01E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9623EF0"/>
    <w:multiLevelType w:val="hybridMultilevel"/>
    <w:tmpl w:val="8BB8B652"/>
    <w:lvl w:ilvl="0" w:tplc="D5EEBD7A">
      <w:start w:val="1"/>
      <w:numFmt w:val="decimal"/>
      <w:lvlText w:val="%1."/>
      <w:lvlJc w:val="left"/>
      <w:pPr>
        <w:ind w:left="720" w:hanging="360"/>
      </w:pPr>
    </w:lvl>
    <w:lvl w:ilvl="1" w:tplc="9B545E42">
      <w:start w:val="1"/>
      <w:numFmt w:val="lowerLetter"/>
      <w:lvlText w:val="%2."/>
      <w:lvlJc w:val="left"/>
      <w:pPr>
        <w:ind w:left="1440" w:hanging="360"/>
      </w:pPr>
    </w:lvl>
    <w:lvl w:ilvl="2" w:tplc="9FC02614">
      <w:start w:val="1"/>
      <w:numFmt w:val="lowerRoman"/>
      <w:lvlText w:val="%3."/>
      <w:lvlJc w:val="right"/>
      <w:pPr>
        <w:ind w:left="2160" w:hanging="180"/>
      </w:pPr>
    </w:lvl>
    <w:lvl w:ilvl="3" w:tplc="29E22308">
      <w:start w:val="1"/>
      <w:numFmt w:val="decimal"/>
      <w:lvlText w:val="%4."/>
      <w:lvlJc w:val="left"/>
      <w:pPr>
        <w:ind w:left="2880" w:hanging="360"/>
      </w:pPr>
    </w:lvl>
    <w:lvl w:ilvl="4" w:tplc="6DDE6108">
      <w:start w:val="1"/>
      <w:numFmt w:val="lowerLetter"/>
      <w:lvlText w:val="%5."/>
      <w:lvlJc w:val="left"/>
      <w:pPr>
        <w:ind w:left="3600" w:hanging="360"/>
      </w:pPr>
    </w:lvl>
    <w:lvl w:ilvl="5" w:tplc="E79858D8">
      <w:start w:val="1"/>
      <w:numFmt w:val="lowerRoman"/>
      <w:lvlText w:val="%6."/>
      <w:lvlJc w:val="right"/>
      <w:pPr>
        <w:ind w:left="4320" w:hanging="180"/>
      </w:pPr>
    </w:lvl>
    <w:lvl w:ilvl="6" w:tplc="A77CCC40">
      <w:start w:val="1"/>
      <w:numFmt w:val="decimal"/>
      <w:lvlText w:val="%7."/>
      <w:lvlJc w:val="left"/>
      <w:pPr>
        <w:ind w:left="5040" w:hanging="360"/>
      </w:pPr>
    </w:lvl>
    <w:lvl w:ilvl="7" w:tplc="3F6EC3A2">
      <w:start w:val="1"/>
      <w:numFmt w:val="lowerLetter"/>
      <w:lvlText w:val="%8."/>
      <w:lvlJc w:val="left"/>
      <w:pPr>
        <w:ind w:left="5760" w:hanging="360"/>
      </w:pPr>
    </w:lvl>
    <w:lvl w:ilvl="8" w:tplc="913A038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93D85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5D8B5D04"/>
    <w:multiLevelType w:val="hybridMultilevel"/>
    <w:tmpl w:val="48A2F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E117E0"/>
    <w:multiLevelType w:val="multilevel"/>
    <w:tmpl w:val="0B52B618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4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1AF382E"/>
    <w:multiLevelType w:val="multilevel"/>
    <w:tmpl w:val="0B52B618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4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2180A44"/>
    <w:multiLevelType w:val="hybridMultilevel"/>
    <w:tmpl w:val="F51A76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CA03B4"/>
    <w:multiLevelType w:val="multilevel"/>
    <w:tmpl w:val="0C40714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40968EA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5AF3C4A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CB0595F"/>
    <w:multiLevelType w:val="multilevel"/>
    <w:tmpl w:val="0C40714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6FBF499C"/>
    <w:multiLevelType w:val="multilevel"/>
    <w:tmpl w:val="0C40714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(3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75771492"/>
    <w:multiLevelType w:val="hybridMultilevel"/>
    <w:tmpl w:val="B896CDB2"/>
    <w:lvl w:ilvl="0" w:tplc="A89E60F8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C70F5"/>
    <w:multiLevelType w:val="hybridMultilevel"/>
    <w:tmpl w:val="0A42DC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0F42D3"/>
    <w:multiLevelType w:val="hybridMultilevel"/>
    <w:tmpl w:val="48A2F4B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0A7624"/>
    <w:multiLevelType w:val="multilevel"/>
    <w:tmpl w:val="B6347C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1.%2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7C047211"/>
    <w:multiLevelType w:val="multilevel"/>
    <w:tmpl w:val="F172461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982733651">
    <w:abstractNumId w:val="33"/>
  </w:num>
  <w:num w:numId="2" w16cid:durableId="838815205">
    <w:abstractNumId w:val="26"/>
  </w:num>
  <w:num w:numId="3" w16cid:durableId="339041505">
    <w:abstractNumId w:val="25"/>
  </w:num>
  <w:num w:numId="4" w16cid:durableId="1053583696">
    <w:abstractNumId w:val="11"/>
  </w:num>
  <w:num w:numId="5" w16cid:durableId="625163726">
    <w:abstractNumId w:val="12"/>
  </w:num>
  <w:num w:numId="6" w16cid:durableId="2129008087">
    <w:abstractNumId w:val="44"/>
  </w:num>
  <w:num w:numId="7" w16cid:durableId="719867923">
    <w:abstractNumId w:val="45"/>
  </w:num>
  <w:num w:numId="8" w16cid:durableId="1816752976">
    <w:abstractNumId w:val="38"/>
  </w:num>
  <w:num w:numId="9" w16cid:durableId="759453506">
    <w:abstractNumId w:val="46"/>
  </w:num>
  <w:num w:numId="10" w16cid:durableId="2126921052">
    <w:abstractNumId w:val="24"/>
  </w:num>
  <w:num w:numId="11" w16cid:durableId="1645697712">
    <w:abstractNumId w:val="1"/>
  </w:num>
  <w:num w:numId="12" w16cid:durableId="1577327063">
    <w:abstractNumId w:val="48"/>
  </w:num>
  <w:num w:numId="13" w16cid:durableId="1421369515">
    <w:abstractNumId w:val="27"/>
  </w:num>
  <w:num w:numId="14" w16cid:durableId="18313382">
    <w:abstractNumId w:val="47"/>
  </w:num>
  <w:num w:numId="15" w16cid:durableId="1389379958">
    <w:abstractNumId w:val="17"/>
  </w:num>
  <w:num w:numId="16" w16cid:durableId="1536038630">
    <w:abstractNumId w:val="41"/>
  </w:num>
  <w:num w:numId="17" w16cid:durableId="2025861576">
    <w:abstractNumId w:val="18"/>
  </w:num>
  <w:num w:numId="18" w16cid:durableId="1416365068">
    <w:abstractNumId w:val="20"/>
  </w:num>
  <w:num w:numId="19" w16cid:durableId="412434276">
    <w:abstractNumId w:val="2"/>
  </w:num>
  <w:num w:numId="20" w16cid:durableId="1951158898">
    <w:abstractNumId w:val="31"/>
  </w:num>
  <w:num w:numId="21" w16cid:durableId="1929314974">
    <w:abstractNumId w:val="40"/>
  </w:num>
  <w:num w:numId="22" w16cid:durableId="234317723">
    <w:abstractNumId w:val="34"/>
  </w:num>
  <w:num w:numId="23" w16cid:durableId="1506742592">
    <w:abstractNumId w:val="6"/>
  </w:num>
  <w:num w:numId="24" w16cid:durableId="734816927">
    <w:abstractNumId w:val="3"/>
  </w:num>
  <w:num w:numId="25" w16cid:durableId="1926182113">
    <w:abstractNumId w:val="8"/>
  </w:num>
  <w:num w:numId="26" w16cid:durableId="138158199">
    <w:abstractNumId w:val="23"/>
  </w:num>
  <w:num w:numId="27" w16cid:durableId="1671061343">
    <w:abstractNumId w:val="30"/>
  </w:num>
  <w:num w:numId="28" w16cid:durableId="718553097">
    <w:abstractNumId w:val="29"/>
  </w:num>
  <w:num w:numId="29" w16cid:durableId="1378506035">
    <w:abstractNumId w:val="28"/>
  </w:num>
  <w:num w:numId="30" w16cid:durableId="199633567">
    <w:abstractNumId w:val="7"/>
  </w:num>
  <w:num w:numId="31" w16cid:durableId="1149714129">
    <w:abstractNumId w:val="16"/>
  </w:num>
  <w:num w:numId="32" w16cid:durableId="1663507917">
    <w:abstractNumId w:val="22"/>
  </w:num>
  <w:num w:numId="33" w16cid:durableId="2045399946">
    <w:abstractNumId w:val="4"/>
  </w:num>
  <w:num w:numId="34" w16cid:durableId="1211768045">
    <w:abstractNumId w:val="0"/>
  </w:num>
  <w:num w:numId="35" w16cid:durableId="1244029478">
    <w:abstractNumId w:val="10"/>
  </w:num>
  <w:num w:numId="36" w16cid:durableId="1280844036">
    <w:abstractNumId w:val="15"/>
  </w:num>
  <w:num w:numId="37" w16cid:durableId="184754321">
    <w:abstractNumId w:val="13"/>
  </w:num>
  <w:num w:numId="38" w16cid:durableId="885677873">
    <w:abstractNumId w:val="32"/>
  </w:num>
  <w:num w:numId="39" w16cid:durableId="280385003">
    <w:abstractNumId w:val="35"/>
  </w:num>
  <w:num w:numId="40" w16cid:durableId="1249659336">
    <w:abstractNumId w:val="21"/>
  </w:num>
  <w:num w:numId="41" w16cid:durableId="1581018677">
    <w:abstractNumId w:val="9"/>
  </w:num>
  <w:num w:numId="42" w16cid:durableId="1594625076">
    <w:abstractNumId w:val="42"/>
  </w:num>
  <w:num w:numId="43" w16cid:durableId="1314287523">
    <w:abstractNumId w:val="39"/>
  </w:num>
  <w:num w:numId="44" w16cid:durableId="499779846">
    <w:abstractNumId w:val="43"/>
  </w:num>
  <w:num w:numId="45" w16cid:durableId="332992487">
    <w:abstractNumId w:val="14"/>
  </w:num>
  <w:num w:numId="46" w16cid:durableId="367604918">
    <w:abstractNumId w:val="36"/>
  </w:num>
  <w:num w:numId="47" w16cid:durableId="1950893701">
    <w:abstractNumId w:val="19"/>
  </w:num>
  <w:num w:numId="48" w16cid:durableId="216744566">
    <w:abstractNumId w:val="37"/>
  </w:num>
  <w:num w:numId="49" w16cid:durableId="1894078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76"/>
    <w:rsid w:val="0000082B"/>
    <w:rsid w:val="000117AB"/>
    <w:rsid w:val="0001247D"/>
    <w:rsid w:val="000176E6"/>
    <w:rsid w:val="0002743B"/>
    <w:rsid w:val="00041E1C"/>
    <w:rsid w:val="0004445D"/>
    <w:rsid w:val="00057DF0"/>
    <w:rsid w:val="0006365D"/>
    <w:rsid w:val="00093C3A"/>
    <w:rsid w:val="000A563F"/>
    <w:rsid w:val="000C22FB"/>
    <w:rsid w:val="000C4391"/>
    <w:rsid w:val="000C6634"/>
    <w:rsid w:val="000D18E2"/>
    <w:rsid w:val="000D1D5C"/>
    <w:rsid w:val="000D2CC6"/>
    <w:rsid w:val="000F5489"/>
    <w:rsid w:val="00101462"/>
    <w:rsid w:val="0010547E"/>
    <w:rsid w:val="001244F5"/>
    <w:rsid w:val="00125068"/>
    <w:rsid w:val="00134FC6"/>
    <w:rsid w:val="001351A2"/>
    <w:rsid w:val="00135306"/>
    <w:rsid w:val="00137716"/>
    <w:rsid w:val="0014448A"/>
    <w:rsid w:val="00146EA9"/>
    <w:rsid w:val="001510F7"/>
    <w:rsid w:val="0015603F"/>
    <w:rsid w:val="001649F9"/>
    <w:rsid w:val="0017666C"/>
    <w:rsid w:val="001772F7"/>
    <w:rsid w:val="00177476"/>
    <w:rsid w:val="00182F37"/>
    <w:rsid w:val="0018442E"/>
    <w:rsid w:val="001844C3"/>
    <w:rsid w:val="00190125"/>
    <w:rsid w:val="001A1E7D"/>
    <w:rsid w:val="001A5D8B"/>
    <w:rsid w:val="001A7434"/>
    <w:rsid w:val="001B2CB1"/>
    <w:rsid w:val="001B3789"/>
    <w:rsid w:val="001C3ED1"/>
    <w:rsid w:val="001C6493"/>
    <w:rsid w:val="001D0B7E"/>
    <w:rsid w:val="001D5C51"/>
    <w:rsid w:val="001F1AA5"/>
    <w:rsid w:val="001F1CA2"/>
    <w:rsid w:val="001F4B60"/>
    <w:rsid w:val="002009FF"/>
    <w:rsid w:val="00226FB3"/>
    <w:rsid w:val="00227E8C"/>
    <w:rsid w:val="0023411F"/>
    <w:rsid w:val="0024133A"/>
    <w:rsid w:val="002448EE"/>
    <w:rsid w:val="00252B68"/>
    <w:rsid w:val="00262C82"/>
    <w:rsid w:val="00263505"/>
    <w:rsid w:val="002649D1"/>
    <w:rsid w:val="00267D41"/>
    <w:rsid w:val="002964B8"/>
    <w:rsid w:val="00296EDE"/>
    <w:rsid w:val="002A3BC2"/>
    <w:rsid w:val="002B44B0"/>
    <w:rsid w:val="002B4F3B"/>
    <w:rsid w:val="002B4FFB"/>
    <w:rsid w:val="002B527C"/>
    <w:rsid w:val="002C0B02"/>
    <w:rsid w:val="002C5864"/>
    <w:rsid w:val="002D0210"/>
    <w:rsid w:val="002D3B35"/>
    <w:rsid w:val="002D4C79"/>
    <w:rsid w:val="002E0A66"/>
    <w:rsid w:val="002E29C4"/>
    <w:rsid w:val="00300EF7"/>
    <w:rsid w:val="00301F3D"/>
    <w:rsid w:val="003044A4"/>
    <w:rsid w:val="00306B9A"/>
    <w:rsid w:val="00306E77"/>
    <w:rsid w:val="00311A9B"/>
    <w:rsid w:val="003126C0"/>
    <w:rsid w:val="003151DC"/>
    <w:rsid w:val="00321E14"/>
    <w:rsid w:val="0032408D"/>
    <w:rsid w:val="003248EC"/>
    <w:rsid w:val="00332E76"/>
    <w:rsid w:val="00337562"/>
    <w:rsid w:val="00340AA1"/>
    <w:rsid w:val="00350554"/>
    <w:rsid w:val="003610A2"/>
    <w:rsid w:val="00364188"/>
    <w:rsid w:val="003729E5"/>
    <w:rsid w:val="00380A8A"/>
    <w:rsid w:val="00385755"/>
    <w:rsid w:val="003A1F91"/>
    <w:rsid w:val="003A6311"/>
    <w:rsid w:val="003A7AAB"/>
    <w:rsid w:val="003B7A6D"/>
    <w:rsid w:val="003D4938"/>
    <w:rsid w:val="003F08B2"/>
    <w:rsid w:val="003F2791"/>
    <w:rsid w:val="004000DB"/>
    <w:rsid w:val="0040312D"/>
    <w:rsid w:val="0040761C"/>
    <w:rsid w:val="00424CCE"/>
    <w:rsid w:val="00431081"/>
    <w:rsid w:val="00435FFC"/>
    <w:rsid w:val="00440433"/>
    <w:rsid w:val="00447C5B"/>
    <w:rsid w:val="004669BF"/>
    <w:rsid w:val="00470202"/>
    <w:rsid w:val="00477B36"/>
    <w:rsid w:val="0048070E"/>
    <w:rsid w:val="004847F4"/>
    <w:rsid w:val="004919F0"/>
    <w:rsid w:val="00493066"/>
    <w:rsid w:val="004A3798"/>
    <w:rsid w:val="004B1EE3"/>
    <w:rsid w:val="004C573B"/>
    <w:rsid w:val="004D0C59"/>
    <w:rsid w:val="004D46A5"/>
    <w:rsid w:val="004E4004"/>
    <w:rsid w:val="004F4527"/>
    <w:rsid w:val="005173AB"/>
    <w:rsid w:val="005178A6"/>
    <w:rsid w:val="00520F12"/>
    <w:rsid w:val="005245E2"/>
    <w:rsid w:val="00526EF1"/>
    <w:rsid w:val="00546449"/>
    <w:rsid w:val="00550B8C"/>
    <w:rsid w:val="00553561"/>
    <w:rsid w:val="00555BD7"/>
    <w:rsid w:val="00570101"/>
    <w:rsid w:val="0058154A"/>
    <w:rsid w:val="005839EC"/>
    <w:rsid w:val="00583D39"/>
    <w:rsid w:val="00592ED6"/>
    <w:rsid w:val="00597566"/>
    <w:rsid w:val="005A0566"/>
    <w:rsid w:val="005A2647"/>
    <w:rsid w:val="005A41F3"/>
    <w:rsid w:val="005B3C18"/>
    <w:rsid w:val="005B7961"/>
    <w:rsid w:val="005C2FED"/>
    <w:rsid w:val="005E1129"/>
    <w:rsid w:val="005F76AE"/>
    <w:rsid w:val="0060618A"/>
    <w:rsid w:val="00625C82"/>
    <w:rsid w:val="00630D90"/>
    <w:rsid w:val="00632679"/>
    <w:rsid w:val="00634FB2"/>
    <w:rsid w:val="006477E4"/>
    <w:rsid w:val="0065364B"/>
    <w:rsid w:val="00653EFA"/>
    <w:rsid w:val="006604B8"/>
    <w:rsid w:val="00666A3E"/>
    <w:rsid w:val="00670B2D"/>
    <w:rsid w:val="00672A61"/>
    <w:rsid w:val="00683F35"/>
    <w:rsid w:val="00684108"/>
    <w:rsid w:val="00697566"/>
    <w:rsid w:val="006B2D62"/>
    <w:rsid w:val="006B55DC"/>
    <w:rsid w:val="006C0124"/>
    <w:rsid w:val="006D3F2B"/>
    <w:rsid w:val="006D74BF"/>
    <w:rsid w:val="006E68B2"/>
    <w:rsid w:val="006F0515"/>
    <w:rsid w:val="00703330"/>
    <w:rsid w:val="00712D68"/>
    <w:rsid w:val="00714933"/>
    <w:rsid w:val="00715551"/>
    <w:rsid w:val="007168A9"/>
    <w:rsid w:val="00722AF1"/>
    <w:rsid w:val="00722B02"/>
    <w:rsid w:val="00733763"/>
    <w:rsid w:val="00735B46"/>
    <w:rsid w:val="0074413C"/>
    <w:rsid w:val="0074458D"/>
    <w:rsid w:val="007447C4"/>
    <w:rsid w:val="00744E1E"/>
    <w:rsid w:val="00751AD9"/>
    <w:rsid w:val="007715A8"/>
    <w:rsid w:val="00773729"/>
    <w:rsid w:val="00776383"/>
    <w:rsid w:val="007816D5"/>
    <w:rsid w:val="0078276B"/>
    <w:rsid w:val="0079045B"/>
    <w:rsid w:val="007960DE"/>
    <w:rsid w:val="007A1FBA"/>
    <w:rsid w:val="007A466B"/>
    <w:rsid w:val="007B348F"/>
    <w:rsid w:val="007C3BC8"/>
    <w:rsid w:val="007C56C2"/>
    <w:rsid w:val="007C79A8"/>
    <w:rsid w:val="007D0718"/>
    <w:rsid w:val="007D19A8"/>
    <w:rsid w:val="007D2D66"/>
    <w:rsid w:val="007D4637"/>
    <w:rsid w:val="007D6D0C"/>
    <w:rsid w:val="007E214B"/>
    <w:rsid w:val="007E346C"/>
    <w:rsid w:val="007E4104"/>
    <w:rsid w:val="007E6640"/>
    <w:rsid w:val="007F589B"/>
    <w:rsid w:val="00806B87"/>
    <w:rsid w:val="00823476"/>
    <w:rsid w:val="00823FD0"/>
    <w:rsid w:val="0083025A"/>
    <w:rsid w:val="00834B12"/>
    <w:rsid w:val="008472CA"/>
    <w:rsid w:val="00847990"/>
    <w:rsid w:val="008518EB"/>
    <w:rsid w:val="00853604"/>
    <w:rsid w:val="008552DF"/>
    <w:rsid w:val="008568E2"/>
    <w:rsid w:val="008716D1"/>
    <w:rsid w:val="00897B8B"/>
    <w:rsid w:val="008A2305"/>
    <w:rsid w:val="008A2E3A"/>
    <w:rsid w:val="008B61CE"/>
    <w:rsid w:val="008D4D55"/>
    <w:rsid w:val="008E19C8"/>
    <w:rsid w:val="008E3D66"/>
    <w:rsid w:val="008E642D"/>
    <w:rsid w:val="008F0FD9"/>
    <w:rsid w:val="008F1C24"/>
    <w:rsid w:val="00912AD5"/>
    <w:rsid w:val="009341A9"/>
    <w:rsid w:val="0093612D"/>
    <w:rsid w:val="009410F2"/>
    <w:rsid w:val="0095354B"/>
    <w:rsid w:val="00956B2F"/>
    <w:rsid w:val="00957317"/>
    <w:rsid w:val="009631FE"/>
    <w:rsid w:val="00983477"/>
    <w:rsid w:val="00991F1B"/>
    <w:rsid w:val="0099637F"/>
    <w:rsid w:val="009A0C7E"/>
    <w:rsid w:val="009A1601"/>
    <w:rsid w:val="009C16B8"/>
    <w:rsid w:val="009C3B09"/>
    <w:rsid w:val="009C3D9A"/>
    <w:rsid w:val="009C4627"/>
    <w:rsid w:val="009E20EC"/>
    <w:rsid w:val="009E337F"/>
    <w:rsid w:val="00A0061C"/>
    <w:rsid w:val="00A03E25"/>
    <w:rsid w:val="00A03FF6"/>
    <w:rsid w:val="00A05F70"/>
    <w:rsid w:val="00A06AD9"/>
    <w:rsid w:val="00A070AC"/>
    <w:rsid w:val="00A11CB4"/>
    <w:rsid w:val="00A12022"/>
    <w:rsid w:val="00A22E58"/>
    <w:rsid w:val="00A433C6"/>
    <w:rsid w:val="00A4393E"/>
    <w:rsid w:val="00A53B0C"/>
    <w:rsid w:val="00A61C97"/>
    <w:rsid w:val="00A61E98"/>
    <w:rsid w:val="00A65142"/>
    <w:rsid w:val="00A65E79"/>
    <w:rsid w:val="00A70A16"/>
    <w:rsid w:val="00A73178"/>
    <w:rsid w:val="00A779F8"/>
    <w:rsid w:val="00A8213B"/>
    <w:rsid w:val="00A84320"/>
    <w:rsid w:val="00A85866"/>
    <w:rsid w:val="00A85F20"/>
    <w:rsid w:val="00A90F3D"/>
    <w:rsid w:val="00A96531"/>
    <w:rsid w:val="00AC33B7"/>
    <w:rsid w:val="00AC4D3A"/>
    <w:rsid w:val="00AD3C3D"/>
    <w:rsid w:val="00AE127E"/>
    <w:rsid w:val="00AE7AE8"/>
    <w:rsid w:val="00AF111B"/>
    <w:rsid w:val="00AF46C7"/>
    <w:rsid w:val="00AF69D3"/>
    <w:rsid w:val="00B065AF"/>
    <w:rsid w:val="00B20376"/>
    <w:rsid w:val="00B240E0"/>
    <w:rsid w:val="00B27C6C"/>
    <w:rsid w:val="00B367A4"/>
    <w:rsid w:val="00B43971"/>
    <w:rsid w:val="00B46050"/>
    <w:rsid w:val="00B5586D"/>
    <w:rsid w:val="00B650D0"/>
    <w:rsid w:val="00B6535E"/>
    <w:rsid w:val="00B71EA5"/>
    <w:rsid w:val="00B74686"/>
    <w:rsid w:val="00B93B52"/>
    <w:rsid w:val="00B96F95"/>
    <w:rsid w:val="00BA0368"/>
    <w:rsid w:val="00BA2CDD"/>
    <w:rsid w:val="00BB191B"/>
    <w:rsid w:val="00BB19BA"/>
    <w:rsid w:val="00BC4A57"/>
    <w:rsid w:val="00BD0745"/>
    <w:rsid w:val="00BE25D8"/>
    <w:rsid w:val="00BE4C28"/>
    <w:rsid w:val="00BF0861"/>
    <w:rsid w:val="00BF7CDF"/>
    <w:rsid w:val="00C009D8"/>
    <w:rsid w:val="00C02F91"/>
    <w:rsid w:val="00C11221"/>
    <w:rsid w:val="00C130E6"/>
    <w:rsid w:val="00C145BF"/>
    <w:rsid w:val="00C151C8"/>
    <w:rsid w:val="00C202C6"/>
    <w:rsid w:val="00C27350"/>
    <w:rsid w:val="00C308FC"/>
    <w:rsid w:val="00C404E1"/>
    <w:rsid w:val="00C43514"/>
    <w:rsid w:val="00C43806"/>
    <w:rsid w:val="00C470E3"/>
    <w:rsid w:val="00C47D8D"/>
    <w:rsid w:val="00C56070"/>
    <w:rsid w:val="00C56639"/>
    <w:rsid w:val="00C81695"/>
    <w:rsid w:val="00C87012"/>
    <w:rsid w:val="00C97780"/>
    <w:rsid w:val="00CA2602"/>
    <w:rsid w:val="00CA69E9"/>
    <w:rsid w:val="00CB5D47"/>
    <w:rsid w:val="00CC088C"/>
    <w:rsid w:val="00CC1E02"/>
    <w:rsid w:val="00CC21D5"/>
    <w:rsid w:val="00CD029E"/>
    <w:rsid w:val="00CD4A96"/>
    <w:rsid w:val="00CD4E03"/>
    <w:rsid w:val="00CE3D6E"/>
    <w:rsid w:val="00CE4070"/>
    <w:rsid w:val="00CF06A5"/>
    <w:rsid w:val="00CF16BE"/>
    <w:rsid w:val="00CF6563"/>
    <w:rsid w:val="00D0037C"/>
    <w:rsid w:val="00D1373C"/>
    <w:rsid w:val="00D2514C"/>
    <w:rsid w:val="00D31316"/>
    <w:rsid w:val="00D46770"/>
    <w:rsid w:val="00D516D6"/>
    <w:rsid w:val="00D531E1"/>
    <w:rsid w:val="00D678EF"/>
    <w:rsid w:val="00D732E8"/>
    <w:rsid w:val="00DA0261"/>
    <w:rsid w:val="00DA7FFD"/>
    <w:rsid w:val="00DC4519"/>
    <w:rsid w:val="00DC5626"/>
    <w:rsid w:val="00DE3896"/>
    <w:rsid w:val="00DE4583"/>
    <w:rsid w:val="00DF2DF2"/>
    <w:rsid w:val="00E13A19"/>
    <w:rsid w:val="00E13ACD"/>
    <w:rsid w:val="00E204FD"/>
    <w:rsid w:val="00E2677F"/>
    <w:rsid w:val="00E26966"/>
    <w:rsid w:val="00E26B1B"/>
    <w:rsid w:val="00E72DF5"/>
    <w:rsid w:val="00E85670"/>
    <w:rsid w:val="00E93E78"/>
    <w:rsid w:val="00EA26A5"/>
    <w:rsid w:val="00EC4A58"/>
    <w:rsid w:val="00ED0C0F"/>
    <w:rsid w:val="00EF35CA"/>
    <w:rsid w:val="00F003FD"/>
    <w:rsid w:val="00F019D8"/>
    <w:rsid w:val="00F1301A"/>
    <w:rsid w:val="00F3480B"/>
    <w:rsid w:val="00F378B8"/>
    <w:rsid w:val="00F43441"/>
    <w:rsid w:val="00F44EB8"/>
    <w:rsid w:val="00F51044"/>
    <w:rsid w:val="00F660A7"/>
    <w:rsid w:val="00F72AB0"/>
    <w:rsid w:val="00F75AE4"/>
    <w:rsid w:val="00F81CBD"/>
    <w:rsid w:val="00F92CE7"/>
    <w:rsid w:val="00F9680B"/>
    <w:rsid w:val="00FA37E2"/>
    <w:rsid w:val="00FA6AED"/>
    <w:rsid w:val="00FA76BE"/>
    <w:rsid w:val="00FB450E"/>
    <w:rsid w:val="00FC7B7B"/>
    <w:rsid w:val="00FD74CB"/>
    <w:rsid w:val="00FE3CD6"/>
    <w:rsid w:val="00FE63BB"/>
    <w:rsid w:val="00FE6E67"/>
    <w:rsid w:val="00FF4BE4"/>
    <w:rsid w:val="00FF7D62"/>
    <w:rsid w:val="02294AC2"/>
    <w:rsid w:val="03F1BCD7"/>
    <w:rsid w:val="0D974A28"/>
    <w:rsid w:val="0F8A0A3C"/>
    <w:rsid w:val="13CABCD7"/>
    <w:rsid w:val="14EB3D88"/>
    <w:rsid w:val="184C7E36"/>
    <w:rsid w:val="1AFB80A3"/>
    <w:rsid w:val="228B4DF3"/>
    <w:rsid w:val="22DC8328"/>
    <w:rsid w:val="232A540F"/>
    <w:rsid w:val="24C5FC37"/>
    <w:rsid w:val="2A5D428B"/>
    <w:rsid w:val="33097E25"/>
    <w:rsid w:val="37486FDD"/>
    <w:rsid w:val="397DF917"/>
    <w:rsid w:val="3B6A80B7"/>
    <w:rsid w:val="40C90923"/>
    <w:rsid w:val="41E1552C"/>
    <w:rsid w:val="4647F097"/>
    <w:rsid w:val="481845AB"/>
    <w:rsid w:val="4B81767E"/>
    <w:rsid w:val="4D56C2F7"/>
    <w:rsid w:val="4E3763A5"/>
    <w:rsid w:val="4F2FC322"/>
    <w:rsid w:val="4FAC5D5F"/>
    <w:rsid w:val="5580DAEB"/>
    <w:rsid w:val="571F775C"/>
    <w:rsid w:val="59D6C347"/>
    <w:rsid w:val="5AEB6511"/>
    <w:rsid w:val="5CEF00DA"/>
    <w:rsid w:val="5F9083A9"/>
    <w:rsid w:val="61F569C4"/>
    <w:rsid w:val="654F2D9B"/>
    <w:rsid w:val="6B796A98"/>
    <w:rsid w:val="6D139DD9"/>
    <w:rsid w:val="70D2907A"/>
    <w:rsid w:val="755ABE9D"/>
    <w:rsid w:val="76D0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19DB"/>
  <w15:chartTrackingRefBased/>
  <w15:docId w15:val="{C9B0A986-C0ED-4EEC-9087-16C1A266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4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1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1E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1E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1E98"/>
    <w:rPr>
      <w:vertAlign w:val="superscript"/>
    </w:rPr>
  </w:style>
  <w:style w:type="paragraph" w:styleId="ListParagraph">
    <w:name w:val="List Paragraph"/>
    <w:basedOn w:val="Normal"/>
    <w:uiPriority w:val="34"/>
    <w:qFormat/>
    <w:rsid w:val="00A61E98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61E9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1E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61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61E9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27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273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73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73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3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35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2735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27E8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7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Header">
    <w:name w:val="header"/>
    <w:basedOn w:val="Normal"/>
    <w:link w:val="HeaderChar"/>
    <w:uiPriority w:val="99"/>
    <w:unhideWhenUsed/>
    <w:rsid w:val="00E20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4FD"/>
  </w:style>
  <w:style w:type="paragraph" w:styleId="Footer">
    <w:name w:val="footer"/>
    <w:basedOn w:val="Normal"/>
    <w:link w:val="FooterChar"/>
    <w:uiPriority w:val="99"/>
    <w:unhideWhenUsed/>
    <w:rsid w:val="00E20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4FD"/>
  </w:style>
  <w:style w:type="paragraph" w:styleId="Revision">
    <w:name w:val="Revision"/>
    <w:hidden/>
    <w:uiPriority w:val="99"/>
    <w:semiHidden/>
    <w:rsid w:val="00F44E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Nor11</b:Tag>
    <b:SourceType>Book</b:SourceType>
    <b:Guid>{8A9F648F-A406-44A0-8E1F-9CA94AF29828}</b:Guid>
    <b:Title>Geological Storage of CO2: Modeling approaches for large-scale simulation</b:Title>
    <b:Year>2011</b:Year>
    <b:Author>
      <b:Author>
        <b:NameList>
          <b:Person>
            <b:Last>Nordbotten</b:Last>
            <b:First>J.</b:First>
            <b:Middle>M.</b:Middle>
          </b:Person>
          <b:Person>
            <b:Last>Celia</b:Last>
            <b:First>M.</b:First>
            <b:Middle>A.</b:Middle>
          </b:Person>
        </b:NameList>
      </b:Author>
    </b:Author>
    <b:Publisher>Wiley</b:Publisher>
    <b:City>Hoboken, N. J.</b:City>
    <b:RefOrder>1</b:RefOrder>
  </b:Source>
</b:Sources>
</file>

<file path=customXml/itemProps1.xml><?xml version="1.0" encoding="utf-8"?>
<ds:datastoreItem xmlns:ds="http://schemas.openxmlformats.org/officeDocument/2006/customXml" ds:itemID="{F4FEF0C5-18B7-4B5C-ACC8-BA2FE33B6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Martin Nordbotten</dc:creator>
  <cp:keywords/>
  <dc:description/>
  <cp:lastModifiedBy>Vetle Nevland</cp:lastModifiedBy>
  <cp:revision>2</cp:revision>
  <cp:lastPrinted>2023-02-24T11:25:00Z</cp:lastPrinted>
  <dcterms:created xsi:type="dcterms:W3CDTF">2023-03-01T17:59:00Z</dcterms:created>
  <dcterms:modified xsi:type="dcterms:W3CDTF">2023-03-01T17:59:00Z</dcterms:modified>
</cp:coreProperties>
</file>