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/>
        <w:jc w:val="center"/>
      </w:pPr>
      <w:r>
        <w:rPr>
          <w:rFonts w:ascii="Calibri" w:hAnsi="Calibri"/>
          <w:b/>
          <w:color w:val="2E74B5"/>
          <w:sz w:val="24"/>
        </w:rPr>
        <w:t>VANCEL TECHNOLOGIES PVT. LTD.</w:t>
      </w:r>
    </w:p>
    <w:p>
      <w:pPr>
        <w:spacing w:before="0" w:after="200"/>
        <w:jc w:val="center"/>
      </w:pPr>
      <w:r>
        <w:rPr>
          <w:rFonts w:ascii="Calibri" w:hAnsi="Calibri"/>
          <w:b/>
          <w:color w:val="0B2545"/>
          <w:sz w:val="50"/>
        </w:rPr>
        <w:t>Enterprise Lead Management, Calling Automation, WhatsApp Automation &amp; AI Transformation Platform</w:t>
      </w:r>
    </w:p>
    <w:p>
      <w:pPr>
        <w:spacing w:before="0" w:after="480"/>
        <w:jc w:val="center"/>
      </w:pPr>
      <w:r>
        <w:rPr>
          <w:rFonts w:ascii="Calibri" w:hAnsi="Calibri"/>
          <w:b w:val="0"/>
          <w:color w:val="566070"/>
          <w:sz w:val="26"/>
        </w:rPr>
        <w:t>A consulting-led proposal for CRM foundation, communication automation, and practical AI transformation.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8D3E0"/>
          <w:left w:val="single" w:sz="6" w:space="0" w:color="C8D3E0"/>
          <w:bottom w:val="single" w:sz="6" w:space="0" w:color="C8D3E0"/>
          <w:right w:val="single" w:sz="6" w:space="0" w:color="C8D3E0"/>
          <w:insideH w:val="single" w:sz="6" w:space="0" w:color="C8D3E0"/>
          <w:insideV w:val="single" w:sz="6" w:space="0" w:color="C8D3E0"/>
        </w:tblBorders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D9EA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Prepared By</w:t>
            </w:r>
          </w:p>
        </w:tc>
        <w:tc>
          <w:tcPr>
            <w:tcW w:type="dxa" w:w="60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D9EA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Organization</w:t>
            </w:r>
          </w:p>
        </w:tc>
      </w:tr>
      <w:tr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20"/>
              </w:rPr>
              <w:t>Vetri Murugan</w:t>
              <w:br/>
              <w:t>Chief Solutions Architect</w:t>
            </w:r>
          </w:p>
        </w:tc>
        <w:tc>
          <w:tcPr>
            <w:tcW w:type="dxa" w:w="60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20"/>
              </w:rPr>
              <w:t>Vancel Technologies Pvt. Ltd.</w:t>
            </w:r>
          </w:p>
        </w:tc>
      </w:tr>
      <w:tr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20"/>
              </w:rPr>
              <w:t>Company Website</w:t>
            </w:r>
          </w:p>
        </w:tc>
        <w:tc>
          <w:tcPr>
            <w:tcW w:type="dxa" w:w="60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20"/>
              </w:rPr>
              <w:t>www.vanceltech.com</w:t>
            </w:r>
          </w:p>
        </w:tc>
      </w:tr>
      <w:tr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20"/>
              </w:rPr>
              <w:t>Document Purpose</w:t>
            </w:r>
          </w:p>
        </w:tc>
        <w:tc>
          <w:tcPr>
            <w:tcW w:type="dxa" w:w="60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20"/>
              </w:rPr>
              <w:t>Client submission proposal for enterprise lead management and AI-enabled growth systems</w:t>
            </w:r>
          </w:p>
        </w:tc>
      </w:tr>
      <w:tr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20"/>
              </w:rPr>
              <w:t>Date</w:t>
            </w:r>
          </w:p>
        </w:tc>
        <w:tc>
          <w:tcPr>
            <w:tcW w:type="dxa" w:w="60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20"/>
              </w:rPr>
              <w:t>June 2026</w:t>
            </w:r>
          </w:p>
        </w:tc>
      </w:tr>
    </w:tbl>
    <w:p>
      <w:pPr>
        <w:spacing w:before="0" w:after="1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5E0EA"/>
          <w:left w:val="single" w:sz="6" w:space="0" w:color="D5E0EA"/>
          <w:bottom w:val="single" w:sz="6" w:space="0" w:color="D5E0EA"/>
          <w:right w:val="single" w:sz="6" w:space="0" w:color="D5E0EA"/>
          <w:insideH w:val="single" w:sz="6" w:space="0" w:color="D5E0EA"/>
          <w:insideV w:val="single" w:sz="6" w:space="0" w:color="D5E0EA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>Proposal Intent</w:t>
            </w:r>
          </w:p>
          <w:p>
            <w:pPr>
              <w:spacing w:after="0"/>
            </w:pPr>
            <w:r>
              <w:rPr>
                <w:rFonts w:ascii="Calibri" w:hAnsi="Calibri"/>
                <w:color w:val="191F26"/>
                <w:sz w:val="20"/>
              </w:rPr>
              <w:t>This proposal is designed as a business transformation engagement, not a software implementation exercise. The program is structured to improve lead conversion, reduce manual effort, create reliable management visibility, and establish a scalable foundation for future AI agents.</w:t>
            </w:r>
          </w:p>
        </w:tc>
      </w:tr>
    </w:tbl>
    <w:p>
      <w:pPr>
        <w:spacing w:before="0" w:after="120"/>
      </w:pPr>
    </w:p>
    <w:p>
      <w:pPr>
        <w:spacing w:before="0" w:after="0"/>
        <w:jc w:val="center"/>
      </w:pPr>
      <w:r>
        <w:rPr>
          <w:rFonts w:ascii="Calibri" w:hAnsi="Calibri"/>
          <w:b w:val="0"/>
          <w:color w:val="566070"/>
          <w:sz w:val="20"/>
        </w:rPr>
        <w:t>Prepared for client review and PDF generation.</w:t>
      </w:r>
    </w:p>
    <w:p>
      <w:r>
        <w:br w:type="page"/>
      </w:r>
    </w:p>
    <w:p>
      <w:pPr>
        <w:pStyle w:val="Heading1"/>
        <w:spacing w:before="0" w:after="160"/>
      </w:pPr>
      <w:r>
        <w:rPr>
          <w:rFonts w:ascii="Calibri" w:hAnsi="Calibri"/>
          <w:b w:val="0"/>
          <w:color w:val="191F26"/>
        </w:rPr>
        <w:t>Table of Contents</w:t>
      </w:r>
    </w:p>
    <w:p>
      <w:pPr>
        <w:spacing w:before="0" w:after="60"/>
      </w:pPr>
      <w:r>
        <w:rPr>
          <w:rFonts w:ascii="Calibri" w:hAnsi="Calibri"/>
          <w:b w:val="0"/>
          <w:color w:val="191F26"/>
          <w:sz w:val="21"/>
        </w:rPr>
        <w:t>1. Executive Summary</w:t>
      </w:r>
    </w:p>
    <w:p>
      <w:pPr>
        <w:spacing w:before="0" w:after="60"/>
      </w:pPr>
      <w:r>
        <w:rPr>
          <w:rFonts w:ascii="Calibri" w:hAnsi="Calibri"/>
          <w:b w:val="0"/>
          <w:color w:val="191F26"/>
          <w:sz w:val="21"/>
        </w:rPr>
        <w:t>2. Understanding of Business Requirements</w:t>
      </w:r>
    </w:p>
    <w:p>
      <w:pPr>
        <w:spacing w:before="0" w:after="60"/>
      </w:pPr>
      <w:r>
        <w:rPr>
          <w:rFonts w:ascii="Calibri" w:hAnsi="Calibri"/>
          <w:b w:val="0"/>
          <w:color w:val="191F26"/>
          <w:sz w:val="21"/>
        </w:rPr>
        <w:t>3. Recommended Solution Approach</w:t>
      </w:r>
    </w:p>
    <w:p>
      <w:pPr>
        <w:spacing w:before="0" w:after="60"/>
      </w:pPr>
      <w:r>
        <w:rPr>
          <w:rFonts w:ascii="Calibri" w:hAnsi="Calibri"/>
          <w:b w:val="0"/>
          <w:color w:val="191F26"/>
          <w:sz w:val="21"/>
        </w:rPr>
        <w:t>4. Proposed Technology Stack</w:t>
      </w:r>
    </w:p>
    <w:p>
      <w:pPr>
        <w:spacing w:before="0" w:after="60"/>
      </w:pPr>
      <w:r>
        <w:rPr>
          <w:rFonts w:ascii="Calibri" w:hAnsi="Calibri"/>
          <w:b w:val="0"/>
          <w:color w:val="191F26"/>
          <w:sz w:val="21"/>
        </w:rPr>
        <w:t>5. Solution Architecture</w:t>
      </w:r>
    </w:p>
    <w:p>
      <w:pPr>
        <w:spacing w:before="0" w:after="60"/>
      </w:pPr>
      <w:r>
        <w:rPr>
          <w:rFonts w:ascii="Calibri" w:hAnsi="Calibri"/>
          <w:b w:val="0"/>
          <w:color w:val="191F26"/>
          <w:sz w:val="21"/>
        </w:rPr>
        <w:t>6. Phase-wise Implementation Approach</w:t>
      </w:r>
    </w:p>
    <w:p>
      <w:pPr>
        <w:spacing w:before="0" w:after="60"/>
      </w:pPr>
      <w:r>
        <w:rPr>
          <w:rFonts w:ascii="Calibri" w:hAnsi="Calibri"/>
          <w:b w:val="0"/>
          <w:color w:val="191F26"/>
          <w:sz w:val="21"/>
        </w:rPr>
        <w:t>7. Project Timeline</w:t>
      </w:r>
    </w:p>
    <w:p>
      <w:pPr>
        <w:spacing w:before="0" w:after="60"/>
      </w:pPr>
      <w:r>
        <w:rPr>
          <w:rFonts w:ascii="Calibri" w:hAnsi="Calibri"/>
          <w:b w:val="0"/>
          <w:color w:val="191F26"/>
          <w:sz w:val="21"/>
        </w:rPr>
        <w:t>8. Commercial Proposal</w:t>
      </w:r>
    </w:p>
    <w:p>
      <w:pPr>
        <w:spacing w:before="0" w:after="60"/>
      </w:pPr>
      <w:r>
        <w:rPr>
          <w:rFonts w:ascii="Calibri" w:hAnsi="Calibri"/>
          <w:b w:val="0"/>
          <w:color w:val="191F26"/>
          <w:sz w:val="21"/>
        </w:rPr>
        <w:t>9. Software &amp; Platform Costs</w:t>
      </w:r>
    </w:p>
    <w:p>
      <w:pPr>
        <w:spacing w:before="0" w:after="60"/>
      </w:pPr>
      <w:r>
        <w:rPr>
          <w:rFonts w:ascii="Calibri" w:hAnsi="Calibri"/>
          <w:b w:val="0"/>
          <w:color w:val="191F26"/>
          <w:sz w:val="21"/>
        </w:rPr>
        <w:t>10. Data &amp; CRM Structure Required</w:t>
      </w:r>
    </w:p>
    <w:p>
      <w:pPr>
        <w:spacing w:before="0" w:after="60"/>
      </w:pPr>
      <w:r>
        <w:rPr>
          <w:rFonts w:ascii="Calibri" w:hAnsi="Calibri"/>
          <w:b w:val="0"/>
          <w:color w:val="191F26"/>
          <w:sz w:val="21"/>
        </w:rPr>
        <w:t>11. Support &amp; Handover Approach</w:t>
      </w:r>
    </w:p>
    <w:p>
      <w:pPr>
        <w:spacing w:before="0" w:after="60"/>
      </w:pPr>
      <w:r>
        <w:rPr>
          <w:rFonts w:ascii="Calibri" w:hAnsi="Calibri"/>
          <w:b w:val="0"/>
          <w:color w:val="191F26"/>
          <w:sz w:val="21"/>
        </w:rPr>
        <w:t>12. Training &amp; Documentation</w:t>
      </w:r>
    </w:p>
    <w:p>
      <w:pPr>
        <w:spacing w:before="0" w:after="60"/>
      </w:pPr>
      <w:r>
        <w:rPr>
          <w:rFonts w:ascii="Calibri" w:hAnsi="Calibri"/>
          <w:b w:val="0"/>
          <w:color w:val="191F26"/>
          <w:sz w:val="21"/>
        </w:rPr>
        <w:t>13. Relevant Experience &amp; Case Studies</w:t>
      </w:r>
    </w:p>
    <w:p>
      <w:pPr>
        <w:spacing w:before="0" w:after="60"/>
      </w:pPr>
      <w:r>
        <w:rPr>
          <w:rFonts w:ascii="Calibri" w:hAnsi="Calibri"/>
          <w:b w:val="0"/>
          <w:color w:val="191F26"/>
          <w:sz w:val="21"/>
        </w:rPr>
        <w:t>14. Why Vancel Technologies</w:t>
      </w:r>
    </w:p>
    <w:p>
      <w:pPr>
        <w:spacing w:before="0" w:after="60"/>
      </w:pPr>
      <w:r>
        <w:rPr>
          <w:rFonts w:ascii="Calibri" w:hAnsi="Calibri"/>
          <w:b w:val="0"/>
          <w:color w:val="191F26"/>
          <w:sz w:val="21"/>
        </w:rPr>
        <w:t>15. Assumptions &amp; Dependencies</w:t>
      </w:r>
    </w:p>
    <w:p>
      <w:pPr>
        <w:spacing w:before="0" w:after="60"/>
      </w:pPr>
      <w:r>
        <w:rPr>
          <w:rFonts w:ascii="Calibri" w:hAnsi="Calibri"/>
          <w:b w:val="0"/>
          <w:color w:val="191F26"/>
          <w:sz w:val="21"/>
        </w:rPr>
        <w:t>16. Recommended Next Steps</w:t>
      </w:r>
    </w:p>
    <w:p>
      <w:r>
        <w:br w:type="page"/>
      </w:r>
    </w:p>
    <w:p>
      <w:pPr>
        <w:pStyle w:val="Heading1"/>
        <w:spacing w:before="0" w:after="160"/>
      </w:pPr>
      <w:r>
        <w:rPr>
          <w:rFonts w:ascii="Calibri" w:hAnsi="Calibri"/>
          <w:b w:val="0"/>
          <w:color w:val="191F26"/>
        </w:rPr>
        <w:t>Executive Summary</w:t>
      </w:r>
    </w:p>
    <w:p>
      <w:pPr>
        <w:spacing w:before="0" w:after="160"/>
      </w:pPr>
      <w:r>
        <w:rPr>
          <w:rFonts w:ascii="Calibri" w:hAnsi="Calibri"/>
          <w:b w:val="0"/>
          <w:color w:val="191F26"/>
        </w:rPr>
        <w:t>Vancel Technologies proposes to design and implement a scalable enterprise lead management ecosystem that integrates CRM, telecalling workflows, WhatsApp engagement, automation, reporting, and practical AI capabilities. The objective is to create a high-visibility operating system for sales, telecalling, operations, and management stakeholders.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5E0EA"/>
          <w:left w:val="single" w:sz="6" w:space="0" w:color="D5E0EA"/>
          <w:bottom w:val="single" w:sz="6" w:space="0" w:color="D5E0EA"/>
          <w:right w:val="single" w:sz="6" w:space="0" w:color="D5E0EA"/>
          <w:insideH w:val="single" w:sz="6" w:space="0" w:color="D5E0EA"/>
          <w:insideV w:val="single" w:sz="6" w:space="0" w:color="D5E0EA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7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>Executive Recommendation</w:t>
            </w:r>
          </w:p>
          <w:p>
            <w:pPr>
              <w:spacing w:after="0"/>
            </w:pPr>
            <w:r>
              <w:rPr>
                <w:rFonts w:ascii="Calibri" w:hAnsi="Calibri"/>
                <w:color w:val="191F26"/>
                <w:sz w:val="20"/>
              </w:rPr>
              <w:t>The engagement should be executed as a phased transformation program: first stabilizing the CRM foundation, then automating communication workflows, and finally introducing AI-enabled productivity and intelligence layers.</w:t>
            </w:r>
          </w:p>
        </w:tc>
      </w:tr>
    </w:tbl>
    <w:p>
      <w:pPr>
        <w:spacing w:before="0" w:after="120"/>
      </w:pPr>
    </w:p>
    <w:p>
      <w:pPr>
        <w:spacing w:before="0" w:after="160"/>
      </w:pPr>
      <w:r>
        <w:rPr>
          <w:rFonts w:ascii="Calibri" w:hAnsi="Calibri"/>
          <w:b w:val="0"/>
          <w:color w:val="191F26"/>
        </w:rPr>
        <w:t>The platform will enable:</w:t>
      </w:r>
    </w:p>
    <w:p>
      <w:pPr>
        <w:pStyle w:val="ListBullet"/>
        <w:spacing w:after="80"/>
      </w:pPr>
      <w:r>
        <w:rPr>
          <w:rFonts w:ascii="Calibri" w:hAnsi="Calibri"/>
          <w:color w:val="191F26"/>
          <w:sz w:val="21"/>
        </w:rPr>
        <w:t>Lead capture and structured lead management</w:t>
      </w:r>
    </w:p>
    <w:p>
      <w:pPr>
        <w:pStyle w:val="ListBullet"/>
        <w:spacing w:after="80"/>
      </w:pPr>
      <w:r>
        <w:rPr>
          <w:rFonts w:ascii="Calibri" w:hAnsi="Calibri"/>
          <w:color w:val="191F26"/>
          <w:sz w:val="21"/>
        </w:rPr>
        <w:t>Lead qualification, scoring, and ownership governance</w:t>
      </w:r>
    </w:p>
    <w:p>
      <w:pPr>
        <w:pStyle w:val="ListBullet"/>
        <w:spacing w:after="80"/>
      </w:pPr>
      <w:r>
        <w:rPr>
          <w:rFonts w:ascii="Calibri" w:hAnsi="Calibri"/>
          <w:color w:val="191F26"/>
          <w:sz w:val="21"/>
        </w:rPr>
        <w:t>Duplicate lead prevention and bad lead identification</w:t>
      </w:r>
    </w:p>
    <w:p>
      <w:pPr>
        <w:pStyle w:val="ListBullet"/>
        <w:spacing w:after="80"/>
      </w:pPr>
      <w:r>
        <w:rPr>
          <w:rFonts w:ascii="Calibri" w:hAnsi="Calibri"/>
          <w:color w:val="191F26"/>
          <w:sz w:val="21"/>
        </w:rPr>
        <w:t>Telecalling workflows with call logging and disposition tracking</w:t>
      </w:r>
    </w:p>
    <w:p>
      <w:pPr>
        <w:pStyle w:val="ListBullet"/>
        <w:spacing w:after="80"/>
      </w:pPr>
      <w:r>
        <w:rPr>
          <w:rFonts w:ascii="Calibri" w:hAnsi="Calibri"/>
          <w:color w:val="191F26"/>
          <w:sz w:val="21"/>
        </w:rPr>
        <w:t>WhatsApp automation for engagement, reminders, and nurturing</w:t>
      </w:r>
    </w:p>
    <w:p>
      <w:pPr>
        <w:pStyle w:val="ListBullet"/>
        <w:spacing w:after="80"/>
      </w:pPr>
      <w:r>
        <w:rPr>
          <w:rFonts w:ascii="Calibri" w:hAnsi="Calibri"/>
          <w:color w:val="191F26"/>
          <w:sz w:val="21"/>
        </w:rPr>
        <w:t>Sales process automation, reporting, dashboards, and management controls</w:t>
      </w:r>
    </w:p>
    <w:p>
      <w:pPr>
        <w:pStyle w:val="ListBullet"/>
        <w:spacing w:after="80"/>
      </w:pPr>
      <w:r>
        <w:rPr>
          <w:rFonts w:ascii="Calibri" w:hAnsi="Calibri"/>
          <w:color w:val="191F26"/>
          <w:sz w:val="21"/>
        </w:rPr>
        <w:t>AI-assisted lead management with a roadmap toward future agentic workflows</w:t>
      </w:r>
    </w:p>
    <w:p>
      <w:pPr>
        <w:spacing w:before="0" w:after="160"/>
      </w:pPr>
      <w:r>
        <w:rPr>
          <w:rFonts w:ascii="Calibri" w:hAnsi="Calibri"/>
          <w:b w:val="0"/>
          <w:color w:val="191F26"/>
        </w:rPr>
        <w:t>The focus is not software configuration alone. The broader objective is business transformation: increased lead conversion, reduced manual effort, stronger operational discipline, better customer response quality, and a scalable growth system that can expand with the organization.</w:t>
      </w:r>
    </w:p>
    <w:p>
      <w:pPr>
        <w:pStyle w:val="Heading1"/>
        <w:spacing w:before="0" w:after="160"/>
      </w:pPr>
      <w:r>
        <w:rPr>
          <w:rFonts w:ascii="Calibri" w:hAnsi="Calibri"/>
          <w:b w:val="0"/>
          <w:color w:val="191F26"/>
        </w:rPr>
        <w:t>Understanding of Business Requirements</w:t>
      </w:r>
    </w:p>
    <w:p>
      <w:pPr>
        <w:spacing w:before="0" w:after="160"/>
      </w:pPr>
      <w:r>
        <w:rPr>
          <w:rFonts w:ascii="Calibri" w:hAnsi="Calibri"/>
          <w:b w:val="0"/>
          <w:color w:val="191F26"/>
        </w:rPr>
        <w:t>Based on the stated requirements, the business requires an integrated lead operating model that can manage high-volume lead flow, reduce leakage, enforce follow-up discipline, and create reliable visibility across the full revenue pipeline.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8D3E0"/>
          <w:left w:val="single" w:sz="6" w:space="0" w:color="C8D3E0"/>
          <w:bottom w:val="single" w:sz="6" w:space="0" w:color="C8D3E0"/>
          <w:right w:val="single" w:sz="6" w:space="0" w:color="C8D3E0"/>
          <w:insideH w:val="single" w:sz="6" w:space="0" w:color="C8D3E0"/>
          <w:insideV w:val="single" w:sz="6" w:space="0" w:color="C8D3E0"/>
        </w:tblBorders>
      </w:tblPr>
      <w:tblGrid>
        <w:gridCol w:w="1900"/>
        <w:gridCol w:w="3940"/>
        <w:gridCol w:w="3520"/>
      </w:tblGrid>
      <w:tr>
        <w:trPr>
          <w:tblHeader w:val="true"/>
        </w:trPr>
        <w:tc>
          <w:tcPr>
            <w:tcW w:type="dxa" w:w="19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Business Need</w:t>
            </w:r>
          </w:p>
        </w:tc>
        <w:tc>
          <w:tcPr>
            <w:tcW w:type="dxa" w:w="39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Observed Requirement</w:t>
            </w:r>
          </w:p>
        </w:tc>
        <w:tc>
          <w:tcPr>
            <w:tcW w:type="dxa" w:w="35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Transformation Outcome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Lead lifecycle control</w:t>
            </w:r>
          </w:p>
        </w:tc>
        <w:tc>
          <w:tcPr>
            <w:tcW w:type="dxa" w:w="394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Structured stages, status mapping, source tracking, ownership, and follow-ups</w:t>
            </w:r>
          </w:p>
        </w:tc>
        <w:tc>
          <w:tcPr>
            <w:tcW w:type="dxa" w:w="352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Clear pipeline governance and reduced lead leakage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Lead quality management</w:t>
            </w:r>
          </w:p>
        </w:tc>
        <w:tc>
          <w:tcPr>
            <w:tcW w:type="dxa" w:w="394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Qualification rules, bad lead identification, duplicate checks, and DNC handling</w:t>
            </w:r>
          </w:p>
        </w:tc>
        <w:tc>
          <w:tcPr>
            <w:tcW w:type="dxa" w:w="352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Improved sales focus and cleaner CRM data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Telecalling productivity</w:t>
            </w:r>
          </w:p>
        </w:tc>
        <w:tc>
          <w:tcPr>
            <w:tcW w:type="dxa" w:w="394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Call logging, call disposition, callback scheduling, and escalation workflows</w:t>
            </w:r>
          </w:p>
        </w:tc>
        <w:tc>
          <w:tcPr>
            <w:tcW w:type="dxa" w:w="352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Higher agent productivity and measurable calling outcomes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WhatsApp engagement</w:t>
            </w:r>
          </w:p>
        </w:tc>
        <w:tc>
          <w:tcPr>
            <w:tcW w:type="dxa" w:w="394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Consent management, reminders, nurturing workflows, and communication tracking</w:t>
            </w:r>
          </w:p>
        </w:tc>
        <w:tc>
          <w:tcPr>
            <w:tcW w:type="dxa" w:w="352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Consistent engagement with reduced manual messaging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Management visibility</w:t>
            </w:r>
          </w:p>
        </w:tc>
        <w:tc>
          <w:tcPr>
            <w:tcW w:type="dxa" w:w="394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Dashboards, reports, conversion analytics, and operational KPIs</w:t>
            </w:r>
          </w:p>
        </w:tc>
        <w:tc>
          <w:tcPr>
            <w:tcW w:type="dxa" w:w="352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Data-led decision-making and predictable review cadence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AI readiness</w:t>
            </w:r>
          </w:p>
        </w:tc>
        <w:tc>
          <w:tcPr>
            <w:tcW w:type="dxa" w:w="394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AI lead classification, call summaries, recommendations, and productivity automation</w:t>
            </w:r>
          </w:p>
        </w:tc>
        <w:tc>
          <w:tcPr>
            <w:tcW w:type="dxa" w:w="352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Practical AI adoption with a path toward agentic applications</w:t>
            </w:r>
          </w:p>
        </w:tc>
      </w:tr>
    </w:tbl>
    <w:p>
      <w:pPr>
        <w:spacing w:before="0" w:after="120"/>
      </w:pPr>
    </w:p>
    <w:p>
      <w:pPr>
        <w:pStyle w:val="Heading1"/>
        <w:spacing w:before="0" w:after="160"/>
      </w:pPr>
      <w:r>
        <w:rPr>
          <w:rFonts w:ascii="Calibri" w:hAnsi="Calibri"/>
          <w:b w:val="0"/>
          <w:color w:val="191F26"/>
        </w:rPr>
        <w:t>Recommended Solution Approach</w:t>
      </w:r>
    </w:p>
    <w:p>
      <w:pPr>
        <w:spacing w:before="0" w:after="160"/>
      </w:pPr>
      <w:r>
        <w:rPr>
          <w:rFonts w:ascii="Calibri" w:hAnsi="Calibri"/>
          <w:b w:val="0"/>
          <w:color w:val="191F26"/>
        </w:rPr>
        <w:t>Vancel recommends a three-layer enterprise architecture. This creates rapid go-live value while ensuring that future automation and AI investments are built on clean data, governed processes, and measurable business outcomes.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8D3E0"/>
          <w:left w:val="single" w:sz="6" w:space="0" w:color="C8D3E0"/>
          <w:bottom w:val="single" w:sz="6" w:space="0" w:color="C8D3E0"/>
          <w:right w:val="single" w:sz="6" w:space="0" w:color="C8D3E0"/>
          <w:insideH w:val="single" w:sz="6" w:space="0" w:color="C8D3E0"/>
          <w:insideV w:val="single" w:sz="6" w:space="0" w:color="C8D3E0"/>
        </w:tblBorders>
      </w:tblPr>
      <w:tblGrid>
        <w:gridCol w:w="2100"/>
        <w:gridCol w:w="3800"/>
        <w:gridCol w:w="3460"/>
      </w:tblGrid>
      <w:tr>
        <w:trPr>
          <w:tblHeader w:val="true"/>
        </w:trPr>
        <w:tc>
          <w:tcPr>
            <w:tcW w:type="dxa" w:w="21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Strategic Layer</w:t>
            </w:r>
          </w:p>
        </w:tc>
        <w:tc>
          <w:tcPr>
            <w:tcW w:type="dxa" w:w="3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Core Capabilities</w:t>
            </w:r>
          </w:p>
        </w:tc>
        <w:tc>
          <w:tcPr>
            <w:tcW w:type="dxa" w:w="34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Business Value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Layer 1: CRM Foundation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Lead lifecycle management, lead qualification, lead ownership, follow-up automation, reporting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Creates process discipline and establishes one source of truth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Layer 2: Communication Layer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Telephony integration, call tracking, callback scheduling, WhatsApp automation, lead nurturing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Improves speed-to-lead, follow-up consistency, and engagement visibility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Layer 3: Intelligence Layer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AI lead qualification, AI call summaries, AI recommendations, AI CRM updates, agentic workflows, future AI voice automation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Reduces manual work and enables intelligent revenue operations</w:t>
            </w:r>
          </w:p>
        </w:tc>
      </w:tr>
    </w:tbl>
    <w:p>
      <w:pPr>
        <w:spacing w:before="0" w:after="1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5E0EA"/>
          <w:left w:val="single" w:sz="6" w:space="0" w:color="D5E0EA"/>
          <w:bottom w:val="single" w:sz="6" w:space="0" w:color="D5E0EA"/>
          <w:right w:val="single" w:sz="6" w:space="0" w:color="D5E0EA"/>
          <w:insideH w:val="single" w:sz="6" w:space="0" w:color="D5E0EA"/>
          <w:insideV w:val="single" w:sz="6" w:space="0" w:color="D5E0EA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7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>Implementation Principle</w:t>
            </w:r>
          </w:p>
          <w:p>
            <w:pPr>
              <w:spacing w:after="0"/>
            </w:pPr>
            <w:r>
              <w:rPr>
                <w:rFonts w:ascii="Calibri" w:hAnsi="Calibri"/>
                <w:color w:val="191F26"/>
                <w:sz w:val="20"/>
              </w:rPr>
              <w:t>The program will be phased to allow rapid go-live while creating a scalable enterprise foundation. Phase 2 planning and requirement workshops will begin during Phase 1 to reduce implementation delays.</w:t>
            </w:r>
          </w:p>
        </w:tc>
      </w:tr>
    </w:tbl>
    <w:p>
      <w:pPr>
        <w:spacing w:before="0" w:after="120"/>
      </w:pPr>
    </w:p>
    <w:p>
      <w:pPr>
        <w:pStyle w:val="Heading1"/>
        <w:spacing w:before="0" w:after="160"/>
      </w:pPr>
      <w:r>
        <w:rPr>
          <w:rFonts w:ascii="Calibri" w:hAnsi="Calibri"/>
          <w:b w:val="0"/>
          <w:color w:val="191F26"/>
        </w:rPr>
        <w:t>Proposed Technology Stack</w:t>
      </w:r>
    </w:p>
    <w:p>
      <w:pPr>
        <w:spacing w:before="0" w:after="160"/>
      </w:pPr>
      <w:r>
        <w:rPr>
          <w:rFonts w:ascii="Calibri" w:hAnsi="Calibri"/>
          <w:b w:val="0"/>
          <w:color w:val="191F26"/>
        </w:rPr>
        <w:t>The final technology stack should be confirmed after discovery, user analysis, and integration feasibility review. The following stack is recommended as the working baseline.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8D3E0"/>
          <w:left w:val="single" w:sz="6" w:space="0" w:color="C8D3E0"/>
          <w:bottom w:val="single" w:sz="6" w:space="0" w:color="C8D3E0"/>
          <w:right w:val="single" w:sz="6" w:space="0" w:color="C8D3E0"/>
          <w:insideH w:val="single" w:sz="6" w:space="0" w:color="C8D3E0"/>
          <w:insideV w:val="single" w:sz="6" w:space="0" w:color="C8D3E0"/>
        </w:tblBorders>
      </w:tblPr>
      <w:tblGrid>
        <w:gridCol w:w="1900"/>
        <w:gridCol w:w="3100"/>
        <w:gridCol w:w="4360"/>
      </w:tblGrid>
      <w:tr>
        <w:trPr>
          <w:tblHeader w:val="true"/>
        </w:trPr>
        <w:tc>
          <w:tcPr>
            <w:tcW w:type="dxa" w:w="19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Domain</w:t>
            </w:r>
          </w:p>
        </w:tc>
        <w:tc>
          <w:tcPr>
            <w:tcW w:type="dxa" w:w="31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Recommended Platforms</w:t>
            </w:r>
          </w:p>
        </w:tc>
        <w:tc>
          <w:tcPr>
            <w:tcW w:type="dxa" w:w="4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Role in Solution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CRM &amp; Business Process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Zoho CRM, Zoho Flow, Zoho Analytics, Zoho Desk (optional)</w:t>
            </w:r>
          </w:p>
        </w:tc>
        <w:tc>
          <w:tcPr>
            <w:tcW w:type="dxa" w:w="43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CRM foundation, workflow orchestration, reporting, and optional support/service desk capabilities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Telephony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Exotel or Tata Tele Business Services</w:t>
            </w:r>
          </w:p>
        </w:tc>
        <w:tc>
          <w:tcPr>
            <w:tcW w:type="dxa" w:w="43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Calling, call logs, call dispositions, recordings where applicable, and callback workflows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WhatsApp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Interakt, Gallabox, or Gupshup</w:t>
            </w:r>
          </w:p>
        </w:tc>
        <w:tc>
          <w:tcPr>
            <w:tcW w:type="dxa" w:w="43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WhatsApp Business API messaging, templates, journeys, consent, and engagement tracking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AI Layer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Zoho AI, Zoho AI Agents, OpenAI models if required, custom agentic applications</w:t>
            </w:r>
          </w:p>
        </w:tc>
        <w:tc>
          <w:tcPr>
            <w:tcW w:type="dxa" w:w="43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AI-assisted classification, summaries, recommendations, productivity automation, and future agents</w:t>
            </w:r>
          </w:p>
        </w:tc>
      </w:tr>
    </w:tbl>
    <w:p>
      <w:pPr>
        <w:spacing w:before="0" w:after="120"/>
      </w:pPr>
    </w:p>
    <w:p>
      <w:pPr>
        <w:pStyle w:val="Heading1"/>
        <w:spacing w:before="0" w:after="160"/>
      </w:pPr>
      <w:r>
        <w:rPr>
          <w:rFonts w:ascii="Calibri" w:hAnsi="Calibri"/>
          <w:b w:val="0"/>
          <w:color w:val="191F26"/>
        </w:rPr>
        <w:t>Solution Architecture</w:t>
      </w:r>
    </w:p>
    <w:p>
      <w:pPr>
        <w:spacing w:before="0" w:after="160"/>
      </w:pPr>
      <w:r>
        <w:rPr>
          <w:rFonts w:ascii="Calibri" w:hAnsi="Calibri"/>
          <w:b w:val="0"/>
          <w:color w:val="191F26"/>
        </w:rPr>
        <w:t>The proposed architecture connects lead capture channels, CRM governance, communication systems, automation workflows, analytics, and AI productivity services into a single operating model.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8D3E0"/>
          <w:left w:val="single" w:sz="6" w:space="0" w:color="C8D3E0"/>
          <w:bottom w:val="single" w:sz="6" w:space="0" w:color="C8D3E0"/>
          <w:right w:val="single" w:sz="6" w:space="0" w:color="C8D3E0"/>
          <w:insideH w:val="single" w:sz="6" w:space="0" w:color="C8D3E0"/>
          <w:insideV w:val="single" w:sz="6" w:space="0" w:color="C8D3E0"/>
        </w:tblBorders>
      </w:tblPr>
      <w:tblGrid>
        <w:gridCol w:w="2100"/>
        <w:gridCol w:w="4020"/>
        <w:gridCol w:w="3240"/>
      </w:tblGrid>
      <w:tr>
        <w:trPr>
          <w:tblHeader w:val="true"/>
        </w:trPr>
        <w:tc>
          <w:tcPr>
            <w:tcW w:type="dxa" w:w="21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Architecture Layer</w:t>
            </w:r>
          </w:p>
        </w:tc>
        <w:tc>
          <w:tcPr>
            <w:tcW w:type="dxa" w:w="40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Representative Components</w:t>
            </w:r>
          </w:p>
        </w:tc>
        <w:tc>
          <w:tcPr>
            <w:tcW w:type="dxa" w:w="32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Key Controls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Lead Capture &amp; Intake</w:t>
            </w:r>
          </w:p>
        </w:tc>
        <w:tc>
          <w:tcPr>
            <w:tcW w:type="dxa" w:w="402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Website forms, landing pages, campaigns, imports, partner lists, offline sources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Source attribution, deduplication, validation, consent capture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CRM Core</w:t>
            </w:r>
          </w:p>
        </w:tc>
        <w:tc>
          <w:tcPr>
            <w:tcW w:type="dxa" w:w="402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Zoho CRM leads, contacts, deals, activities, tasks, ownership rules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Lifecycle stages, status mapping, assignment rules, mandatory fields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Communication Automation</w:t>
            </w:r>
          </w:p>
        </w:tc>
        <w:tc>
          <w:tcPr>
            <w:tcW w:type="dxa" w:w="402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Telephony connector, WhatsApp API, callbacks, reminders, escalation journeys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Disposition governance, communication logs, opt-in/opt-out controls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Analytics &amp; Management</w:t>
            </w:r>
          </w:p>
        </w:tc>
        <w:tc>
          <w:tcPr>
            <w:tcW w:type="dxa" w:w="402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Zoho Analytics dashboards, CRM reports, conversion funnels, team performance views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KPI definitions, access control, management cadence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AI &amp; Agentic Layer</w:t>
            </w:r>
          </w:p>
        </w:tc>
        <w:tc>
          <w:tcPr>
            <w:tcW w:type="dxa" w:w="402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AI classification, call summaries, next-action recommendations, future agents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Human oversight, prompt governance, outcome measurement, usage monitoring</w:t>
            </w:r>
          </w:p>
        </w:tc>
      </w:tr>
    </w:tbl>
    <w:p>
      <w:pPr>
        <w:spacing w:before="0" w:after="120"/>
      </w:pPr>
    </w:p>
    <w:p>
      <w:pPr>
        <w:pStyle w:val="Heading1"/>
        <w:spacing w:before="0" w:after="160"/>
      </w:pPr>
      <w:r>
        <w:rPr>
          <w:rFonts w:ascii="Calibri" w:hAnsi="Calibri"/>
          <w:b w:val="0"/>
          <w:color w:val="191F26"/>
        </w:rPr>
        <w:t>Phase-wise Implementation Approach</w:t>
      </w:r>
    </w:p>
    <w:p>
      <w:pPr>
        <w:pStyle w:val="Heading2"/>
        <w:spacing w:before="0" w:after="160"/>
      </w:pPr>
      <w:r>
        <w:rPr>
          <w:rFonts w:ascii="Calibri" w:hAnsi="Calibri"/>
          <w:b w:val="0"/>
          <w:color w:val="191F26"/>
        </w:rPr>
        <w:t>Phase 1: CRM Foundation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8D3E0"/>
          <w:left w:val="single" w:sz="6" w:space="0" w:color="C8D3E0"/>
          <w:bottom w:val="single" w:sz="6" w:space="0" w:color="C8D3E0"/>
          <w:right w:val="single" w:sz="6" w:space="0" w:color="C8D3E0"/>
          <w:insideH w:val="single" w:sz="6" w:space="0" w:color="C8D3E0"/>
          <w:insideV w:val="single" w:sz="6" w:space="0" w:color="C8D3E0"/>
        </w:tblBorders>
      </w:tblPr>
      <w:tblGrid>
        <w:gridCol w:w="1300"/>
        <w:gridCol w:w="1500"/>
        <w:gridCol w:w="5160"/>
        <w:gridCol w:w="1400"/>
      </w:tblGrid>
      <w:tr>
        <w:trPr>
          <w:tblHeader w:val="true"/>
        </w:trPr>
        <w:tc>
          <w:tcPr>
            <w:tcW w:type="dxa" w:w="13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Timeline</w:t>
            </w:r>
          </w:p>
        </w:tc>
        <w:tc>
          <w:tcPr>
            <w:tcW w:type="dxa" w:w="15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Investment</w:t>
            </w:r>
          </w:p>
        </w:tc>
        <w:tc>
          <w:tcPr>
            <w:tcW w:type="dxa" w:w="5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Scope</w:t>
            </w:r>
          </w:p>
        </w:tc>
        <w:tc>
          <w:tcPr>
            <w:tcW w:type="dxa" w:w="14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Outcome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2 Months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INR 4,20,000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CRM architecture design; lead stage creation; lead status mapping; lead disposition framework; lead qualification process; duplicate lead detection; bad lead identification; DNC management; lead assignment rules; follow-up automation; lead source tracking; dashboard creation; reporting framework; sales process mapping; documentation; user training; data migration.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Fully operational CRM ecosystem.</w:t>
            </w:r>
          </w:p>
        </w:tc>
      </w:tr>
    </w:tbl>
    <w:p>
      <w:pPr>
        <w:spacing w:before="0" w:after="120"/>
      </w:pPr>
    </w:p>
    <w:p>
      <w:pPr>
        <w:pStyle w:val="Heading2"/>
        <w:spacing w:before="0" w:after="160"/>
      </w:pPr>
      <w:r>
        <w:rPr>
          <w:rFonts w:ascii="Calibri" w:hAnsi="Calibri"/>
          <w:b w:val="0"/>
          <w:color w:val="191F26"/>
        </w:rPr>
        <w:t>Phase 2: Communication Automation Layer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8D3E0"/>
          <w:left w:val="single" w:sz="6" w:space="0" w:color="C8D3E0"/>
          <w:bottom w:val="single" w:sz="6" w:space="0" w:color="C8D3E0"/>
          <w:right w:val="single" w:sz="6" w:space="0" w:color="C8D3E0"/>
          <w:insideH w:val="single" w:sz="6" w:space="0" w:color="C8D3E0"/>
          <w:insideV w:val="single" w:sz="6" w:space="0" w:color="C8D3E0"/>
        </w:tblBorders>
      </w:tblPr>
      <w:tblGrid>
        <w:gridCol w:w="1300"/>
        <w:gridCol w:w="1500"/>
        <w:gridCol w:w="5160"/>
        <w:gridCol w:w="1400"/>
      </w:tblGrid>
      <w:tr>
        <w:trPr>
          <w:tblHeader w:val="true"/>
        </w:trPr>
        <w:tc>
          <w:tcPr>
            <w:tcW w:type="dxa" w:w="13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Timeline</w:t>
            </w:r>
          </w:p>
        </w:tc>
        <w:tc>
          <w:tcPr>
            <w:tcW w:type="dxa" w:w="15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Investment</w:t>
            </w:r>
          </w:p>
        </w:tc>
        <w:tc>
          <w:tcPr>
            <w:tcW w:type="dxa" w:w="5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Scope</w:t>
            </w:r>
          </w:p>
        </w:tc>
        <w:tc>
          <w:tcPr>
            <w:tcW w:type="dxa" w:w="14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Outcome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1.5 Months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INR 2,50,000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Telephony integration; call logging; call disposition workflows; callback scheduling; escalation workflows; WhatsApp integration; consent management; lead nurturing workflows; reminder automation; follow-up journeys; communication tracking.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Complete communication automation layer.</w:t>
            </w:r>
          </w:p>
        </w:tc>
      </w:tr>
    </w:tbl>
    <w:p>
      <w:pPr>
        <w:spacing w:before="0" w:after="1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5E0EA"/>
          <w:left w:val="single" w:sz="6" w:space="0" w:color="D5E0EA"/>
          <w:bottom w:val="single" w:sz="6" w:space="0" w:color="D5E0EA"/>
          <w:right w:val="single" w:sz="6" w:space="0" w:color="D5E0EA"/>
          <w:insideH w:val="single" w:sz="6" w:space="0" w:color="D5E0EA"/>
          <w:insideV w:val="single" w:sz="6" w:space="0" w:color="D5E0EA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7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>Parallel Planning</w:t>
            </w:r>
          </w:p>
          <w:p>
            <w:pPr>
              <w:spacing w:after="0"/>
            </w:pPr>
            <w:r>
              <w:rPr>
                <w:rFonts w:ascii="Calibri" w:hAnsi="Calibri"/>
                <w:color w:val="191F26"/>
                <w:sz w:val="20"/>
              </w:rPr>
              <w:t>Planning and requirement workshops for Phase 2 will begin during Phase 1 itself. This will help accelerate implementation, reduce handoff delays, and keep the overall program timeline efficient.</w:t>
            </w:r>
          </w:p>
        </w:tc>
      </w:tr>
    </w:tbl>
    <w:p>
      <w:pPr>
        <w:spacing w:before="0" w:after="120"/>
      </w:pPr>
    </w:p>
    <w:p>
      <w:pPr>
        <w:pStyle w:val="Heading2"/>
        <w:spacing w:before="0" w:after="160"/>
      </w:pPr>
      <w:r>
        <w:rPr>
          <w:rFonts w:ascii="Calibri" w:hAnsi="Calibri"/>
          <w:b w:val="0"/>
          <w:color w:val="191F26"/>
        </w:rPr>
        <w:t>Phase 3: AI Transformation Layer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8D3E0"/>
          <w:left w:val="single" w:sz="6" w:space="0" w:color="C8D3E0"/>
          <w:bottom w:val="single" w:sz="6" w:space="0" w:color="C8D3E0"/>
          <w:right w:val="single" w:sz="6" w:space="0" w:color="C8D3E0"/>
          <w:insideH w:val="single" w:sz="6" w:space="0" w:color="C8D3E0"/>
          <w:insideV w:val="single" w:sz="6" w:space="0" w:color="C8D3E0"/>
        </w:tblBorders>
      </w:tblPr>
      <w:tblGrid>
        <w:gridCol w:w="1300"/>
        <w:gridCol w:w="1500"/>
        <w:gridCol w:w="5160"/>
        <w:gridCol w:w="1400"/>
      </w:tblGrid>
      <w:tr>
        <w:trPr>
          <w:tblHeader w:val="true"/>
        </w:trPr>
        <w:tc>
          <w:tcPr>
            <w:tcW w:type="dxa" w:w="13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Timeline</w:t>
            </w:r>
          </w:p>
        </w:tc>
        <w:tc>
          <w:tcPr>
            <w:tcW w:type="dxa" w:w="15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Investment</w:t>
            </w:r>
          </w:p>
        </w:tc>
        <w:tc>
          <w:tcPr>
            <w:tcW w:type="dxa" w:w="5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Scope</w:t>
            </w:r>
          </w:p>
        </w:tc>
        <w:tc>
          <w:tcPr>
            <w:tcW w:type="dxa" w:w="14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Outcome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2 Months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INR 1,00,000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AI lead classification; AI call summaries; AI CRM updates; AI next action recommendations; AI productivity automation; AI reporting enhancements.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Initial practical AI implementation layer using Zoho AI capabilities.</w:t>
            </w:r>
          </w:p>
        </w:tc>
      </w:tr>
    </w:tbl>
    <w:p>
      <w:pPr>
        <w:spacing w:before="0" w:after="120"/>
      </w:pPr>
    </w:p>
    <w:p>
      <w:pPr>
        <w:spacing w:before="0" w:after="160"/>
      </w:pPr>
      <w:r>
        <w:rPr>
          <w:rFonts w:ascii="Calibri" w:hAnsi="Calibri"/>
          <w:b w:val="0"/>
          <w:color w:val="191F26"/>
        </w:rPr>
        <w:t>Phase 3 focuses on practical AI implementation using Zoho AI capabilities. The investment above includes only the initial AI implementation layer. Additional AI agents and custom agentic applications can be introduced after a deeper understanding of business processes, user behavior, data quality, and operating metrics.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8D3E0"/>
          <w:left w:val="single" w:sz="6" w:space="0" w:color="C8D3E0"/>
          <w:bottom w:val="single" w:sz="6" w:space="0" w:color="C8D3E0"/>
          <w:right w:val="single" w:sz="6" w:space="0" w:color="C8D3E0"/>
          <w:insideH w:val="single" w:sz="6" w:space="0" w:color="C8D3E0"/>
          <w:insideV w:val="single" w:sz="6" w:space="0" w:color="C8D3E0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Potential Future AI Agents</w:t>
            </w:r>
          </w:p>
        </w:tc>
        <w:tc>
          <w:tcPr>
            <w:tcW w:type="dxa" w:w="6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Indicative Purpose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AI Sales Agents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Assist sales users with next best actions, follow-up drafting, and opportunity prioritization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AI Lead Qualification Agents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Assess inbound lead quality using defined business rules and contextual signals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AI Lead Nurturing Agents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Recommend or execute personalized engagement journeys under approved governance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AI Operations Agents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Monitor process exceptions, missing updates, delayed tasks, and data quality issues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AI Management Agents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Summarize performance trends and surface management-level insights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AI Revenue Optimization Agents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Identify conversion bottlenecks, source performance trends, and revenue opportunities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AI Voice Agents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Enable future AI voice automation where commercially and operationally viable</w:t>
            </w:r>
          </w:p>
        </w:tc>
      </w:tr>
    </w:tbl>
    <w:p>
      <w:pPr>
        <w:spacing w:before="0" w:after="120"/>
      </w:pPr>
    </w:p>
    <w:p>
      <w:pPr>
        <w:spacing w:before="0" w:after="160"/>
      </w:pPr>
      <w:r>
        <w:rPr>
          <w:rFonts w:ascii="Calibri" w:hAnsi="Calibri"/>
          <w:b w:val="0"/>
          <w:color w:val="191F26"/>
        </w:rPr>
        <w:t>Vancel has already designed and implemented agentic applications and AI-driven business solutions across multiple industries, giving the team practical experience in turning AI concepts into business workflows.</w:t>
      </w:r>
    </w:p>
    <w:p>
      <w:pPr>
        <w:pStyle w:val="Heading1"/>
        <w:spacing w:before="0" w:after="160"/>
      </w:pPr>
      <w:r>
        <w:rPr>
          <w:rFonts w:ascii="Calibri" w:hAnsi="Calibri"/>
          <w:b w:val="0"/>
          <w:color w:val="191F26"/>
        </w:rPr>
        <w:t>Project Timeline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8D3E0"/>
          <w:left w:val="single" w:sz="6" w:space="0" w:color="C8D3E0"/>
          <w:bottom w:val="single" w:sz="6" w:space="0" w:color="C8D3E0"/>
          <w:right w:val="single" w:sz="6" w:space="0" w:color="C8D3E0"/>
          <w:insideH w:val="single" w:sz="6" w:space="0" w:color="C8D3E0"/>
          <w:insideV w:val="single" w:sz="6" w:space="0" w:color="C8D3E0"/>
        </w:tblBorders>
      </w:tblPr>
      <w:tblGrid>
        <w:gridCol w:w="1800"/>
        <w:gridCol w:w="1800"/>
        <w:gridCol w:w="3000"/>
        <w:gridCol w:w="2760"/>
      </w:tblGrid>
      <w:tr>
        <w:trPr>
          <w:tblHeader w:val="true"/>
        </w:trP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Phase</w:t>
            </w:r>
          </w:p>
        </w:tc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Duration</w:t>
            </w:r>
          </w:p>
        </w:tc>
        <w:tc>
          <w:tcPr>
            <w:tcW w:type="dxa" w:w="30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Primary Focus</w:t>
            </w:r>
          </w:p>
        </w:tc>
        <w:tc>
          <w:tcPr>
            <w:tcW w:type="dxa" w:w="27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Notes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Phase 1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2 Months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CRM foundation and reporting</w:t>
            </w:r>
          </w:p>
        </w:tc>
        <w:tc>
          <w:tcPr>
            <w:tcW w:type="dxa" w:w="27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Foundation design, configuration, migration, training, and go-live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Phase 2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1.5 Months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Telephony and WhatsApp automation</w:t>
            </w:r>
          </w:p>
        </w:tc>
        <w:tc>
          <w:tcPr>
            <w:tcW w:type="dxa" w:w="27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Requirement planning starts during Phase 1 to reduce delays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Phase 3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2 Months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Initial AI implementation layer</w:t>
            </w:r>
          </w:p>
        </w:tc>
        <w:tc>
          <w:tcPr>
            <w:tcW w:type="dxa" w:w="27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Practical AI capabilities with roadmap for future agents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Total Program Duration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Approximately 5-6 Months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CRM + communication + AI transformation</w:t>
            </w:r>
          </w:p>
        </w:tc>
        <w:tc>
          <w:tcPr>
            <w:tcW w:type="dxa" w:w="27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Parallel planning activities will be used to reduce overall timelines wherever feasible</w:t>
            </w:r>
          </w:p>
        </w:tc>
      </w:tr>
    </w:tbl>
    <w:p>
      <w:pPr>
        <w:spacing w:before="0" w:after="120"/>
      </w:pPr>
    </w:p>
    <w:p>
      <w:pPr>
        <w:pStyle w:val="Heading1"/>
        <w:spacing w:before="0" w:after="160"/>
      </w:pPr>
      <w:r>
        <w:rPr>
          <w:rFonts w:ascii="Calibri" w:hAnsi="Calibri"/>
          <w:b w:val="0"/>
          <w:color w:val="191F26"/>
        </w:rPr>
        <w:t>Commercial Proposal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8D3E0"/>
          <w:left w:val="single" w:sz="6" w:space="0" w:color="C8D3E0"/>
          <w:bottom w:val="single" w:sz="6" w:space="0" w:color="C8D3E0"/>
          <w:right w:val="single" w:sz="6" w:space="0" w:color="C8D3E0"/>
          <w:insideH w:val="single" w:sz="6" w:space="0" w:color="C8D3E0"/>
          <w:insideV w:val="single" w:sz="6" w:space="0" w:color="C8D3E0"/>
        </w:tblBorders>
      </w:tblPr>
      <w:tblGrid>
        <w:gridCol w:w="2600"/>
        <w:gridCol w:w="1900"/>
        <w:gridCol w:w="4860"/>
      </w:tblGrid>
      <w:tr>
        <w:trPr>
          <w:tblHeader w:val="true"/>
        </w:trPr>
        <w:tc>
          <w:tcPr>
            <w:tcW w:type="dxa" w:w="2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Phase</w:t>
            </w:r>
          </w:p>
        </w:tc>
        <w:tc>
          <w:tcPr>
            <w:tcW w:type="dxa" w:w="19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Investment</w:t>
            </w:r>
          </w:p>
        </w:tc>
        <w:tc>
          <w:tcPr>
            <w:tcW w:type="dxa" w:w="48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Commercial Description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Phase 1: CRM Foundation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INR 4,20,000</w:t>
            </w:r>
          </w:p>
        </w:tc>
        <w:tc>
          <w:tcPr>
            <w:tcW w:type="dxa" w:w="48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Enterprise CRM architecture, lead governance, automation, reporting, migration, documentation, and training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Phase 2: Communication Automation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INR 2,50,000</w:t>
            </w:r>
          </w:p>
        </w:tc>
        <w:tc>
          <w:tcPr>
            <w:tcW w:type="dxa" w:w="48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Telephony, call workflows, WhatsApp automation, consent, reminders, nurturing, and communication tracking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Phase 3: AI Transformation Layer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INR 1,00,000</w:t>
            </w:r>
          </w:p>
        </w:tc>
        <w:tc>
          <w:tcPr>
            <w:tcW w:type="dxa" w:w="48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Initial AI lead classification, summaries, CRM updates, recommendations, and reporting enhancements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Total Investment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INR 7,50,000</w:t>
            </w:r>
          </w:p>
        </w:tc>
        <w:tc>
          <w:tcPr>
            <w:tcW w:type="dxa" w:w="48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Total professional services investment for the proposed phased program</w:t>
            </w:r>
          </w:p>
        </w:tc>
      </w:tr>
    </w:tbl>
    <w:p>
      <w:pPr>
        <w:spacing w:before="0" w:after="120"/>
      </w:pPr>
    </w:p>
    <w:p>
      <w:pPr>
        <w:pStyle w:val="Heading2"/>
        <w:spacing w:before="0" w:after="160"/>
      </w:pPr>
      <w:r>
        <w:rPr>
          <w:rFonts w:ascii="Calibri" w:hAnsi="Calibri"/>
          <w:b w:val="0"/>
          <w:color w:val="191F26"/>
        </w:rPr>
        <w:t>Payment Milestones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8D3E0"/>
          <w:left w:val="single" w:sz="6" w:space="0" w:color="C8D3E0"/>
          <w:bottom w:val="single" w:sz="6" w:space="0" w:color="C8D3E0"/>
          <w:right w:val="single" w:sz="6" w:space="0" w:color="C8D3E0"/>
          <w:insideH w:val="single" w:sz="6" w:space="0" w:color="C8D3E0"/>
          <w:insideV w:val="single" w:sz="6" w:space="0" w:color="C8D3E0"/>
        </w:tblBorders>
      </w:tblPr>
      <w:tblGrid>
        <w:gridCol w:w="2900"/>
        <w:gridCol w:w="1800"/>
        <w:gridCol w:w="4660"/>
      </w:tblGrid>
      <w:tr>
        <w:trPr>
          <w:tblHeader w:val="true"/>
        </w:trPr>
        <w:tc>
          <w:tcPr>
            <w:tcW w:type="dxa" w:w="29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Milestone</w:t>
            </w:r>
          </w:p>
        </w:tc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Payment</w:t>
            </w:r>
          </w:p>
        </w:tc>
        <w:tc>
          <w:tcPr>
            <w:tcW w:type="dxa" w:w="46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Trigger</w:t>
            </w:r>
          </w:p>
        </w:tc>
      </w:tr>
      <w:tr>
        <w:tc>
          <w:tcPr>
            <w:tcW w:type="dxa" w:w="29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Engagement Kickoff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30%</w:t>
            </w:r>
          </w:p>
        </w:tc>
        <w:tc>
          <w:tcPr>
            <w:tcW w:type="dxa" w:w="46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On project confirmation and kickoff</w:t>
            </w:r>
          </w:p>
        </w:tc>
      </w:tr>
      <w:tr>
        <w:tc>
          <w:tcPr>
            <w:tcW w:type="dxa" w:w="29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Phase 1 Configuration Review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25%</w:t>
            </w:r>
          </w:p>
        </w:tc>
        <w:tc>
          <w:tcPr>
            <w:tcW w:type="dxa" w:w="46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On completion of CRM architecture, lead structure, and core workflow review</w:t>
            </w:r>
          </w:p>
        </w:tc>
      </w:tr>
      <w:tr>
        <w:tc>
          <w:tcPr>
            <w:tcW w:type="dxa" w:w="29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Phase 2 Communication Layer Review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25%</w:t>
            </w:r>
          </w:p>
        </w:tc>
        <w:tc>
          <w:tcPr>
            <w:tcW w:type="dxa" w:w="46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On completion of telephony and WhatsApp automation review</w:t>
            </w:r>
          </w:p>
        </w:tc>
      </w:tr>
      <w:tr>
        <w:tc>
          <w:tcPr>
            <w:tcW w:type="dxa" w:w="29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Final Go-live and Handover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20%</w:t>
            </w:r>
          </w:p>
        </w:tc>
        <w:tc>
          <w:tcPr>
            <w:tcW w:type="dxa" w:w="46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On completion of Phase 3, documentation, training, and handover</w:t>
            </w:r>
          </w:p>
        </w:tc>
      </w:tr>
    </w:tbl>
    <w:p>
      <w:pPr>
        <w:spacing w:before="0" w:after="120"/>
      </w:pPr>
    </w:p>
    <w:p>
      <w:pPr>
        <w:pStyle w:val="Heading1"/>
        <w:spacing w:before="0" w:after="160"/>
      </w:pPr>
      <w:r>
        <w:rPr>
          <w:rFonts w:ascii="Calibri" w:hAnsi="Calibri"/>
          <w:b w:val="0"/>
          <w:color w:val="191F26"/>
        </w:rPr>
        <w:t>Software &amp; Platform Costs</w:t>
      </w:r>
    </w:p>
    <w:p>
      <w:pPr>
        <w:spacing w:before="0" w:after="160"/>
      </w:pPr>
      <w:r>
        <w:rPr>
          <w:rFonts w:ascii="Calibri" w:hAnsi="Calibri"/>
          <w:b w:val="0"/>
          <w:color w:val="191F26"/>
        </w:rPr>
        <w:t>Software subscriptions, usage charges, licenses, telephony charges, WhatsApp API fees, AI consumption, SMS charges if applicable, and third-party integration costs are separate from the professional services investment.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8D3E0"/>
          <w:left w:val="single" w:sz="6" w:space="0" w:color="C8D3E0"/>
          <w:bottom w:val="single" w:sz="6" w:space="0" w:color="C8D3E0"/>
          <w:right w:val="single" w:sz="6" w:space="0" w:color="C8D3E0"/>
          <w:insideH w:val="single" w:sz="6" w:space="0" w:color="C8D3E0"/>
          <w:insideV w:val="single" w:sz="6" w:space="0" w:color="C8D3E0"/>
        </w:tblBorders>
      </w:tblPr>
      <w:tblGrid>
        <w:gridCol w:w="2200"/>
        <w:gridCol w:w="2700"/>
        <w:gridCol w:w="4460"/>
      </w:tblGrid>
      <w:tr>
        <w:trPr>
          <w:tblHeader w:val="true"/>
        </w:trPr>
        <w:tc>
          <w:tcPr>
            <w:tcW w:type="dxa" w:w="22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Cost Category</w:t>
            </w:r>
          </w:p>
        </w:tc>
        <w:tc>
          <w:tcPr>
            <w:tcW w:type="dxa" w:w="27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Indicative Cost / Basis</w:t>
            </w:r>
          </w:p>
        </w:tc>
        <w:tc>
          <w:tcPr>
            <w:tcW w:type="dxa" w:w="44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Notes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Zoho One - Monthly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Approx. INR 2,500 per user/month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Exact pricing depends on plan, billing model, taxes, and Zoho commercial terms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Zoho One - Annual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Approx. INR 1,200-1,300 per user/month effective cost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Subject to plan, commitment, and current licensing terms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Telephony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As per Exotel or Tata Tele Business Services pricing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Includes calling usage, numbers, recordings, and platform-specific charges where applicable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WhatsApp API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As per Interakt, Gallabox, Gupshup, and Meta conversation charges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Depends on message category, templates, conversation volume, and provider plan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AI Consumption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As per Zoho AI / OpenAI / provider usage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Depends on model, usage volume, token consumption, and automation design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Third-party Integrations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As applicable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Any connector, API, custom middleware, or platform-specific charges will be confirmed after discovery</w:t>
            </w:r>
          </w:p>
        </w:tc>
      </w:tr>
    </w:tbl>
    <w:p>
      <w:pPr>
        <w:spacing w:before="0" w:after="1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5E0EA"/>
          <w:left w:val="single" w:sz="6" w:space="0" w:color="D5E0EA"/>
          <w:bottom w:val="single" w:sz="6" w:space="0" w:color="D5E0EA"/>
          <w:right w:val="single" w:sz="6" w:space="0" w:color="D5E0EA"/>
          <w:insideH w:val="single" w:sz="6" w:space="0" w:color="D5E0EA"/>
          <w:insideV w:val="single" w:sz="6" w:space="0" w:color="D5E0EA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7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>Licensing Recommendation</w:t>
            </w:r>
          </w:p>
          <w:p>
            <w:pPr>
              <w:spacing w:after="0"/>
            </w:pPr>
            <w:r>
              <w:rPr>
                <w:rFonts w:ascii="Calibri" w:hAnsi="Calibri"/>
                <w:color w:val="191F26"/>
                <w:sz w:val="20"/>
              </w:rPr>
              <w:t>Final licensing recommendation will be provided after discovery, user count confirmation, integration review, and commercial validation.</w:t>
            </w:r>
          </w:p>
        </w:tc>
      </w:tr>
    </w:tbl>
    <w:p>
      <w:pPr>
        <w:spacing w:before="0" w:after="120"/>
      </w:pPr>
    </w:p>
    <w:p>
      <w:pPr>
        <w:pStyle w:val="Heading1"/>
        <w:spacing w:before="0" w:after="160"/>
      </w:pPr>
      <w:r>
        <w:rPr>
          <w:rFonts w:ascii="Calibri" w:hAnsi="Calibri"/>
          <w:b w:val="0"/>
          <w:color w:val="191F26"/>
        </w:rPr>
        <w:t>Data &amp; CRM Structure Required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8D3E0"/>
          <w:left w:val="single" w:sz="6" w:space="0" w:color="C8D3E0"/>
          <w:bottom w:val="single" w:sz="6" w:space="0" w:color="C8D3E0"/>
          <w:right w:val="single" w:sz="6" w:space="0" w:color="C8D3E0"/>
          <w:insideH w:val="single" w:sz="6" w:space="0" w:color="C8D3E0"/>
          <w:insideV w:val="single" w:sz="6" w:space="0" w:color="C8D3E0"/>
        </w:tblBorders>
      </w:tblPr>
      <w:tblGrid>
        <w:gridCol w:w="2300"/>
        <w:gridCol w:w="4200"/>
        <w:gridCol w:w="2860"/>
      </w:tblGrid>
      <w:tr>
        <w:trPr>
          <w:tblHeader w:val="true"/>
        </w:trPr>
        <w:tc>
          <w:tcPr>
            <w:tcW w:type="dxa" w:w="23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Data / Input Required</w:t>
            </w:r>
          </w:p>
        </w:tc>
        <w:tc>
          <w:tcPr>
            <w:tcW w:type="dxa" w:w="42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Details Needed from Client</w:t>
            </w:r>
          </w:p>
        </w:tc>
        <w:tc>
          <w:tcPr>
            <w:tcW w:type="dxa" w:w="28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Purpose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Lead database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Existing lead lists, field structure, source data, status values, and historical conversion information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Migration, deduplication, and lead structure design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Existing CRM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Current CRM access, module structure, users, workflows, reports, and export files if available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Current-state assessment and migration planning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Team structure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Sales, telecalling, operations, management, roles, and reporting lines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User hierarchy, access control, and ownership rules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User hierarchy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Manager-agent mapping, territories, teams, branches, or business units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Assignment, escalation, and visibility design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Lead sources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Campaigns, website forms, channels, partners, referrals, imports, events, and offline sources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Source tracking and ROI reporting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Telecalling process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Call scripts, dispositions, callback rules, escalation paths, and productivity metrics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Telephony workflow design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WhatsApp process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Templates, consent logic, opt-out handling, journey rules, and communication expectations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WhatsApp automation and compliance design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Reporting requirements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Management KPIs, operational dashboards, conversion metrics, team metrics, and review cadence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Dashboard and analytics design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Existing tools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Current software, spreadsheets, forms, telephony, WhatsApp providers, and campaign platforms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Integration feasibility and migration planning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Qualification criteria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Good lead criteria, bad lead criteria, scoring rules, DNC logic, and disqualification reasons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7"/>
              </w:rPr>
              <w:t>Lead scoring, classification, and quality controls</w:t>
            </w:r>
          </w:p>
        </w:tc>
      </w:tr>
    </w:tbl>
    <w:p>
      <w:pPr>
        <w:spacing w:before="0" w:after="120"/>
      </w:pPr>
    </w:p>
    <w:p>
      <w:pPr>
        <w:pStyle w:val="Heading1"/>
        <w:spacing w:before="0" w:after="160"/>
      </w:pPr>
      <w:r>
        <w:rPr>
          <w:rFonts w:ascii="Calibri" w:hAnsi="Calibri"/>
          <w:b w:val="0"/>
          <w:color w:val="191F26"/>
        </w:rPr>
        <w:t>Support &amp; Handover Approach</w:t>
      </w:r>
    </w:p>
    <w:p>
      <w:pPr>
        <w:spacing w:before="0" w:after="160"/>
      </w:pPr>
      <w:r>
        <w:rPr>
          <w:rFonts w:ascii="Calibri" w:hAnsi="Calibri"/>
          <w:b w:val="0"/>
          <w:color w:val="191F26"/>
        </w:rPr>
        <w:t>Vancel will ensure that the client team can operate, administer, and continuously improve the implemented system after go-live. Handover will include process walkthroughs, documentation, admin knowledge transfer, and stabilization support.</w:t>
      </w:r>
    </w:p>
    <w:p>
      <w:pPr>
        <w:pStyle w:val="Heading2"/>
        <w:spacing w:before="0" w:after="160"/>
      </w:pPr>
      <w:r>
        <w:rPr>
          <w:rFonts w:ascii="Calibri" w:hAnsi="Calibri"/>
          <w:b w:val="0"/>
          <w:color w:val="191F26"/>
        </w:rPr>
        <w:t>Monthly Retainer Plans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8D3E0"/>
          <w:left w:val="single" w:sz="6" w:space="0" w:color="C8D3E0"/>
          <w:bottom w:val="single" w:sz="6" w:space="0" w:color="C8D3E0"/>
          <w:right w:val="single" w:sz="6" w:space="0" w:color="C8D3E0"/>
          <w:insideH w:val="single" w:sz="6" w:space="0" w:color="C8D3E0"/>
          <w:insideV w:val="single" w:sz="6" w:space="0" w:color="C8D3E0"/>
        </w:tblBorders>
      </w:tblPr>
      <w:tblGrid>
        <w:gridCol w:w="1900"/>
        <w:gridCol w:w="1600"/>
        <w:gridCol w:w="1900"/>
        <w:gridCol w:w="3960"/>
      </w:tblGrid>
      <w:tr>
        <w:trPr>
          <w:tblHeader w:val="true"/>
        </w:trPr>
        <w:tc>
          <w:tcPr>
            <w:tcW w:type="dxa" w:w="19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Plan</w:t>
            </w:r>
          </w:p>
        </w:tc>
        <w:tc>
          <w:tcPr>
            <w:tcW w:type="dxa" w:w="1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Included Hours</w:t>
            </w:r>
          </w:p>
        </w:tc>
        <w:tc>
          <w:tcPr>
            <w:tcW w:type="dxa" w:w="19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Monthly Retainer</w:t>
            </w:r>
          </w:p>
        </w:tc>
        <w:tc>
          <w:tcPr>
            <w:tcW w:type="dxa" w:w="39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Best Fit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Essential Support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20 Hours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INR 35,000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Light post-go-live support, minor changes, issue handling, and advisory assistance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Growth Support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40 Hours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INR 75,000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Ongoing optimization, dashboards, workflow improvements, integrations, and user support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Transformation Support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60 Hours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INR 1,10,000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High-touch support for continuous automation, AI workflow refinement, analytics, and process improvements</w:t>
            </w:r>
          </w:p>
        </w:tc>
      </w:tr>
    </w:tbl>
    <w:p>
      <w:pPr>
        <w:spacing w:before="0" w:after="120"/>
      </w:pPr>
    </w:p>
    <w:p>
      <w:pPr>
        <w:pStyle w:val="Heading1"/>
        <w:spacing w:before="0" w:after="160"/>
      </w:pPr>
      <w:r>
        <w:rPr>
          <w:rFonts w:ascii="Calibri" w:hAnsi="Calibri"/>
          <w:b w:val="0"/>
          <w:color w:val="191F26"/>
        </w:rPr>
        <w:t>Training &amp; Documentation</w:t>
      </w:r>
    </w:p>
    <w:p>
      <w:pPr>
        <w:spacing w:before="0" w:after="160"/>
      </w:pPr>
      <w:r>
        <w:rPr>
          <w:rFonts w:ascii="Calibri" w:hAnsi="Calibri"/>
          <w:b w:val="0"/>
          <w:color w:val="191F26"/>
        </w:rPr>
        <w:t>The implementation will be supported by structured enablement for users, administrators, and management stakeholders.</w:t>
      </w:r>
    </w:p>
    <w:p>
      <w:pPr>
        <w:pStyle w:val="ListBullet"/>
        <w:spacing w:after="80"/>
      </w:pPr>
      <w:r>
        <w:rPr>
          <w:rFonts w:ascii="Calibri" w:hAnsi="Calibri"/>
          <w:color w:val="191F26"/>
          <w:sz w:val="21"/>
        </w:rPr>
        <w:t>User manuals for CRM usage, lead updates, follow-ups, call dispositions, and WhatsApp workflows</w:t>
      </w:r>
    </w:p>
    <w:p>
      <w:pPr>
        <w:pStyle w:val="ListBullet"/>
        <w:spacing w:after="80"/>
      </w:pPr>
      <w:r>
        <w:rPr>
          <w:rFonts w:ascii="Calibri" w:hAnsi="Calibri"/>
          <w:color w:val="191F26"/>
          <w:sz w:val="21"/>
        </w:rPr>
        <w:t>Admin manuals covering configuration logic, key workflows, user roles, and governance controls</w:t>
      </w:r>
    </w:p>
    <w:p>
      <w:pPr>
        <w:pStyle w:val="ListBullet"/>
        <w:spacing w:after="80"/>
      </w:pPr>
      <w:r>
        <w:rPr>
          <w:rFonts w:ascii="Calibri" w:hAnsi="Calibri"/>
          <w:color w:val="191F26"/>
          <w:sz w:val="21"/>
        </w:rPr>
        <w:t>Workflow documentation for lead stages, qualification rules, automation triggers, and escalation paths</w:t>
      </w:r>
    </w:p>
    <w:p>
      <w:pPr>
        <w:pStyle w:val="ListBullet"/>
        <w:spacing w:after="80"/>
      </w:pPr>
      <w:r>
        <w:rPr>
          <w:rFonts w:ascii="Calibri" w:hAnsi="Calibri"/>
          <w:color w:val="191F26"/>
          <w:sz w:val="21"/>
        </w:rPr>
        <w:t>Recorded training sessions for sales, telecalling, operations, and management users</w:t>
      </w:r>
    </w:p>
    <w:p>
      <w:pPr>
        <w:pStyle w:val="ListBullet"/>
        <w:spacing w:after="80"/>
      </w:pPr>
      <w:r>
        <w:rPr>
          <w:rFonts w:ascii="Calibri" w:hAnsi="Calibri"/>
          <w:color w:val="191F26"/>
          <w:sz w:val="21"/>
        </w:rPr>
        <w:t>Knowledge transfer sessions for client administrators and internal champions</w:t>
      </w:r>
    </w:p>
    <w:p>
      <w:pPr>
        <w:pStyle w:val="ListBullet"/>
        <w:spacing w:after="80"/>
      </w:pPr>
      <w:r>
        <w:rPr>
          <w:rFonts w:ascii="Calibri" w:hAnsi="Calibri"/>
          <w:color w:val="191F26"/>
          <w:sz w:val="21"/>
        </w:rPr>
        <w:t>Go-live support to assist users during transition and early adoption</w:t>
      </w:r>
    </w:p>
    <w:p>
      <w:pPr>
        <w:pStyle w:val="Heading1"/>
        <w:spacing w:before="0" w:after="160"/>
      </w:pPr>
      <w:r>
        <w:rPr>
          <w:rFonts w:ascii="Calibri" w:hAnsi="Calibri"/>
          <w:b w:val="0"/>
          <w:color w:val="191F26"/>
        </w:rPr>
        <w:t>Relevant Experience &amp; Case Studies</w:t>
      </w:r>
    </w:p>
    <w:p>
      <w:pPr>
        <w:spacing w:before="0" w:after="160"/>
      </w:pPr>
      <w:r>
        <w:rPr>
          <w:rFonts w:ascii="Calibri" w:hAnsi="Calibri"/>
          <w:b w:val="0"/>
          <w:color w:val="191F26"/>
        </w:rPr>
        <w:t>Vancel Technologies brings cross-industry experience in CRM transformation, automation, and AI-enabled business systems. The leadership team has delivered 15+ business transformation projects across business process redesign, CRM implementation, workflow automation, and AI-powered productivity systems.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8D3E0"/>
          <w:left w:val="single" w:sz="6" w:space="0" w:color="C8D3E0"/>
          <w:bottom w:val="single" w:sz="6" w:space="0" w:color="C8D3E0"/>
          <w:right w:val="single" w:sz="6" w:space="0" w:color="C8D3E0"/>
          <w:insideH w:val="single" w:sz="6" w:space="0" w:color="C8D3E0"/>
          <w:insideV w:val="single" w:sz="6" w:space="0" w:color="C8D3E0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Industry Experience</w:t>
            </w:r>
          </w:p>
        </w:tc>
        <w:tc>
          <w:tcPr>
            <w:tcW w:type="dxa" w:w="6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Relevant Capabilities Delivered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Staffing &amp; Recruitment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Lead automation, candidate pipeline tracking, calling workflows, CRM dashboards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Travel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Inquiry management, WhatsApp engagement, follow-up automation, conversion reporting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Healthcare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Patient lead workflows, appointment follow-ups, operational dashboards, process automation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Logistics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Operational tracking, customer communication automation, exception reporting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Real Estate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Lead nurturing, telecalling automation, source tracking, sales dashboards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SaaS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CRM transformation, onboarding workflows, lifecycle reporting, automation design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Professional Services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Pipeline management, client communication workflows, management reporting</w:t>
            </w:r>
          </w:p>
        </w:tc>
      </w:tr>
    </w:tbl>
    <w:p>
      <w:pPr>
        <w:spacing w:before="0" w:after="120"/>
      </w:pPr>
    </w:p>
    <w:p>
      <w:pPr>
        <w:spacing w:before="0" w:after="160"/>
      </w:pPr>
      <w:r>
        <w:rPr>
          <w:rFonts w:ascii="Calibri" w:hAnsi="Calibri"/>
          <w:b w:val="0"/>
          <w:color w:val="191F26"/>
        </w:rPr>
        <w:t>Relevant solution themes include lead automation, call automation, WhatsApp automation, lead nurturing, CRM transformation, AI-powered workflows, and agentic applications.</w:t>
      </w:r>
    </w:p>
    <w:p>
      <w:pPr>
        <w:pStyle w:val="Heading1"/>
        <w:spacing w:before="0" w:after="160"/>
      </w:pPr>
      <w:r>
        <w:rPr>
          <w:rFonts w:ascii="Calibri" w:hAnsi="Calibri"/>
          <w:b w:val="0"/>
          <w:color w:val="191F26"/>
        </w:rPr>
        <w:t>Why Vancel Technologies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5E0EA"/>
          <w:left w:val="single" w:sz="6" w:space="0" w:color="D5E0EA"/>
          <w:bottom w:val="single" w:sz="6" w:space="0" w:color="D5E0EA"/>
          <w:right w:val="single" w:sz="6" w:space="0" w:color="D5E0EA"/>
          <w:insideH w:val="single" w:sz="6" w:space="0" w:color="D5E0EA"/>
          <w:insideV w:val="single" w:sz="6" w:space="0" w:color="D5E0EA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>Positioning</w:t>
            </w:r>
          </w:p>
          <w:p>
            <w:pPr>
              <w:spacing w:after="0"/>
            </w:pPr>
            <w:r>
              <w:rPr>
                <w:rFonts w:ascii="Calibri" w:hAnsi="Calibri"/>
                <w:color w:val="191F26"/>
                <w:sz w:val="20"/>
              </w:rPr>
              <w:t>Vancel Technologies is not a software implementation agency. Vancel helps organizations increase revenue, improve lead conversion, reduce manual effort, optimize operations, and build scalable business systems using CRM, AI, automation, ERP systems, and agentic applications.</w:t>
            </w:r>
          </w:p>
        </w:tc>
      </w:tr>
    </w:tbl>
    <w:p>
      <w:pPr>
        <w:spacing w:before="0" w:after="120"/>
      </w:pPr>
    </w:p>
    <w:p>
      <w:pPr>
        <w:spacing w:before="0" w:after="160"/>
      </w:pPr>
      <w:r>
        <w:rPr>
          <w:rFonts w:ascii="Calibri" w:hAnsi="Calibri"/>
          <w:b w:val="0"/>
          <w:color w:val="191F26"/>
        </w:rPr>
        <w:t>Every engagement is approached as a long-term business transformation initiative. Vancel treats clients' businesses as its own and continuously identifies opportunities where technology can create measurable business value.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8D3E0"/>
          <w:left w:val="single" w:sz="6" w:space="0" w:color="C8D3E0"/>
          <w:bottom w:val="single" w:sz="6" w:space="0" w:color="C8D3E0"/>
          <w:right w:val="single" w:sz="6" w:space="0" w:color="C8D3E0"/>
          <w:insideH w:val="single" w:sz="6" w:space="0" w:color="C8D3E0"/>
          <w:insideV w:val="single" w:sz="6" w:space="0" w:color="C8D3E0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Differentiator</w:t>
            </w:r>
          </w:p>
        </w:tc>
        <w:tc>
          <w:tcPr>
            <w:tcW w:type="dxa" w:w="66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Client Value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Consulting-led delivery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Business process, governance, and adoption are designed alongside software configuration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CRM + automation depth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Ability to connect lead operations, calling, WhatsApp, analytics, and workflow automation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AI transformation capability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Practical AI implementation with a roadmap toward agentic applications and future voice automation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Industry-relevant experience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Experience across staffing, travel, healthcare, logistics, real estate, SaaS, and professional services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Long-term partnership mindset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color w:val="191F26"/>
                <w:sz w:val="18"/>
              </w:rPr>
              <w:t>Focus on measurable improvement, continuous optimization, and business outcomes</w:t>
            </w:r>
          </w:p>
        </w:tc>
      </w:tr>
    </w:tbl>
    <w:p>
      <w:pPr>
        <w:spacing w:before="0" w:after="120"/>
      </w:pPr>
    </w:p>
    <w:p>
      <w:pPr>
        <w:pStyle w:val="Heading1"/>
        <w:spacing w:before="0" w:after="160"/>
      </w:pPr>
      <w:r>
        <w:rPr>
          <w:rFonts w:ascii="Calibri" w:hAnsi="Calibri"/>
          <w:b w:val="0"/>
          <w:color w:val="191F26"/>
        </w:rPr>
        <w:t>Assumptions &amp; Dependencies</w:t>
      </w:r>
    </w:p>
    <w:p>
      <w:pPr>
        <w:pStyle w:val="ListBullet"/>
        <w:spacing w:after="80"/>
      </w:pPr>
      <w:r>
        <w:rPr>
          <w:rFonts w:ascii="Calibri" w:hAnsi="Calibri"/>
          <w:color w:val="191F26"/>
          <w:sz w:val="21"/>
        </w:rPr>
        <w:t>Client will provide timely access to Zoho, telephony, WhatsApp provider accounts, existing data, and relevant business users.</w:t>
      </w:r>
    </w:p>
    <w:p>
      <w:pPr>
        <w:pStyle w:val="ListBullet"/>
        <w:spacing w:after="80"/>
      </w:pPr>
      <w:r>
        <w:rPr>
          <w:rFonts w:ascii="Calibri" w:hAnsi="Calibri"/>
          <w:color w:val="191F26"/>
          <w:sz w:val="21"/>
        </w:rPr>
        <w:t>Client will nominate process owners and decision makers for requirement validation, user acceptance, and go-live approvals.</w:t>
      </w:r>
    </w:p>
    <w:p>
      <w:pPr>
        <w:pStyle w:val="ListBullet"/>
        <w:spacing w:after="80"/>
      </w:pPr>
      <w:r>
        <w:rPr>
          <w:rFonts w:ascii="Calibri" w:hAnsi="Calibri"/>
          <w:color w:val="191F26"/>
          <w:sz w:val="21"/>
        </w:rPr>
        <w:t>Data quality, source availability, and current system export formats may affect migration effort and timeline.</w:t>
      </w:r>
    </w:p>
    <w:p>
      <w:pPr>
        <w:pStyle w:val="ListBullet"/>
        <w:spacing w:after="80"/>
      </w:pPr>
      <w:r>
        <w:rPr>
          <w:rFonts w:ascii="Calibri" w:hAnsi="Calibri"/>
          <w:color w:val="191F26"/>
          <w:sz w:val="21"/>
        </w:rPr>
        <w:t>Third-party platform limitations, API availability, provider commercials, and approval timelines may affect delivery sequencing.</w:t>
      </w:r>
    </w:p>
    <w:p>
      <w:pPr>
        <w:pStyle w:val="ListBullet"/>
        <w:spacing w:after="80"/>
      </w:pPr>
      <w:r>
        <w:rPr>
          <w:rFonts w:ascii="Calibri" w:hAnsi="Calibri"/>
          <w:color w:val="191F26"/>
          <w:sz w:val="21"/>
        </w:rPr>
        <w:t>WhatsApp templates, consent management, and communication use cases must comply with applicable provider and regulatory policies.</w:t>
      </w:r>
    </w:p>
    <w:p>
      <w:pPr>
        <w:pStyle w:val="ListBullet"/>
        <w:spacing w:after="80"/>
      </w:pPr>
      <w:r>
        <w:rPr>
          <w:rFonts w:ascii="Calibri" w:hAnsi="Calibri"/>
          <w:color w:val="191F26"/>
          <w:sz w:val="21"/>
        </w:rPr>
        <w:t>AI outputs will be deployed with appropriate human oversight, especially for recommendations, classification, and customer-facing workflows.</w:t>
      </w:r>
    </w:p>
    <w:p>
      <w:pPr>
        <w:pStyle w:val="ListBullet"/>
        <w:spacing w:after="80"/>
      </w:pPr>
      <w:r>
        <w:rPr>
          <w:rFonts w:ascii="Calibri" w:hAnsi="Calibri"/>
          <w:color w:val="191F26"/>
          <w:sz w:val="21"/>
        </w:rPr>
        <w:t>Any scope beyond the listed deliverables, including advanced custom applications or additional AI agents, will be estimated separately.</w:t>
      </w:r>
    </w:p>
    <w:p>
      <w:pPr>
        <w:pStyle w:val="Heading1"/>
        <w:spacing w:before="0" w:after="160"/>
      </w:pPr>
      <w:r>
        <w:rPr>
          <w:rFonts w:ascii="Calibri" w:hAnsi="Calibri"/>
          <w:b w:val="0"/>
          <w:color w:val="191F26"/>
        </w:rPr>
        <w:t>Recommended Next Steps</w:t>
      </w:r>
    </w:p>
    <w:p>
      <w:pPr>
        <w:spacing w:before="0" w:after="160"/>
      </w:pPr>
      <w:r>
        <w:rPr>
          <w:rFonts w:ascii="Calibri" w:hAnsi="Calibri"/>
          <w:b w:val="0"/>
          <w:color w:val="191F26"/>
        </w:rPr>
        <w:t>Vancel recommends the following immediate next steps to move from proposal to execution.</w:t>
      </w:r>
    </w:p>
    <w:p>
      <w:pPr>
        <w:pStyle w:val="ListNumber"/>
        <w:spacing w:after="80"/>
      </w:pPr>
      <w:r>
        <w:rPr>
          <w:rFonts w:ascii="Calibri" w:hAnsi="Calibri"/>
          <w:color w:val="191F26"/>
          <w:sz w:val="21"/>
        </w:rPr>
        <w:t>Confirm commercial approval and engagement start date.</w:t>
      </w:r>
    </w:p>
    <w:p>
      <w:pPr>
        <w:pStyle w:val="ListNumber"/>
        <w:spacing w:after="80"/>
      </w:pPr>
      <w:r>
        <w:rPr>
          <w:rFonts w:ascii="Calibri" w:hAnsi="Calibri"/>
          <w:color w:val="191F26"/>
          <w:sz w:val="21"/>
        </w:rPr>
        <w:t>Conduct discovery workshop with sales, telecalling, operations, and management stakeholders.</w:t>
      </w:r>
    </w:p>
    <w:p>
      <w:pPr>
        <w:pStyle w:val="ListNumber"/>
        <w:spacing w:after="80"/>
      </w:pPr>
      <w:r>
        <w:rPr>
          <w:rFonts w:ascii="Calibri" w:hAnsi="Calibri"/>
          <w:color w:val="191F26"/>
          <w:sz w:val="21"/>
        </w:rPr>
        <w:t>Finalize platform stack, user count, licensing model, and integration priorities.</w:t>
      </w:r>
    </w:p>
    <w:p>
      <w:pPr>
        <w:pStyle w:val="ListNumber"/>
        <w:spacing w:after="80"/>
      </w:pPr>
      <w:r>
        <w:rPr>
          <w:rFonts w:ascii="Calibri" w:hAnsi="Calibri"/>
          <w:color w:val="191F26"/>
          <w:sz w:val="21"/>
        </w:rPr>
        <w:t>Collect data samples, lead source details, CRM exports, call dispositions, and reporting requirements.</w:t>
      </w:r>
    </w:p>
    <w:p>
      <w:pPr>
        <w:pStyle w:val="ListNumber"/>
        <w:spacing w:after="80"/>
      </w:pPr>
      <w:r>
        <w:rPr>
          <w:rFonts w:ascii="Calibri" w:hAnsi="Calibri"/>
          <w:color w:val="191F26"/>
          <w:sz w:val="21"/>
        </w:rPr>
        <w:t>Sign off Phase 1 solution blueprint, implementation plan, and governance cadence.</w:t>
      </w:r>
    </w:p>
    <w:p>
      <w:pPr>
        <w:pStyle w:val="ListNumber"/>
        <w:spacing w:after="80"/>
      </w:pPr>
      <w:r>
        <w:rPr>
          <w:rFonts w:ascii="Calibri" w:hAnsi="Calibri"/>
          <w:color w:val="191F26"/>
          <w:sz w:val="21"/>
        </w:rPr>
        <w:t>Begin Phase 1 CRM foundation implementation while initiating Phase 2 planning workshops in parallel.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5E0EA"/>
          <w:left w:val="single" w:sz="6" w:space="0" w:color="D5E0EA"/>
          <w:bottom w:val="single" w:sz="6" w:space="0" w:color="D5E0EA"/>
          <w:right w:val="single" w:sz="6" w:space="0" w:color="D5E0EA"/>
          <w:insideH w:val="single" w:sz="6" w:space="0" w:color="D5E0EA"/>
          <w:insideV w:val="single" w:sz="6" w:space="0" w:color="D5E0EA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4F7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>Closing Note</w:t>
            </w:r>
          </w:p>
          <w:p>
            <w:pPr>
              <w:spacing w:after="0"/>
            </w:pPr>
            <w:r>
              <w:rPr>
                <w:rFonts w:ascii="Calibri" w:hAnsi="Calibri"/>
                <w:color w:val="191F26"/>
                <w:sz w:val="20"/>
              </w:rPr>
              <w:t>Vancel Technologies is prepared to partner with the client team to build a scalable lead management, communication automation, and AI transformation platform that supports immediate operational needs and long-term growth.</w:t>
            </w:r>
          </w:p>
        </w:tc>
      </w:tr>
    </w:tbl>
    <w:p>
      <w:pPr>
        <w:spacing w:before="0" w:after="120"/>
      </w:pPr>
    </w:p>
    <w:p>
      <w:pPr>
        <w:spacing w:before="0" w:after="0"/>
        <w:jc w:val="center"/>
      </w:pPr>
      <w:r>
        <w:rPr>
          <w:rFonts w:ascii="Calibri" w:hAnsi="Calibri"/>
          <w:b/>
          <w:color w:val="2E74B5"/>
          <w:sz w:val="21"/>
        </w:rPr>
        <w:t>www.vanceltech.com</w:t>
      </w:r>
    </w:p>
    <w:p>
      <w:pPr>
        <w:spacing w:before="0" w:after="0"/>
        <w:jc w:val="center"/>
      </w:pPr>
      <w:r>
        <w:rPr>
          <w:rFonts w:ascii="Calibri" w:hAnsi="Calibri"/>
          <w:b w:val="0"/>
          <w:color w:val="566070"/>
          <w:sz w:val="19"/>
        </w:rPr>
        <w:t>Prepared By: Vetri Murugan, Chief Solutions Architect, Vancel Technologies Pvt. Ltd.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Calibri" w:hAnsi="Calibri"/>
        <w:color w:val="566070"/>
        <w:sz w:val="17"/>
      </w:rPr>
      <w:t>Vancel Technologies Pvt. Ltd. | Confidential Proposal</w:t>
    </w:r>
  </w:p>
  <w:p>
    <w:pPr>
      <w:jc w:val="right"/>
    </w:pPr>
    <w:r>
      <w:rPr>
        <w:rFonts w:ascii="Calibri" w:hAnsi="Calibri"/>
        <w:color w:val="566070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Calibri" w:hAnsi="Calibri"/>
      <w:color w:val="191F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