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Calibri" w:hAnsi="Calibri"/>
          <w:b/>
          <w:color w:val="19232D"/>
        </w:rPr>
        <w:t>Vancel Technologies Pvt. Ltd.</w:t>
      </w:r>
    </w:p>
    <w:p>
      <w:pPr>
        <w:spacing w:before="760" w:after="120"/>
        <w:jc w:val="center"/>
      </w:pPr>
      <w:r>
        <w:rPr>
          <w:rFonts w:ascii="Calibri" w:hAnsi="Calibri"/>
          <w:b/>
          <w:color w:val="000000"/>
          <w:sz w:val="48"/>
        </w:rPr>
        <w:t>Enterprise Travel, Approval Workflow &amp; Expense Management Platform</w:t>
      </w:r>
    </w:p>
    <w:p>
      <w:pPr>
        <w:spacing w:after="360"/>
        <w:jc w:val="center"/>
      </w:pPr>
      <w:r>
        <w:rPr>
          <w:rFonts w:ascii="Calibri" w:hAnsi="Calibri"/>
          <w:b/>
          <w:color w:val="5A6069"/>
          <w:sz w:val="28"/>
        </w:rPr>
        <w:t>Zoho-Native Solution Proposal</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4680"/>
            <w:vAlign w:val="center"/>
            <w:shd w:fill="1F4D78"/>
          </w:tcPr>
          <w:p>
            <w:pPr>
              <w:spacing w:after="0" w:line="259" w:lineRule="auto"/>
            </w:pPr>
            <w:r/>
            <w:r>
              <w:rPr>
                <w:rFonts w:ascii="Calibri" w:hAnsi="Calibri"/>
                <w:b/>
                <w:color w:val="FFFFFF"/>
                <w:sz w:val="18"/>
              </w:rPr>
              <w:t>Prepared For</w:t>
            </w:r>
          </w:p>
        </w:tc>
        <w:tc>
          <w:tcPr>
            <w:tcW w:type="dxa" w:w="4680"/>
            <w:vAlign w:val="center"/>
            <w:shd w:fill="1F4D78"/>
          </w:tcPr>
          <w:p>
            <w:pPr>
              <w:spacing w:after="0" w:line="259" w:lineRule="auto"/>
            </w:pPr>
            <w:r/>
            <w:r>
              <w:rPr>
                <w:rFonts w:ascii="Calibri" w:hAnsi="Calibri"/>
                <w:b/>
                <w:color w:val="FFFFFF"/>
                <w:sz w:val="18"/>
              </w:rPr>
              <w:t>Prepared By</w:t>
            </w:r>
          </w:p>
        </w:tc>
      </w:tr>
      <w:tr>
        <w:tc>
          <w:tcPr>
            <w:tcW w:type="dxa" w:w="4680"/>
            <w:vAlign w:val="center"/>
          </w:tcPr>
          <w:p>
            <w:pPr>
              <w:spacing w:after="0" w:line="259" w:lineRule="auto"/>
            </w:pPr>
            <w:r/>
            <w:r>
              <w:rPr>
                <w:rFonts w:ascii="Calibri" w:hAnsi="Calibri"/>
                <w:b w:val="0"/>
                <w:color w:val="19232D"/>
                <w:sz w:val="18"/>
              </w:rPr>
              <w:t>Kaushik Kumar</w:t>
            </w:r>
          </w:p>
        </w:tc>
        <w:tc>
          <w:tcPr>
            <w:tcW w:type="dxa" w:w="4680"/>
            <w:vAlign w:val="center"/>
          </w:tcPr>
          <w:p>
            <w:pPr>
              <w:spacing w:after="0" w:line="259" w:lineRule="auto"/>
            </w:pPr>
            <w:r/>
            <w:r>
              <w:rPr>
                <w:rFonts w:ascii="Calibri" w:hAnsi="Calibri"/>
                <w:b w:val="0"/>
                <w:color w:val="19232D"/>
                <w:sz w:val="18"/>
              </w:rPr>
              <w:t>Vetri Murugan, Chief Solutions Architect</w:t>
              <w:br/>
              <w:t>Vancel Technologies Pvt. Ltd.</w:t>
            </w:r>
          </w:p>
        </w:tc>
      </w:tr>
      <w:tr>
        <w:tc>
          <w:tcPr>
            <w:tcW w:type="dxa" w:w="4680"/>
            <w:vAlign w:val="center"/>
          </w:tcPr>
          <w:p>
            <w:pPr>
              <w:spacing w:after="0" w:line="259" w:lineRule="auto"/>
            </w:pPr>
            <w:r/>
            <w:r>
              <w:rPr>
                <w:rFonts w:ascii="Calibri" w:hAnsi="Calibri"/>
                <w:b w:val="0"/>
                <w:color w:val="19232D"/>
                <w:sz w:val="18"/>
              </w:rPr>
              <w:t>India-based enterprise client</w:t>
            </w:r>
          </w:p>
        </w:tc>
        <w:tc>
          <w:tcPr>
            <w:tcW w:type="dxa" w:w="4680"/>
            <w:vAlign w:val="center"/>
          </w:tcPr>
          <w:p>
            <w:pPr>
              <w:spacing w:after="0" w:line="259" w:lineRule="auto"/>
            </w:pPr>
            <w:r/>
            <w:r>
              <w:rPr>
                <w:rFonts w:ascii="Calibri" w:hAnsi="Calibri"/>
                <w:b w:val="0"/>
                <w:color w:val="19232D"/>
                <w:sz w:val="18"/>
              </w:rPr>
              <w:t>contact@vanceltech.com | www.vanceltech.com</w:t>
            </w:r>
          </w:p>
        </w:tc>
      </w:tr>
      <w:tr>
        <w:tc>
          <w:tcPr>
            <w:tcW w:type="dxa" w:w="4680"/>
            <w:vAlign w:val="center"/>
          </w:tcPr>
          <w:p>
            <w:pPr>
              <w:spacing w:after="0" w:line="259" w:lineRule="auto"/>
            </w:pPr>
            <w:r/>
            <w:r>
              <w:rPr>
                <w:rFonts w:ascii="Calibri" w:hAnsi="Calibri"/>
                <w:b w:val="0"/>
                <w:color w:val="19232D"/>
                <w:sz w:val="18"/>
              </w:rPr>
              <w:t>Date: May 2026</w:t>
            </w:r>
          </w:p>
        </w:tc>
        <w:tc>
          <w:tcPr>
            <w:tcW w:type="dxa" w:w="4680"/>
            <w:vAlign w:val="center"/>
          </w:tcPr>
          <w:p>
            <w:pPr>
              <w:spacing w:after="0" w:line="259" w:lineRule="auto"/>
            </w:pPr>
            <w:r/>
            <w:r>
              <w:rPr>
                <w:rFonts w:ascii="Calibri" w:hAnsi="Calibri"/>
                <w:b w:val="0"/>
                <w:color w:val="19232D"/>
                <w:sz w:val="18"/>
              </w:rPr>
              <w:t>Version: 2.0 | Confidential</w:t>
            </w:r>
          </w:p>
        </w:tc>
      </w:tr>
    </w:tbl>
    <w:p>
      <w:pPr>
        <w:spacing w:after="60"/>
      </w:pP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F7FAFC"/>
          </w:tcPr>
          <w:p>
            <w:pPr>
              <w:spacing w:after="60"/>
            </w:pPr>
            <w:r/>
            <w:r>
              <w:rPr>
                <w:rFonts w:ascii="Calibri" w:hAnsi="Calibri"/>
                <w:b/>
                <w:color w:val="1F4D78"/>
                <w:sz w:val="21"/>
              </w:rPr>
              <w:t>Proposal Purpose</w:t>
            </w:r>
          </w:p>
          <w:p>
            <w:pPr>
              <w:spacing w:after="0" w:line="283" w:lineRule="auto"/>
            </w:pPr>
            <w:r>
              <w:rPr>
                <w:rFonts w:ascii="Calibri" w:hAnsi="Calibri"/>
                <w:color w:val="19232D"/>
                <w:sz w:val="19"/>
              </w:rPr>
              <w:t>This document presents a professional services proposal for designing, implementing, integrating, and deploying a Zoho-native enterprise Travel Request, Approval Workflow, and Expense Management Platform for an organization of up to 10,000 employees.</w:t>
            </w:r>
          </w:p>
        </w:tc>
      </w:tr>
    </w:tbl>
    <w:p>
      <w:pPr>
        <w:spacing w:after="40"/>
      </w:pPr>
    </w:p>
    <w:p>
      <w:pPr>
        <w:spacing w:before="0" w:after="0" w:line="300" w:lineRule="auto"/>
      </w:pPr>
      <w:r>
        <w:rPr>
          <w:rFonts w:ascii="Calibri" w:hAnsi="Calibri"/>
          <w:color w:val="19232D"/>
        </w:rPr>
        <w:t>Important: All phone numbers from the earlier draft have been removed. Vancel contact details are limited to official email and website references in this version.</w:t>
      </w:r>
    </w:p>
    <w:p>
      <w:r>
        <w:br w:type="page"/>
      </w:r>
    </w:p>
    <w:p>
      <w:pPr>
        <w:pStyle w:val="Heading1"/>
        <w:keepNext/>
      </w:pPr>
      <w:r>
        <w:t>Contents</w:t>
      </w:r>
    </w:p>
    <w:p>
      <w:pPr>
        <w:pStyle w:val="ListBullet"/>
        <w:spacing w:after="80" w:line="290" w:lineRule="auto"/>
      </w:pPr>
      <w:r>
        <w:rPr>
          <w:rFonts w:ascii="Calibri" w:hAnsi="Calibri"/>
          <w:color w:val="19232D"/>
          <w:sz w:val="21"/>
        </w:rPr>
        <w:t>Executive Summary</w:t>
      </w:r>
    </w:p>
    <w:p>
      <w:pPr>
        <w:pStyle w:val="ListBullet"/>
        <w:spacing w:after="80" w:line="290" w:lineRule="auto"/>
      </w:pPr>
      <w:r>
        <w:rPr>
          <w:rFonts w:ascii="Calibri" w:hAnsi="Calibri"/>
          <w:color w:val="19232D"/>
          <w:sz w:val="21"/>
        </w:rPr>
        <w:t>Understanding of Client Requirements</w:t>
      </w:r>
    </w:p>
    <w:p>
      <w:pPr>
        <w:pStyle w:val="ListBullet"/>
        <w:spacing w:after="80" w:line="290" w:lineRule="auto"/>
      </w:pPr>
      <w:r>
        <w:rPr>
          <w:rFonts w:ascii="Calibri" w:hAnsi="Calibri"/>
          <w:color w:val="19232D"/>
          <w:sz w:val="21"/>
        </w:rPr>
        <w:t>Recommended Zoho-Native Solution</w:t>
      </w:r>
    </w:p>
    <w:p>
      <w:pPr>
        <w:pStyle w:val="ListBullet"/>
        <w:spacing w:after="80" w:line="290" w:lineRule="auto"/>
      </w:pPr>
      <w:r>
        <w:rPr>
          <w:rFonts w:ascii="Calibri" w:hAnsi="Calibri"/>
          <w:color w:val="19232D"/>
          <w:sz w:val="21"/>
        </w:rPr>
        <w:t>Scope of Services by Vancel</w:t>
      </w:r>
    </w:p>
    <w:p>
      <w:pPr>
        <w:pStyle w:val="ListBullet"/>
        <w:spacing w:after="80" w:line="290" w:lineRule="auto"/>
      </w:pPr>
      <w:r>
        <w:rPr>
          <w:rFonts w:ascii="Calibri" w:hAnsi="Calibri"/>
          <w:color w:val="19232D"/>
          <w:sz w:val="21"/>
        </w:rPr>
        <w:t>Information to be Provided by Vancel</w:t>
      </w:r>
    </w:p>
    <w:p>
      <w:pPr>
        <w:pStyle w:val="ListBullet"/>
        <w:spacing w:after="80" w:line="290" w:lineRule="auto"/>
      </w:pPr>
      <w:r>
        <w:rPr>
          <w:rFonts w:ascii="Calibri" w:hAnsi="Calibri"/>
          <w:color w:val="19232D"/>
          <w:sz w:val="21"/>
        </w:rPr>
        <w:t>Client Inputs Required</w:t>
      </w:r>
    </w:p>
    <w:p>
      <w:pPr>
        <w:pStyle w:val="ListBullet"/>
        <w:spacing w:after="80" w:line="290" w:lineRule="auto"/>
      </w:pPr>
      <w:r>
        <w:rPr>
          <w:rFonts w:ascii="Calibri" w:hAnsi="Calibri"/>
          <w:color w:val="19232D"/>
          <w:sz w:val="21"/>
        </w:rPr>
        <w:t>Implementation Methodology and Timeline</w:t>
      </w:r>
    </w:p>
    <w:p>
      <w:pPr>
        <w:pStyle w:val="ListBullet"/>
        <w:spacing w:after="80" w:line="290" w:lineRule="auto"/>
      </w:pPr>
      <w:r>
        <w:rPr>
          <w:rFonts w:ascii="Calibri" w:hAnsi="Calibri"/>
          <w:color w:val="19232D"/>
          <w:sz w:val="21"/>
        </w:rPr>
        <w:t>Commercial Proposal</w:t>
      </w:r>
    </w:p>
    <w:p>
      <w:pPr>
        <w:pStyle w:val="ListBullet"/>
        <w:spacing w:after="80" w:line="290" w:lineRule="auto"/>
      </w:pPr>
      <w:r>
        <w:rPr>
          <w:rFonts w:ascii="Calibri" w:hAnsi="Calibri"/>
          <w:color w:val="19232D"/>
          <w:sz w:val="21"/>
        </w:rPr>
        <w:t>Technical and Security Standards</w:t>
      </w:r>
    </w:p>
    <w:p>
      <w:pPr>
        <w:pStyle w:val="ListBullet"/>
        <w:spacing w:after="80" w:line="290" w:lineRule="auto"/>
      </w:pPr>
      <w:r>
        <w:rPr>
          <w:rFonts w:ascii="Calibri" w:hAnsi="Calibri"/>
          <w:color w:val="19232D"/>
          <w:sz w:val="21"/>
        </w:rPr>
        <w:t>Assumptions, Exclusions, and Next Steps</w:t>
      </w:r>
    </w:p>
    <w:p>
      <w:r>
        <w:br w:type="page"/>
      </w:r>
    </w:p>
    <w:p>
      <w:pPr>
        <w:pStyle w:val="Heading1"/>
        <w:keepNext/>
      </w:pPr>
      <w:r>
        <w:t>1. Executive Summary</w:t>
      </w:r>
    </w:p>
    <w:p>
      <w:pPr>
        <w:spacing w:before="0" w:after="160" w:line="300" w:lineRule="auto"/>
      </w:pPr>
      <w:r>
        <w:rPr>
          <w:rFonts w:ascii="Calibri" w:hAnsi="Calibri"/>
          <w:color w:val="19232D"/>
        </w:rPr>
        <w:t>Vancel Technologies proposes to design and implement an enterprise-grade Travel Request, Approval Workflow, and Expense Management Platform using a Zoho-native hybrid architecture. The solution is intended to digitize the complete corporate travel lifecycle, from travel request initiation to approvals, ticketing coordination, expense submission, receipt processing, reimbursement tracking, and executive reporting.</w:t>
      </w: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F4F6F9"/>
          </w:tcPr>
          <w:p>
            <w:pPr>
              <w:spacing w:after="60"/>
            </w:pPr>
            <w:r/>
            <w:r>
              <w:rPr>
                <w:rFonts w:ascii="Calibri" w:hAnsi="Calibri"/>
                <w:b/>
                <w:color w:val="1F4D78"/>
                <w:sz w:val="21"/>
              </w:rPr>
              <w:t>Commercial Summary</w:t>
            </w:r>
          </w:p>
          <w:p>
            <w:pPr>
              <w:spacing w:after="0" w:line="283" w:lineRule="auto"/>
            </w:pPr>
            <w:r>
              <w:rPr>
                <w:rFonts w:ascii="Calibri" w:hAnsi="Calibri"/>
                <w:color w:val="19232D"/>
                <w:sz w:val="19"/>
              </w:rPr>
              <w:t>One-time professional services fee: INR 18,00,000 plus applicable GST. Estimated annual Zoho licensing: INR 12,44,000 to INR 15,94,000, subject to final user counts and Zoho enterprise pricing confirmation.</w:t>
            </w:r>
          </w:p>
        </w:tc>
      </w:tr>
    </w:tbl>
    <w:p>
      <w:pPr>
        <w:spacing w:after="40"/>
      </w:pPr>
    </w:p>
    <w:p>
      <w:pPr>
        <w:spacing w:before="0" w:after="160" w:line="300" w:lineRule="auto"/>
      </w:pPr>
      <w:r>
        <w:rPr>
          <w:rFonts w:ascii="Calibri" w:hAnsi="Calibri"/>
          <w:color w:val="19232D"/>
        </w:rPr>
        <w:t>The architecture is designed to avoid blanket licensing for all employees. Only core operations users require Zoho Creator access, while the broader employee population uses Zoho Expense on an active-user basis where billing depends on actual monthly expense submitters.</w:t>
      </w:r>
    </w:p>
    <w:p>
      <w:pPr>
        <w:pStyle w:val="Heading1"/>
        <w:keepNext/>
      </w:pPr>
      <w:r>
        <w:t>2. Understanding of Client Requirements</w:t>
      </w:r>
    </w:p>
    <w:p>
      <w:pPr>
        <w:spacing w:before="0" w:after="160" w:line="300" w:lineRule="auto"/>
      </w:pPr>
      <w:r>
        <w:rPr>
          <w:rFonts w:ascii="Calibri" w:hAnsi="Calibri"/>
          <w:color w:val="19232D"/>
        </w:rPr>
        <w:t>Based on the initial requirement context, the client requires a unified digital platform covering four operating domains: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3024"/>
            <w:vAlign w:val="center"/>
            <w:shd w:fill="F4F6F9"/>
          </w:tcPr>
          <w:p>
            <w:pPr>
              <w:spacing w:after="0" w:line="259" w:lineRule="auto"/>
            </w:pPr>
            <w:r/>
            <w:r>
              <w:rPr>
                <w:rFonts w:ascii="Calibri" w:hAnsi="Calibri"/>
                <w:b/>
                <w:color w:val="1F4D78"/>
                <w:sz w:val="17"/>
              </w:rPr>
              <w:t>Requirement Area</w:t>
            </w:r>
          </w:p>
        </w:tc>
        <w:tc>
          <w:tcPr>
            <w:tcW w:type="dxa" w:w="6336"/>
            <w:vAlign w:val="center"/>
            <w:shd w:fill="F4F6F9"/>
          </w:tcPr>
          <w:p>
            <w:pPr>
              <w:spacing w:after="0" w:line="259" w:lineRule="auto"/>
            </w:pPr>
            <w:r/>
            <w:r>
              <w:rPr>
                <w:rFonts w:ascii="Calibri" w:hAnsi="Calibri"/>
                <w:b/>
                <w:color w:val="1F4D78"/>
                <w:sz w:val="17"/>
              </w:rPr>
              <w:t>Business Need</w:t>
            </w:r>
          </w:p>
        </w:tc>
      </w:tr>
      <w:tr>
        <w:tc>
          <w:tcPr>
            <w:tcW w:type="dxa" w:w="4680"/>
            <w:vAlign w:val="center"/>
          </w:tcPr>
          <w:p>
            <w:pPr>
              <w:spacing w:after="0" w:line="259" w:lineRule="auto"/>
            </w:pPr>
            <w:r/>
            <w:r>
              <w:rPr>
                <w:rFonts w:ascii="Calibri" w:hAnsi="Calibri"/>
                <w:b w:val="0"/>
                <w:color w:val="19232D"/>
                <w:sz w:val="17"/>
              </w:rPr>
              <w:t>Air Ticketing Management</w:t>
            </w:r>
          </w:p>
        </w:tc>
        <w:tc>
          <w:tcPr>
            <w:tcW w:type="dxa" w:w="4680"/>
            <w:vAlign w:val="center"/>
          </w:tcPr>
          <w:p>
            <w:pPr>
              <w:spacing w:after="0" w:line="259" w:lineRule="auto"/>
            </w:pPr>
            <w:r/>
            <w:r>
              <w:rPr>
                <w:rFonts w:ascii="Calibri" w:hAnsi="Calibri"/>
                <w:b w:val="0"/>
                <w:color w:val="19232D"/>
                <w:sz w:val="17"/>
              </w:rPr>
              <w:t>Domestic and international travel requests; one-way, round-trip, and multi-city itineraries; traveler profiles; vendor coordination; PNR and e-ticket tracking; cancellation and rescheduling workflows.</w:t>
            </w:r>
          </w:p>
        </w:tc>
      </w:tr>
      <w:tr>
        <w:tc>
          <w:tcPr>
            <w:tcW w:type="dxa" w:w="4680"/>
            <w:vAlign w:val="center"/>
          </w:tcPr>
          <w:p>
            <w:pPr>
              <w:spacing w:after="0" w:line="259" w:lineRule="auto"/>
            </w:pPr>
            <w:r/>
            <w:r>
              <w:rPr>
                <w:rFonts w:ascii="Calibri" w:hAnsi="Calibri"/>
                <w:b w:val="0"/>
                <w:color w:val="19232D"/>
                <w:sz w:val="17"/>
              </w:rPr>
              <w:t>Approval Workflow Management</w:t>
            </w:r>
          </w:p>
        </w:tc>
        <w:tc>
          <w:tcPr>
            <w:tcW w:type="dxa" w:w="4680"/>
            <w:vAlign w:val="center"/>
          </w:tcPr>
          <w:p>
            <w:pPr>
              <w:spacing w:after="0" w:line="259" w:lineRule="auto"/>
            </w:pPr>
            <w:r/>
            <w:r>
              <w:rPr>
                <w:rFonts w:ascii="Calibri" w:hAnsi="Calibri"/>
                <w:b w:val="0"/>
                <w:color w:val="19232D"/>
                <w:sz w:val="17"/>
              </w:rPr>
              <w:t>Configurable multi-level approvals by department, amount, destination type, employee grade, delegation rules, escalations, mobile approvals, and complete audit trail.</w:t>
            </w:r>
          </w:p>
        </w:tc>
      </w:tr>
      <w:tr>
        <w:tc>
          <w:tcPr>
            <w:tcW w:type="dxa" w:w="4680"/>
            <w:vAlign w:val="center"/>
          </w:tcPr>
          <w:p>
            <w:pPr>
              <w:spacing w:after="0" w:line="259" w:lineRule="auto"/>
            </w:pPr>
            <w:r/>
            <w:r>
              <w:rPr>
                <w:rFonts w:ascii="Calibri" w:hAnsi="Calibri"/>
                <w:b w:val="0"/>
                <w:color w:val="19232D"/>
                <w:sz w:val="17"/>
              </w:rPr>
              <w:t>Expense Management</w:t>
            </w:r>
          </w:p>
        </w:tc>
        <w:tc>
          <w:tcPr>
            <w:tcW w:type="dxa" w:w="4680"/>
            <w:vAlign w:val="center"/>
          </w:tcPr>
          <w:p>
            <w:pPr>
              <w:spacing w:after="0" w:line="259" w:lineRule="auto"/>
            </w:pPr>
            <w:r/>
            <w:r>
              <w:rPr>
                <w:rFonts w:ascii="Calibri" w:hAnsi="Calibri"/>
                <w:b w:val="0"/>
                <w:color w:val="19232D"/>
                <w:sz w:val="17"/>
              </w:rPr>
              <w:t>Expense submission, OCR-based receipt capture, per diem rules, multi-currency, policy validation, GST/tax support, advances, settlements, duplicate detection, and reimbursement status tracking.</w:t>
            </w:r>
          </w:p>
        </w:tc>
      </w:tr>
      <w:tr>
        <w:tc>
          <w:tcPr>
            <w:tcW w:type="dxa" w:w="4680"/>
            <w:vAlign w:val="center"/>
          </w:tcPr>
          <w:p>
            <w:pPr>
              <w:spacing w:after="0" w:line="259" w:lineRule="auto"/>
            </w:pPr>
            <w:r/>
            <w:r>
              <w:rPr>
                <w:rFonts w:ascii="Calibri" w:hAnsi="Calibri"/>
                <w:b w:val="0"/>
                <w:color w:val="19232D"/>
                <w:sz w:val="17"/>
              </w:rPr>
              <w:t>Reporting and Integration</w:t>
            </w:r>
          </w:p>
        </w:tc>
        <w:tc>
          <w:tcPr>
            <w:tcW w:type="dxa" w:w="4680"/>
            <w:vAlign w:val="center"/>
          </w:tcPr>
          <w:p>
            <w:pPr>
              <w:spacing w:after="0" w:line="259" w:lineRule="auto"/>
            </w:pPr>
            <w:r/>
            <w:r>
              <w:rPr>
                <w:rFonts w:ascii="Calibri" w:hAnsi="Calibri"/>
                <w:b w:val="0"/>
                <w:color w:val="19232D"/>
                <w:sz w:val="17"/>
              </w:rPr>
              <w:t>MIS dashboards, travel spend analytics, approval aging, vendor-wise spend, budget versus actual tracking, HRMS/AD sync, Finance/ERP integration, email notifications, and optional travel API connectivity.</w:t>
            </w:r>
          </w:p>
        </w:tc>
      </w:tr>
    </w:tbl>
    <w:p>
      <w:pPr>
        <w:spacing w:after="60"/>
      </w:pPr>
    </w:p>
    <w:p>
      <w:pPr>
        <w:pStyle w:val="Heading1"/>
        <w:keepNext/>
      </w:pPr>
      <w:r>
        <w:t>3. Recommended Zoho-Native Solution</w:t>
      </w:r>
    </w:p>
    <w:p>
      <w:pPr>
        <w:spacing w:before="0" w:after="160" w:line="300" w:lineRule="auto"/>
      </w:pPr>
      <w:r>
        <w:rPr>
          <w:rFonts w:ascii="Calibri" w:hAnsi="Calibri"/>
          <w:color w:val="19232D"/>
        </w:rPr>
        <w:t>The recommended architecture uses Zoho Creator for the custom travel desk application, Zoho Expense for claim and reimbursement workflows, Zoho Analytics for MIS reporting, and Zoho Flow as the integration and automation layer. This approach keeps the platform SaaS-hosted, scalable, and faster to deploy than a fully custom application.</w:t>
      </w:r>
    </w:p>
    <w:p>
      <w:pPr>
        <w:pStyle w:val="Heading2"/>
        <w:keepNext/>
      </w:pPr>
      <w:r>
        <w:t>3.1 Core Module Stack</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3120"/>
        <w:gridCol w:w="3120"/>
        <w:gridCol w:w="3120"/>
      </w:tblGrid>
      <w:tr>
        <w:tc>
          <w:tcPr>
            <w:tcW w:type="dxa" w:w="1944"/>
            <w:vAlign w:val="center"/>
            <w:shd w:fill="1F4D78"/>
          </w:tcPr>
          <w:p>
            <w:pPr>
              <w:spacing w:after="0" w:line="259" w:lineRule="auto"/>
            </w:pPr>
            <w:r/>
            <w:r>
              <w:rPr>
                <w:rFonts w:ascii="Calibri" w:hAnsi="Calibri"/>
                <w:b/>
                <w:color w:val="FFFFFF"/>
                <w:sz w:val="16"/>
              </w:rPr>
              <w:t>Zoho Module</w:t>
            </w:r>
          </w:p>
        </w:tc>
        <w:tc>
          <w:tcPr>
            <w:tcW w:type="dxa" w:w="2951"/>
            <w:vAlign w:val="center"/>
            <w:shd w:fill="1F4D78"/>
          </w:tcPr>
          <w:p>
            <w:pPr>
              <w:spacing w:after="0" w:line="259" w:lineRule="auto"/>
            </w:pPr>
            <w:r/>
            <w:r>
              <w:rPr>
                <w:rFonts w:ascii="Calibri" w:hAnsi="Calibri"/>
                <w:b/>
                <w:color w:val="FFFFFF"/>
                <w:sz w:val="16"/>
              </w:rPr>
              <w:t>Role</w:t>
            </w:r>
          </w:p>
        </w:tc>
        <w:tc>
          <w:tcPr>
            <w:tcW w:type="dxa" w:w="4464"/>
            <w:vAlign w:val="center"/>
            <w:shd w:fill="1F4D78"/>
          </w:tcPr>
          <w:p>
            <w:pPr>
              <w:spacing w:after="0" w:line="259" w:lineRule="auto"/>
            </w:pPr>
            <w:r/>
            <w:r>
              <w:rPr>
                <w:rFonts w:ascii="Calibri" w:hAnsi="Calibri"/>
                <w:b/>
                <w:color w:val="FFFFFF"/>
                <w:sz w:val="16"/>
              </w:rPr>
              <w:t>Key Capabilities</w:t>
            </w:r>
          </w:p>
        </w:tc>
      </w:tr>
      <w:tr>
        <w:tc>
          <w:tcPr>
            <w:tcW w:type="dxa" w:w="3120"/>
            <w:vAlign w:val="center"/>
          </w:tcPr>
          <w:p>
            <w:pPr>
              <w:spacing w:after="0" w:line="259" w:lineRule="auto"/>
            </w:pPr>
            <w:r/>
            <w:r>
              <w:rPr>
                <w:rFonts w:ascii="Calibri" w:hAnsi="Calibri"/>
                <w:b w:val="0"/>
                <w:color w:val="19232D"/>
                <w:sz w:val="16"/>
              </w:rPr>
              <w:t>Zoho Creator</w:t>
            </w:r>
          </w:p>
        </w:tc>
        <w:tc>
          <w:tcPr>
            <w:tcW w:type="dxa" w:w="3120"/>
            <w:vAlign w:val="center"/>
          </w:tcPr>
          <w:p>
            <w:pPr>
              <w:spacing w:after="0" w:line="259" w:lineRule="auto"/>
            </w:pPr>
            <w:r/>
            <w:r>
              <w:rPr>
                <w:rFonts w:ascii="Calibri" w:hAnsi="Calibri"/>
                <w:b w:val="0"/>
                <w:color w:val="19232D"/>
                <w:sz w:val="16"/>
              </w:rPr>
              <w:t>Custom Air Ticketing Module and Travel Desk portal</w:t>
            </w:r>
          </w:p>
        </w:tc>
        <w:tc>
          <w:tcPr>
            <w:tcW w:type="dxa" w:w="3120"/>
            <w:vAlign w:val="center"/>
          </w:tcPr>
          <w:p>
            <w:pPr>
              <w:spacing w:after="0" w:line="259" w:lineRule="auto"/>
            </w:pPr>
            <w:r/>
            <w:r>
              <w:rPr>
                <w:rFonts w:ascii="Calibri" w:hAnsi="Calibri"/>
                <w:b w:val="0"/>
                <w:color w:val="19232D"/>
                <w:sz w:val="16"/>
              </w:rPr>
              <w:t>Travel request forms, PNR management, vendor mapping, e-ticket storage, reschedule/cancellation workflows, admin dashboard.</w:t>
            </w:r>
          </w:p>
        </w:tc>
      </w:tr>
      <w:tr>
        <w:tc>
          <w:tcPr>
            <w:tcW w:type="dxa" w:w="3120"/>
            <w:vAlign w:val="center"/>
          </w:tcPr>
          <w:p>
            <w:pPr>
              <w:spacing w:after="0" w:line="259" w:lineRule="auto"/>
            </w:pPr>
            <w:r/>
            <w:r>
              <w:rPr>
                <w:rFonts w:ascii="Calibri" w:hAnsi="Calibri"/>
                <w:b w:val="0"/>
                <w:color w:val="19232D"/>
                <w:sz w:val="16"/>
              </w:rPr>
              <w:t>Zoho Expense</w:t>
            </w:r>
          </w:p>
        </w:tc>
        <w:tc>
          <w:tcPr>
            <w:tcW w:type="dxa" w:w="3120"/>
            <w:vAlign w:val="center"/>
          </w:tcPr>
          <w:p>
            <w:pPr>
              <w:spacing w:after="0" w:line="259" w:lineRule="auto"/>
            </w:pPr>
            <w:r/>
            <w:r>
              <w:rPr>
                <w:rFonts w:ascii="Calibri" w:hAnsi="Calibri"/>
                <w:b w:val="0"/>
                <w:color w:val="19232D"/>
                <w:sz w:val="16"/>
              </w:rPr>
              <w:t>Expense submission and reimbursement management</w:t>
            </w:r>
          </w:p>
        </w:tc>
        <w:tc>
          <w:tcPr>
            <w:tcW w:type="dxa" w:w="3120"/>
            <w:vAlign w:val="center"/>
          </w:tcPr>
          <w:p>
            <w:pPr>
              <w:spacing w:after="0" w:line="259" w:lineRule="auto"/>
            </w:pPr>
            <w:r/>
            <w:r>
              <w:rPr>
                <w:rFonts w:ascii="Calibri" w:hAnsi="Calibri"/>
                <w:b w:val="0"/>
                <w:color w:val="19232D"/>
                <w:sz w:val="16"/>
              </w:rPr>
              <w:t>OCR receipt scanning, per diem, multi-currency, GST/tax rules, policy enforcement, mobile app, duplicate detection.</w:t>
            </w:r>
          </w:p>
        </w:tc>
      </w:tr>
      <w:tr>
        <w:tc>
          <w:tcPr>
            <w:tcW w:type="dxa" w:w="3120"/>
            <w:vAlign w:val="center"/>
          </w:tcPr>
          <w:p>
            <w:pPr>
              <w:spacing w:after="0" w:line="259" w:lineRule="auto"/>
            </w:pPr>
            <w:r/>
            <w:r>
              <w:rPr>
                <w:rFonts w:ascii="Calibri" w:hAnsi="Calibri"/>
                <w:b w:val="0"/>
                <w:color w:val="19232D"/>
                <w:sz w:val="16"/>
              </w:rPr>
              <w:t>Zoho Analytics</w:t>
            </w:r>
          </w:p>
        </w:tc>
        <w:tc>
          <w:tcPr>
            <w:tcW w:type="dxa" w:w="3120"/>
            <w:vAlign w:val="center"/>
          </w:tcPr>
          <w:p>
            <w:pPr>
              <w:spacing w:after="0" w:line="259" w:lineRule="auto"/>
            </w:pPr>
            <w:r/>
            <w:r>
              <w:rPr>
                <w:rFonts w:ascii="Calibri" w:hAnsi="Calibri"/>
                <w:b w:val="0"/>
                <w:color w:val="19232D"/>
                <w:sz w:val="16"/>
              </w:rPr>
              <w:t>MIS dashboards and executive reporting</w:t>
            </w:r>
          </w:p>
        </w:tc>
        <w:tc>
          <w:tcPr>
            <w:tcW w:type="dxa" w:w="3120"/>
            <w:vAlign w:val="center"/>
          </w:tcPr>
          <w:p>
            <w:pPr>
              <w:spacing w:after="0" w:line="259" w:lineRule="auto"/>
            </w:pPr>
            <w:r/>
            <w:r>
              <w:rPr>
                <w:rFonts w:ascii="Calibri" w:hAnsi="Calibri"/>
                <w:b w:val="0"/>
                <w:color w:val="19232D"/>
                <w:sz w:val="16"/>
              </w:rPr>
              <w:t>Travel spend, approval aging, vendor-wise reports, budget versus actual, custom report builder.</w:t>
            </w:r>
          </w:p>
        </w:tc>
      </w:tr>
      <w:tr>
        <w:tc>
          <w:tcPr>
            <w:tcW w:type="dxa" w:w="3120"/>
            <w:vAlign w:val="center"/>
          </w:tcPr>
          <w:p>
            <w:pPr>
              <w:spacing w:after="0" w:line="259" w:lineRule="auto"/>
            </w:pPr>
            <w:r/>
            <w:r>
              <w:rPr>
                <w:rFonts w:ascii="Calibri" w:hAnsi="Calibri"/>
                <w:b w:val="0"/>
                <w:color w:val="19232D"/>
                <w:sz w:val="16"/>
              </w:rPr>
              <w:t>Zoho Flow</w:t>
            </w:r>
          </w:p>
        </w:tc>
        <w:tc>
          <w:tcPr>
            <w:tcW w:type="dxa" w:w="3120"/>
            <w:vAlign w:val="center"/>
          </w:tcPr>
          <w:p>
            <w:pPr>
              <w:spacing w:after="0" w:line="259" w:lineRule="auto"/>
            </w:pPr>
            <w:r/>
            <w:r>
              <w:rPr>
                <w:rFonts w:ascii="Calibri" w:hAnsi="Calibri"/>
                <w:b w:val="0"/>
                <w:color w:val="19232D"/>
                <w:sz w:val="16"/>
              </w:rPr>
              <w:t>Integration and automation orchestration</w:t>
            </w:r>
          </w:p>
        </w:tc>
        <w:tc>
          <w:tcPr>
            <w:tcW w:type="dxa" w:w="3120"/>
            <w:vAlign w:val="center"/>
          </w:tcPr>
          <w:p>
            <w:pPr>
              <w:spacing w:after="0" w:line="259" w:lineRule="auto"/>
            </w:pPr>
            <w:r/>
            <w:r>
              <w:rPr>
                <w:rFonts w:ascii="Calibri" w:hAnsi="Calibri"/>
                <w:b w:val="0"/>
                <w:color w:val="19232D"/>
                <w:sz w:val="16"/>
              </w:rPr>
              <w:t>HRMS sync, ERP bridges, email/SMS/WhatsApp triggers, approval routing webhooks, third-party API connectors.</w:t>
            </w:r>
          </w:p>
        </w:tc>
      </w:tr>
      <w:tr>
        <w:tc>
          <w:tcPr>
            <w:tcW w:type="dxa" w:w="3120"/>
            <w:vAlign w:val="center"/>
          </w:tcPr>
          <w:p>
            <w:pPr>
              <w:spacing w:after="0" w:line="259" w:lineRule="auto"/>
            </w:pPr>
            <w:r/>
            <w:r>
              <w:rPr>
                <w:rFonts w:ascii="Calibri" w:hAnsi="Calibri"/>
                <w:b w:val="0"/>
                <w:color w:val="19232D"/>
                <w:sz w:val="16"/>
              </w:rPr>
              <w:t>Zoho CRM / Zoho Sign</w:t>
            </w:r>
          </w:p>
        </w:tc>
        <w:tc>
          <w:tcPr>
            <w:tcW w:type="dxa" w:w="3120"/>
            <w:vAlign w:val="center"/>
          </w:tcPr>
          <w:p>
            <w:pPr>
              <w:spacing w:after="0" w:line="259" w:lineRule="auto"/>
            </w:pPr>
            <w:r/>
            <w:r>
              <w:rPr>
                <w:rFonts w:ascii="Calibri" w:hAnsi="Calibri"/>
                <w:b w:val="0"/>
                <w:color w:val="19232D"/>
                <w:sz w:val="16"/>
              </w:rPr>
              <w:t>Optional vendor and compliance extensions</w:t>
            </w:r>
          </w:p>
        </w:tc>
        <w:tc>
          <w:tcPr>
            <w:tcW w:type="dxa" w:w="3120"/>
            <w:vAlign w:val="center"/>
          </w:tcPr>
          <w:p>
            <w:pPr>
              <w:spacing w:after="0" w:line="259" w:lineRule="auto"/>
            </w:pPr>
            <w:r/>
            <w:r>
              <w:rPr>
                <w:rFonts w:ascii="Calibri" w:hAnsi="Calibri"/>
                <w:b w:val="0"/>
                <w:color w:val="19232D"/>
                <w:sz w:val="16"/>
              </w:rPr>
              <w:t>Vendor registry, agency contact management, SLA tracking, high-value approval signing, audit trail.</w:t>
            </w:r>
          </w:p>
        </w:tc>
      </w:tr>
    </w:tbl>
    <w:p>
      <w:pPr>
        <w:spacing w:after="60"/>
      </w:pPr>
    </w:p>
    <w:p>
      <w:pPr>
        <w:pStyle w:val="Heading2"/>
        <w:keepNext/>
      </w:pPr>
      <w:r>
        <w:t>3.2 Integration Architecture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3120"/>
        <w:gridCol w:w="3120"/>
        <w:gridCol w:w="3120"/>
      </w:tblGrid>
      <w:tr>
        <w:tc>
          <w:tcPr>
            <w:tcW w:type="dxa" w:w="2520"/>
            <w:vAlign w:val="center"/>
            <w:shd w:fill="F4F6F9"/>
          </w:tcPr>
          <w:p>
            <w:pPr>
              <w:spacing w:after="0" w:line="259" w:lineRule="auto"/>
            </w:pPr>
            <w:r/>
            <w:r>
              <w:rPr>
                <w:rFonts w:ascii="Calibri" w:hAnsi="Calibri"/>
                <w:b/>
                <w:color w:val="1F4D78"/>
                <w:sz w:val="16"/>
              </w:rPr>
              <w:t>External System</w:t>
            </w:r>
          </w:p>
        </w:tc>
        <w:tc>
          <w:tcPr>
            <w:tcW w:type="dxa" w:w="2808"/>
            <w:vAlign w:val="center"/>
            <w:shd w:fill="F4F6F9"/>
          </w:tcPr>
          <w:p>
            <w:pPr>
              <w:spacing w:after="0" w:line="259" w:lineRule="auto"/>
            </w:pPr>
            <w:r/>
            <w:r>
              <w:rPr>
                <w:rFonts w:ascii="Calibri" w:hAnsi="Calibri"/>
                <w:b/>
                <w:color w:val="1F4D78"/>
                <w:sz w:val="16"/>
              </w:rPr>
              <w:t>Integration Route</w:t>
            </w:r>
          </w:p>
        </w:tc>
        <w:tc>
          <w:tcPr>
            <w:tcW w:type="dxa" w:w="4031"/>
            <w:vAlign w:val="center"/>
            <w:shd w:fill="F4F6F9"/>
          </w:tcPr>
          <w:p>
            <w:pPr>
              <w:spacing w:after="0" w:line="259" w:lineRule="auto"/>
            </w:pPr>
            <w:r/>
            <w:r>
              <w:rPr>
                <w:rFonts w:ascii="Calibri" w:hAnsi="Calibri"/>
                <w:b/>
                <w:color w:val="1F4D78"/>
                <w:sz w:val="16"/>
              </w:rPr>
              <w:t>Purpose</w:t>
            </w:r>
          </w:p>
        </w:tc>
      </w:tr>
      <w:tr>
        <w:tc>
          <w:tcPr>
            <w:tcW w:type="dxa" w:w="3120"/>
            <w:vAlign w:val="center"/>
          </w:tcPr>
          <w:p>
            <w:pPr>
              <w:spacing w:after="0" w:line="259" w:lineRule="auto"/>
            </w:pPr>
            <w:r/>
            <w:r>
              <w:rPr>
                <w:rFonts w:ascii="Calibri" w:hAnsi="Calibri"/>
                <w:b w:val="0"/>
                <w:color w:val="19232D"/>
                <w:sz w:val="16"/>
              </w:rPr>
              <w:t>HRMS / Active Directory</w:t>
            </w:r>
          </w:p>
        </w:tc>
        <w:tc>
          <w:tcPr>
            <w:tcW w:type="dxa" w:w="3120"/>
            <w:vAlign w:val="center"/>
          </w:tcPr>
          <w:p>
            <w:pPr>
              <w:spacing w:after="0" w:line="259" w:lineRule="auto"/>
            </w:pPr>
            <w:r/>
            <w:r>
              <w:rPr>
                <w:rFonts w:ascii="Calibri" w:hAnsi="Calibri"/>
                <w:b w:val="0"/>
                <w:color w:val="19232D"/>
                <w:sz w:val="16"/>
              </w:rPr>
              <w:t>Zoho People API or Zoho Flow</w:t>
            </w:r>
          </w:p>
        </w:tc>
        <w:tc>
          <w:tcPr>
            <w:tcW w:type="dxa" w:w="3120"/>
            <w:vAlign w:val="center"/>
          </w:tcPr>
          <w:p>
            <w:pPr>
              <w:spacing w:after="0" w:line="259" w:lineRule="auto"/>
            </w:pPr>
            <w:r/>
            <w:r>
              <w:rPr>
                <w:rFonts w:ascii="Calibri" w:hAnsi="Calibri"/>
                <w:b w:val="0"/>
                <w:color w:val="19232D"/>
                <w:sz w:val="16"/>
              </w:rPr>
              <w:t>Employee master sync, department hierarchy, manager mapping, SSO readiness.</w:t>
            </w:r>
          </w:p>
        </w:tc>
      </w:tr>
      <w:tr>
        <w:tc>
          <w:tcPr>
            <w:tcW w:type="dxa" w:w="3120"/>
            <w:vAlign w:val="center"/>
          </w:tcPr>
          <w:p>
            <w:pPr>
              <w:spacing w:after="0" w:line="259" w:lineRule="auto"/>
            </w:pPr>
            <w:r/>
            <w:r>
              <w:rPr>
                <w:rFonts w:ascii="Calibri" w:hAnsi="Calibri"/>
                <w:b w:val="0"/>
                <w:color w:val="19232D"/>
                <w:sz w:val="16"/>
              </w:rPr>
              <w:t>Finance / ERP Systems</w:t>
            </w:r>
          </w:p>
        </w:tc>
        <w:tc>
          <w:tcPr>
            <w:tcW w:type="dxa" w:w="3120"/>
            <w:vAlign w:val="center"/>
          </w:tcPr>
          <w:p>
            <w:pPr>
              <w:spacing w:after="0" w:line="259" w:lineRule="auto"/>
            </w:pPr>
            <w:r/>
            <w:r>
              <w:rPr>
                <w:rFonts w:ascii="Calibri" w:hAnsi="Calibri"/>
                <w:b w:val="0"/>
                <w:color w:val="19232D"/>
                <w:sz w:val="16"/>
              </w:rPr>
              <w:t>Zoho Flow API bridge</w:t>
            </w:r>
          </w:p>
        </w:tc>
        <w:tc>
          <w:tcPr>
            <w:tcW w:type="dxa" w:w="3120"/>
            <w:vAlign w:val="center"/>
          </w:tcPr>
          <w:p>
            <w:pPr>
              <w:spacing w:after="0" w:line="259" w:lineRule="auto"/>
            </w:pPr>
            <w:r/>
            <w:r>
              <w:rPr>
                <w:rFonts w:ascii="Calibri" w:hAnsi="Calibri"/>
                <w:b w:val="0"/>
                <w:color w:val="19232D"/>
                <w:sz w:val="16"/>
              </w:rPr>
              <w:t>Budget checks, GL code allocation, journal entry handoff, reimbursement status updates.</w:t>
            </w:r>
          </w:p>
        </w:tc>
      </w:tr>
      <w:tr>
        <w:tc>
          <w:tcPr>
            <w:tcW w:type="dxa" w:w="3120"/>
            <w:vAlign w:val="center"/>
          </w:tcPr>
          <w:p>
            <w:pPr>
              <w:spacing w:after="0" w:line="259" w:lineRule="auto"/>
            </w:pPr>
            <w:r/>
            <w:r>
              <w:rPr>
                <w:rFonts w:ascii="Calibri" w:hAnsi="Calibri"/>
                <w:b w:val="0"/>
                <w:color w:val="19232D"/>
                <w:sz w:val="16"/>
              </w:rPr>
              <w:t>Email / Collaboration</w:t>
            </w:r>
          </w:p>
        </w:tc>
        <w:tc>
          <w:tcPr>
            <w:tcW w:type="dxa" w:w="3120"/>
            <w:vAlign w:val="center"/>
          </w:tcPr>
          <w:p>
            <w:pPr>
              <w:spacing w:after="0" w:line="259" w:lineRule="auto"/>
            </w:pPr>
            <w:r/>
            <w:r>
              <w:rPr>
                <w:rFonts w:ascii="Calibri" w:hAnsi="Calibri"/>
                <w:b w:val="0"/>
                <w:color w:val="19232D"/>
                <w:sz w:val="16"/>
              </w:rPr>
              <w:t>Zoho Mail/Cliq or client email tools</w:t>
            </w:r>
          </w:p>
        </w:tc>
        <w:tc>
          <w:tcPr>
            <w:tcW w:type="dxa" w:w="3120"/>
            <w:vAlign w:val="center"/>
          </w:tcPr>
          <w:p>
            <w:pPr>
              <w:spacing w:after="0" w:line="259" w:lineRule="auto"/>
            </w:pPr>
            <w:r/>
            <w:r>
              <w:rPr>
                <w:rFonts w:ascii="Calibri" w:hAnsi="Calibri"/>
                <w:b w:val="0"/>
                <w:color w:val="19232D"/>
                <w:sz w:val="16"/>
              </w:rPr>
              <w:t>Approval notifications, escalations, travel desk alerts, exception communication.</w:t>
            </w:r>
          </w:p>
        </w:tc>
      </w:tr>
      <w:tr>
        <w:tc>
          <w:tcPr>
            <w:tcW w:type="dxa" w:w="3120"/>
            <w:vAlign w:val="center"/>
          </w:tcPr>
          <w:p>
            <w:pPr>
              <w:spacing w:after="0" w:line="259" w:lineRule="auto"/>
            </w:pPr>
            <w:r/>
            <w:r>
              <w:rPr>
                <w:rFonts w:ascii="Calibri" w:hAnsi="Calibri"/>
                <w:b w:val="0"/>
                <w:color w:val="19232D"/>
                <w:sz w:val="16"/>
              </w:rPr>
              <w:t>Travel Vendor APIs</w:t>
            </w:r>
          </w:p>
        </w:tc>
        <w:tc>
          <w:tcPr>
            <w:tcW w:type="dxa" w:w="3120"/>
            <w:vAlign w:val="center"/>
          </w:tcPr>
          <w:p>
            <w:pPr>
              <w:spacing w:after="0" w:line="259" w:lineRule="auto"/>
            </w:pPr>
            <w:r/>
            <w:r>
              <w:rPr>
                <w:rFonts w:ascii="Calibri" w:hAnsi="Calibri"/>
                <w:b w:val="0"/>
                <w:color w:val="19232D"/>
                <w:sz w:val="16"/>
              </w:rPr>
              <w:t>Zoho Creator + Zoho Flow</w:t>
            </w:r>
          </w:p>
        </w:tc>
        <w:tc>
          <w:tcPr>
            <w:tcW w:type="dxa" w:w="3120"/>
            <w:vAlign w:val="center"/>
          </w:tcPr>
          <w:p>
            <w:pPr>
              <w:spacing w:after="0" w:line="259" w:lineRule="auto"/>
            </w:pPr>
            <w:r/>
            <w:r>
              <w:rPr>
                <w:rFonts w:ascii="Calibri" w:hAnsi="Calibri"/>
                <w:b w:val="0"/>
                <w:color w:val="19232D"/>
                <w:sz w:val="16"/>
              </w:rPr>
              <w:t>Fare comparison, PNR sync, agency booking updates, optional GDS or corporate booking tool integration.</w:t>
            </w:r>
          </w:p>
        </w:tc>
      </w:tr>
      <w:tr>
        <w:tc>
          <w:tcPr>
            <w:tcW w:type="dxa" w:w="3120"/>
            <w:vAlign w:val="center"/>
          </w:tcPr>
          <w:p>
            <w:pPr>
              <w:spacing w:after="0" w:line="259" w:lineRule="auto"/>
            </w:pPr>
            <w:r/>
            <w:r>
              <w:rPr>
                <w:rFonts w:ascii="Calibri" w:hAnsi="Calibri"/>
                <w:b w:val="0"/>
                <w:color w:val="19232D"/>
                <w:sz w:val="16"/>
              </w:rPr>
              <w:t>Payment / Settlement Systems</w:t>
            </w:r>
          </w:p>
        </w:tc>
        <w:tc>
          <w:tcPr>
            <w:tcW w:type="dxa" w:w="3120"/>
            <w:vAlign w:val="center"/>
          </w:tcPr>
          <w:p>
            <w:pPr>
              <w:spacing w:after="0" w:line="259" w:lineRule="auto"/>
            </w:pPr>
            <w:r/>
            <w:r>
              <w:rPr>
                <w:rFonts w:ascii="Calibri" w:hAnsi="Calibri"/>
                <w:b w:val="0"/>
                <w:color w:val="19232D"/>
                <w:sz w:val="16"/>
              </w:rPr>
              <w:t>Zoho Expense + finance integration</w:t>
            </w:r>
          </w:p>
        </w:tc>
        <w:tc>
          <w:tcPr>
            <w:tcW w:type="dxa" w:w="3120"/>
            <w:vAlign w:val="center"/>
          </w:tcPr>
          <w:p>
            <w:pPr>
              <w:spacing w:after="0" w:line="259" w:lineRule="auto"/>
            </w:pPr>
            <w:r/>
            <w:r>
              <w:rPr>
                <w:rFonts w:ascii="Calibri" w:hAnsi="Calibri"/>
                <w:b w:val="0"/>
                <w:color w:val="19232D"/>
                <w:sz w:val="16"/>
              </w:rPr>
              <w:t>Advance settlement, reimbursement processing, vendor payout workflow support.</w:t>
            </w:r>
          </w:p>
        </w:tc>
      </w:tr>
    </w:tbl>
    <w:p>
      <w:pPr>
        <w:spacing w:after="60"/>
      </w:pP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F4F6F9"/>
          </w:tcPr>
          <w:p>
            <w:pPr>
              <w:spacing w:after="60"/>
            </w:pPr>
            <w:r/>
            <w:r>
              <w:rPr>
                <w:rFonts w:ascii="Calibri" w:hAnsi="Calibri"/>
                <w:b/>
                <w:color w:val="1F4D78"/>
                <w:sz w:val="21"/>
              </w:rPr>
              <w:t>Integration Clarification</w:t>
            </w:r>
          </w:p>
          <w:p>
            <w:pPr>
              <w:spacing w:after="0" w:line="283" w:lineRule="auto"/>
            </w:pPr>
            <w:r>
              <w:rPr>
                <w:rFonts w:ascii="Calibri" w:hAnsi="Calibri"/>
                <w:color w:val="19232D"/>
                <w:sz w:val="19"/>
              </w:rPr>
              <w:t>Zoho modules listed as integration routes are not automatically mandatory licenses. If the client already uses SAP, Oracle, Tally, Outlook, Microsoft Teams, Okta, or other non-Zoho tools, Vancel will connect to those systems through available APIs, SFTP feeds, webhooks, or agreed integration methods.</w:t>
            </w:r>
          </w:p>
        </w:tc>
      </w:tr>
    </w:tbl>
    <w:p>
      <w:pPr>
        <w:spacing w:after="40"/>
      </w:pPr>
    </w:p>
    <w:p>
      <w:pPr>
        <w:pStyle w:val="Heading1"/>
        <w:keepNext/>
      </w:pPr>
      <w:r>
        <w:t>4. Scope of Services by Vancel</w:t>
      </w:r>
    </w:p>
    <w:p>
      <w:pPr>
        <w:spacing w:before="0" w:after="160" w:line="300" w:lineRule="auto"/>
      </w:pPr>
      <w:r>
        <w:rPr>
          <w:rFonts w:ascii="Calibri" w:hAnsi="Calibri"/>
          <w:color w:val="19232D"/>
        </w:rPr>
        <w:t>Vancel will be responsible for solution design, Zoho configuration, custom module development, integration engineering, testing coordination, deployment support, and structured knowledge transfer. The service scope is summarized below.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2951"/>
            <w:vAlign w:val="center"/>
            <w:shd w:fill="1F4D78"/>
          </w:tcPr>
          <w:p>
            <w:pPr>
              <w:spacing w:after="0" w:line="259" w:lineRule="auto"/>
            </w:pPr>
            <w:r/>
            <w:r>
              <w:rPr>
                <w:rFonts w:ascii="Calibri" w:hAnsi="Calibri"/>
                <w:b/>
                <w:color w:val="FFFFFF"/>
                <w:sz w:val="16"/>
              </w:rPr>
              <w:t>Service Area</w:t>
            </w:r>
          </w:p>
        </w:tc>
        <w:tc>
          <w:tcPr>
            <w:tcW w:type="dxa" w:w="6408"/>
            <w:vAlign w:val="center"/>
            <w:shd w:fill="1F4D78"/>
          </w:tcPr>
          <w:p>
            <w:pPr>
              <w:spacing w:after="0" w:line="259" w:lineRule="auto"/>
            </w:pPr>
            <w:r/>
            <w:r>
              <w:rPr>
                <w:rFonts w:ascii="Calibri" w:hAnsi="Calibri"/>
                <w:b/>
                <w:color w:val="FFFFFF"/>
                <w:sz w:val="16"/>
              </w:rPr>
              <w:t>Vancel Responsibility</w:t>
            </w:r>
          </w:p>
        </w:tc>
      </w:tr>
      <w:tr>
        <w:tc>
          <w:tcPr>
            <w:tcW w:type="dxa" w:w="4680"/>
            <w:vAlign w:val="center"/>
          </w:tcPr>
          <w:p>
            <w:pPr>
              <w:spacing w:after="0" w:line="259" w:lineRule="auto"/>
            </w:pPr>
            <w:r/>
            <w:r>
              <w:rPr>
                <w:rFonts w:ascii="Calibri" w:hAnsi="Calibri"/>
                <w:b w:val="0"/>
                <w:color w:val="19232D"/>
                <w:sz w:val="16"/>
              </w:rPr>
              <w:t>Discovery and Design</w:t>
            </w:r>
          </w:p>
        </w:tc>
        <w:tc>
          <w:tcPr>
            <w:tcW w:type="dxa" w:w="4680"/>
            <w:vAlign w:val="center"/>
          </w:tcPr>
          <w:p>
            <w:pPr>
              <w:spacing w:after="0" w:line="259" w:lineRule="auto"/>
            </w:pPr>
            <w:r/>
            <w:r>
              <w:rPr>
                <w:rFonts w:ascii="Calibri" w:hAnsi="Calibri"/>
                <w:b w:val="0"/>
                <w:color w:val="19232D"/>
                <w:sz w:val="16"/>
              </w:rPr>
              <w:t>Requirement workshops, current process review, approval matrix design, policy rule mapping, integration assessment, and Solution Design Document.</w:t>
            </w:r>
          </w:p>
        </w:tc>
      </w:tr>
      <w:tr>
        <w:tc>
          <w:tcPr>
            <w:tcW w:type="dxa" w:w="4680"/>
            <w:vAlign w:val="center"/>
          </w:tcPr>
          <w:p>
            <w:pPr>
              <w:spacing w:after="0" w:line="259" w:lineRule="auto"/>
            </w:pPr>
            <w:r/>
            <w:r>
              <w:rPr>
                <w:rFonts w:ascii="Calibri" w:hAnsi="Calibri"/>
                <w:b w:val="0"/>
                <w:color w:val="19232D"/>
                <w:sz w:val="16"/>
              </w:rPr>
              <w:t>Zoho Creator Build</w:t>
            </w:r>
          </w:p>
        </w:tc>
        <w:tc>
          <w:tcPr>
            <w:tcW w:type="dxa" w:w="4680"/>
            <w:vAlign w:val="center"/>
          </w:tcPr>
          <w:p>
            <w:pPr>
              <w:spacing w:after="0" w:line="259" w:lineRule="auto"/>
            </w:pPr>
            <w:r/>
            <w:r>
              <w:rPr>
                <w:rFonts w:ascii="Calibri" w:hAnsi="Calibri"/>
                <w:b w:val="0"/>
                <w:color w:val="19232D"/>
                <w:sz w:val="16"/>
              </w:rPr>
              <w:t>Custom travel request forms, itinerary capture, PNR and ticket tracking, vendor mapping, Travel Desk dashboard, cancellation/rescheduling workflows.</w:t>
            </w:r>
          </w:p>
        </w:tc>
      </w:tr>
      <w:tr>
        <w:tc>
          <w:tcPr>
            <w:tcW w:type="dxa" w:w="4680"/>
            <w:vAlign w:val="center"/>
          </w:tcPr>
          <w:p>
            <w:pPr>
              <w:spacing w:after="0" w:line="259" w:lineRule="auto"/>
            </w:pPr>
            <w:r/>
            <w:r>
              <w:rPr>
                <w:rFonts w:ascii="Calibri" w:hAnsi="Calibri"/>
                <w:b w:val="0"/>
                <w:color w:val="19232D"/>
                <w:sz w:val="16"/>
              </w:rPr>
              <w:t>Zoho Expense Configuration</w:t>
            </w:r>
          </w:p>
        </w:tc>
        <w:tc>
          <w:tcPr>
            <w:tcW w:type="dxa" w:w="4680"/>
            <w:vAlign w:val="center"/>
          </w:tcPr>
          <w:p>
            <w:pPr>
              <w:spacing w:after="0" w:line="259" w:lineRule="auto"/>
            </w:pPr>
            <w:r/>
            <w:r>
              <w:rPr>
                <w:rFonts w:ascii="Calibri" w:hAnsi="Calibri"/>
                <w:b w:val="0"/>
                <w:color w:val="19232D"/>
                <w:sz w:val="16"/>
              </w:rPr>
              <w:t>Expense categories, per diem rules, OCR configuration, multi-currency setup, policy compliance, advance and reimbursement workflows.</w:t>
            </w:r>
          </w:p>
        </w:tc>
      </w:tr>
      <w:tr>
        <w:tc>
          <w:tcPr>
            <w:tcW w:type="dxa" w:w="4680"/>
            <w:vAlign w:val="center"/>
          </w:tcPr>
          <w:p>
            <w:pPr>
              <w:spacing w:after="0" w:line="259" w:lineRule="auto"/>
            </w:pPr>
            <w:r/>
            <w:r>
              <w:rPr>
                <w:rFonts w:ascii="Calibri" w:hAnsi="Calibri"/>
                <w:b w:val="0"/>
                <w:color w:val="19232D"/>
                <w:sz w:val="16"/>
              </w:rPr>
              <w:t>Workflow and Automation</w:t>
            </w:r>
          </w:p>
        </w:tc>
        <w:tc>
          <w:tcPr>
            <w:tcW w:type="dxa" w:w="4680"/>
            <w:vAlign w:val="center"/>
          </w:tcPr>
          <w:p>
            <w:pPr>
              <w:spacing w:after="0" w:line="259" w:lineRule="auto"/>
            </w:pPr>
            <w:r/>
            <w:r>
              <w:rPr>
                <w:rFonts w:ascii="Calibri" w:hAnsi="Calibri"/>
                <w:b w:val="0"/>
                <w:color w:val="19232D"/>
                <w:sz w:val="16"/>
              </w:rPr>
              <w:t>Dynamic approval routing, conditional logic, delegation of authority, escalation handling, email/mobile approval triggers, audit trail configuration.</w:t>
            </w:r>
          </w:p>
        </w:tc>
      </w:tr>
      <w:tr>
        <w:tc>
          <w:tcPr>
            <w:tcW w:type="dxa" w:w="4680"/>
            <w:vAlign w:val="center"/>
          </w:tcPr>
          <w:p>
            <w:pPr>
              <w:spacing w:after="0" w:line="259" w:lineRule="auto"/>
            </w:pPr>
            <w:r/>
            <w:r>
              <w:rPr>
                <w:rFonts w:ascii="Calibri" w:hAnsi="Calibri"/>
                <w:b w:val="0"/>
                <w:color w:val="19232D"/>
                <w:sz w:val="16"/>
              </w:rPr>
              <w:t>Integration Delivery</w:t>
            </w:r>
          </w:p>
        </w:tc>
        <w:tc>
          <w:tcPr>
            <w:tcW w:type="dxa" w:w="4680"/>
            <w:vAlign w:val="center"/>
          </w:tcPr>
          <w:p>
            <w:pPr>
              <w:spacing w:after="0" w:line="259" w:lineRule="auto"/>
            </w:pPr>
            <w:r/>
            <w:r>
              <w:rPr>
                <w:rFonts w:ascii="Calibri" w:hAnsi="Calibri"/>
                <w:b w:val="0"/>
                <w:color w:val="19232D"/>
                <w:sz w:val="16"/>
              </w:rPr>
              <w:t>HRMS/AD sync, Finance/ERP connectors, travel vendor API bridges where available, notification workflows, data exchange validation.</w:t>
            </w:r>
          </w:p>
        </w:tc>
      </w:tr>
      <w:tr>
        <w:tc>
          <w:tcPr>
            <w:tcW w:type="dxa" w:w="4680"/>
            <w:vAlign w:val="center"/>
          </w:tcPr>
          <w:p>
            <w:pPr>
              <w:spacing w:after="0" w:line="259" w:lineRule="auto"/>
            </w:pPr>
            <w:r/>
            <w:r>
              <w:rPr>
                <w:rFonts w:ascii="Calibri" w:hAnsi="Calibri"/>
                <w:b w:val="0"/>
                <w:color w:val="19232D"/>
                <w:sz w:val="16"/>
              </w:rPr>
              <w:t>Analytics and Reporting</w:t>
            </w:r>
          </w:p>
        </w:tc>
        <w:tc>
          <w:tcPr>
            <w:tcW w:type="dxa" w:w="4680"/>
            <w:vAlign w:val="center"/>
          </w:tcPr>
          <w:p>
            <w:pPr>
              <w:spacing w:after="0" w:line="259" w:lineRule="auto"/>
            </w:pPr>
            <w:r/>
            <w:r>
              <w:rPr>
                <w:rFonts w:ascii="Calibri" w:hAnsi="Calibri"/>
                <w:b w:val="0"/>
                <w:color w:val="19232D"/>
                <w:sz w:val="16"/>
              </w:rPr>
              <w:t>Executive dashboards, spend analytics, approval aging, vendor-wise reports, budget versus actual views, export-ready report templates.</w:t>
            </w:r>
          </w:p>
        </w:tc>
      </w:tr>
      <w:tr>
        <w:tc>
          <w:tcPr>
            <w:tcW w:type="dxa" w:w="4680"/>
            <w:vAlign w:val="center"/>
          </w:tcPr>
          <w:p>
            <w:pPr>
              <w:spacing w:after="0" w:line="259" w:lineRule="auto"/>
            </w:pPr>
            <w:r/>
            <w:r>
              <w:rPr>
                <w:rFonts w:ascii="Calibri" w:hAnsi="Calibri"/>
                <w:b w:val="0"/>
                <w:color w:val="19232D"/>
                <w:sz w:val="16"/>
              </w:rPr>
              <w:t>Testing, Training, Go-Live</w:t>
            </w:r>
          </w:p>
        </w:tc>
        <w:tc>
          <w:tcPr>
            <w:tcW w:type="dxa" w:w="4680"/>
            <w:vAlign w:val="center"/>
          </w:tcPr>
          <w:p>
            <w:pPr>
              <w:spacing w:after="0" w:line="259" w:lineRule="auto"/>
            </w:pPr>
            <w:r/>
            <w:r>
              <w:rPr>
                <w:rFonts w:ascii="Calibri" w:hAnsi="Calibri"/>
                <w:b w:val="0"/>
                <w:color w:val="19232D"/>
                <w:sz w:val="16"/>
              </w:rPr>
              <w:t>SIT support, UAT coordination, admin training, end-user orientation, production rollout, and hypercare support.</w:t>
            </w:r>
          </w:p>
        </w:tc>
      </w:tr>
    </w:tbl>
    <w:p>
      <w:pPr>
        <w:spacing w:after="60"/>
      </w:pPr>
    </w:p>
    <w:p>
      <w:pPr>
        <w:pStyle w:val="Heading1"/>
        <w:keepNext/>
      </w:pPr>
      <w:r>
        <w:t>5. Information to be Provided by Vancel</w:t>
      </w: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EAF2F8"/>
          </w:tcPr>
          <w:p>
            <w:pPr>
              <w:spacing w:after="60"/>
            </w:pPr>
            <w:r/>
            <w:r>
              <w:rPr>
                <w:rFonts w:ascii="Calibri" w:hAnsi="Calibri"/>
                <w:b/>
                <w:color w:val="1F4D78"/>
                <w:sz w:val="21"/>
              </w:rPr>
              <w:t>Service Provider Disclosure Requirement</w:t>
            </w:r>
          </w:p>
          <w:p>
            <w:pPr>
              <w:spacing w:after="0" w:line="283" w:lineRule="auto"/>
            </w:pPr>
            <w:r>
              <w:rPr>
                <w:rFonts w:ascii="Calibri" w:hAnsi="Calibri"/>
                <w:color w:val="19232D"/>
                <w:sz w:val="19"/>
              </w:rPr>
              <w:t>The following information should be formally provided by Vancel to the client before contract execution or during Phase 1. This makes the engagement auditable, procurement-ready, and aligned with enterprise vendor governance expectations.</w:t>
            </w:r>
          </w:p>
        </w:tc>
      </w:tr>
    </w:tbl>
    <w:p>
      <w:pPr>
        <w:spacing w:after="40"/>
      </w:pP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2880"/>
            <w:vAlign w:val="center"/>
            <w:shd w:fill="1F4D78"/>
          </w:tcPr>
          <w:p>
            <w:pPr>
              <w:spacing w:after="0" w:line="259" w:lineRule="auto"/>
            </w:pPr>
            <w:r/>
            <w:r>
              <w:rPr>
                <w:rFonts w:ascii="Calibri" w:hAnsi="Calibri"/>
                <w:b/>
                <w:color w:val="FFFFFF"/>
                <w:sz w:val="16"/>
              </w:rPr>
              <w:t>Information Category</w:t>
            </w:r>
          </w:p>
        </w:tc>
        <w:tc>
          <w:tcPr>
            <w:tcW w:type="dxa" w:w="6480"/>
            <w:vAlign w:val="center"/>
            <w:shd w:fill="1F4D78"/>
          </w:tcPr>
          <w:p>
            <w:pPr>
              <w:spacing w:after="0" w:line="259" w:lineRule="auto"/>
            </w:pPr>
            <w:r/>
            <w:r>
              <w:rPr>
                <w:rFonts w:ascii="Calibri" w:hAnsi="Calibri"/>
                <w:b/>
                <w:color w:val="FFFFFF"/>
                <w:sz w:val="16"/>
              </w:rPr>
              <w:t>Details to be Furnished by Vancel</w:t>
            </w:r>
          </w:p>
        </w:tc>
      </w:tr>
      <w:tr>
        <w:tc>
          <w:tcPr>
            <w:tcW w:type="dxa" w:w="4680"/>
            <w:vAlign w:val="center"/>
          </w:tcPr>
          <w:p>
            <w:pPr>
              <w:spacing w:after="0" w:line="259" w:lineRule="auto"/>
            </w:pPr>
            <w:r/>
            <w:r>
              <w:rPr>
                <w:rFonts w:ascii="Calibri" w:hAnsi="Calibri"/>
                <w:b w:val="0"/>
                <w:color w:val="19232D"/>
                <w:sz w:val="16"/>
              </w:rPr>
              <w:t>Corporate and Legal Details</w:t>
            </w:r>
          </w:p>
        </w:tc>
        <w:tc>
          <w:tcPr>
            <w:tcW w:type="dxa" w:w="4680"/>
            <w:vAlign w:val="center"/>
          </w:tcPr>
          <w:p>
            <w:pPr>
              <w:spacing w:after="0" w:line="259" w:lineRule="auto"/>
            </w:pPr>
            <w:r/>
            <w:r>
              <w:rPr>
                <w:rFonts w:ascii="Calibri" w:hAnsi="Calibri"/>
                <w:b w:val="0"/>
                <w:color w:val="19232D"/>
                <w:sz w:val="16"/>
              </w:rPr>
              <w:t>Registered company name, registered office address, CIN/GSTIN/PAN, authorized signatory details, bank account information for invoicing, and standard legal notices.</w:t>
            </w:r>
          </w:p>
        </w:tc>
      </w:tr>
      <w:tr>
        <w:tc>
          <w:tcPr>
            <w:tcW w:type="dxa" w:w="4680"/>
            <w:vAlign w:val="center"/>
          </w:tcPr>
          <w:p>
            <w:pPr>
              <w:spacing w:after="0" w:line="259" w:lineRule="auto"/>
            </w:pPr>
            <w:r/>
            <w:r>
              <w:rPr>
                <w:rFonts w:ascii="Calibri" w:hAnsi="Calibri"/>
                <w:b w:val="0"/>
                <w:color w:val="19232D"/>
                <w:sz w:val="16"/>
              </w:rPr>
              <w:t>Commercial Documents</w:t>
            </w:r>
          </w:p>
        </w:tc>
        <w:tc>
          <w:tcPr>
            <w:tcW w:type="dxa" w:w="4680"/>
            <w:vAlign w:val="center"/>
          </w:tcPr>
          <w:p>
            <w:pPr>
              <w:spacing w:after="0" w:line="259" w:lineRule="auto"/>
            </w:pPr>
            <w:r/>
            <w:r>
              <w:rPr>
                <w:rFonts w:ascii="Calibri" w:hAnsi="Calibri"/>
                <w:b w:val="0"/>
                <w:color w:val="19232D"/>
                <w:sz w:val="16"/>
              </w:rPr>
              <w:t>Detailed Statement of Work, tax-compliant quotation, payment milestone schedule, AMC options, assumptions, exclusions, change request process, and proposal validity period.</w:t>
            </w:r>
          </w:p>
        </w:tc>
      </w:tr>
      <w:tr>
        <w:tc>
          <w:tcPr>
            <w:tcW w:type="dxa" w:w="4680"/>
            <w:vAlign w:val="center"/>
          </w:tcPr>
          <w:p>
            <w:pPr>
              <w:spacing w:after="0" w:line="259" w:lineRule="auto"/>
            </w:pPr>
            <w:r/>
            <w:r>
              <w:rPr>
                <w:rFonts w:ascii="Calibri" w:hAnsi="Calibri"/>
                <w:b w:val="0"/>
                <w:color w:val="19232D"/>
                <w:sz w:val="16"/>
              </w:rPr>
              <w:t>Project Governance</w:t>
            </w:r>
          </w:p>
        </w:tc>
        <w:tc>
          <w:tcPr>
            <w:tcW w:type="dxa" w:w="4680"/>
            <w:vAlign w:val="center"/>
          </w:tcPr>
          <w:p>
            <w:pPr>
              <w:spacing w:after="0" w:line="259" w:lineRule="auto"/>
            </w:pPr>
            <w:r/>
            <w:r>
              <w:rPr>
                <w:rFonts w:ascii="Calibri" w:hAnsi="Calibri"/>
                <w:b w:val="0"/>
                <w:color w:val="19232D"/>
                <w:sz w:val="16"/>
              </w:rPr>
              <w:t>Named project manager, solution architect, escalation matrix, communication cadence, meeting rhythm, weekly status report format, RAID log template, and acceptance sign-off process.</w:t>
            </w:r>
          </w:p>
        </w:tc>
      </w:tr>
      <w:tr>
        <w:tc>
          <w:tcPr>
            <w:tcW w:type="dxa" w:w="4680"/>
            <w:vAlign w:val="center"/>
          </w:tcPr>
          <w:p>
            <w:pPr>
              <w:spacing w:after="0" w:line="259" w:lineRule="auto"/>
            </w:pPr>
            <w:r/>
            <w:r>
              <w:rPr>
                <w:rFonts w:ascii="Calibri" w:hAnsi="Calibri"/>
                <w:b w:val="0"/>
                <w:color w:val="19232D"/>
                <w:sz w:val="16"/>
              </w:rPr>
              <w:t>Solution Design Artifacts</w:t>
            </w:r>
          </w:p>
        </w:tc>
        <w:tc>
          <w:tcPr>
            <w:tcW w:type="dxa" w:w="4680"/>
            <w:vAlign w:val="center"/>
          </w:tcPr>
          <w:p>
            <w:pPr>
              <w:spacing w:after="0" w:line="259" w:lineRule="auto"/>
            </w:pPr>
            <w:r/>
            <w:r>
              <w:rPr>
                <w:rFonts w:ascii="Calibri" w:hAnsi="Calibri"/>
                <w:b w:val="0"/>
                <w:color w:val="19232D"/>
                <w:sz w:val="16"/>
              </w:rPr>
              <w:t>Solution Design Document, workflow diagrams, role/permission matrix, Zoho module configuration map, integration architecture, data flow diagram, and test strategy.</w:t>
            </w:r>
          </w:p>
        </w:tc>
      </w:tr>
      <w:tr>
        <w:tc>
          <w:tcPr>
            <w:tcW w:type="dxa" w:w="4680"/>
            <w:vAlign w:val="center"/>
          </w:tcPr>
          <w:p>
            <w:pPr>
              <w:spacing w:after="0" w:line="259" w:lineRule="auto"/>
            </w:pPr>
            <w:r/>
            <w:r>
              <w:rPr>
                <w:rFonts w:ascii="Calibri" w:hAnsi="Calibri"/>
                <w:b w:val="0"/>
                <w:color w:val="19232D"/>
                <w:sz w:val="16"/>
              </w:rPr>
              <w:t>Security and Compliance Inputs</w:t>
            </w:r>
          </w:p>
        </w:tc>
        <w:tc>
          <w:tcPr>
            <w:tcW w:type="dxa" w:w="4680"/>
            <w:vAlign w:val="center"/>
          </w:tcPr>
          <w:p>
            <w:pPr>
              <w:spacing w:after="0" w:line="259" w:lineRule="auto"/>
            </w:pPr>
            <w:r/>
            <w:r>
              <w:rPr>
                <w:rFonts w:ascii="Calibri" w:hAnsi="Calibri"/>
                <w:b w:val="0"/>
                <w:color w:val="19232D"/>
                <w:sz w:val="16"/>
              </w:rPr>
              <w:t>Access control approach, data handling practices, audit trail design, credential management approach, backup/recovery reliance on Zoho, and security responsibilities shared between Vancel, Zoho, and client IT.</w:t>
            </w:r>
          </w:p>
        </w:tc>
      </w:tr>
      <w:tr>
        <w:tc>
          <w:tcPr>
            <w:tcW w:type="dxa" w:w="4680"/>
            <w:vAlign w:val="center"/>
          </w:tcPr>
          <w:p>
            <w:pPr>
              <w:spacing w:after="0" w:line="259" w:lineRule="auto"/>
            </w:pPr>
            <w:r/>
            <w:r>
              <w:rPr>
                <w:rFonts w:ascii="Calibri" w:hAnsi="Calibri"/>
                <w:b w:val="0"/>
                <w:color w:val="19232D"/>
                <w:sz w:val="16"/>
              </w:rPr>
              <w:t>Delivery Evidence</w:t>
            </w:r>
          </w:p>
        </w:tc>
        <w:tc>
          <w:tcPr>
            <w:tcW w:type="dxa" w:w="4680"/>
            <w:vAlign w:val="center"/>
          </w:tcPr>
          <w:p>
            <w:pPr>
              <w:spacing w:after="0" w:line="259" w:lineRule="auto"/>
            </w:pPr>
            <w:r/>
            <w:r>
              <w:rPr>
                <w:rFonts w:ascii="Calibri" w:hAnsi="Calibri"/>
                <w:b w:val="0"/>
                <w:color w:val="19232D"/>
                <w:sz w:val="16"/>
              </w:rPr>
              <w:t>Milestone deliverables, demo recordings or walkthroughs where agreed, UAT issue tracker, training materials, admin handover notes, and go-live readiness checklist.</w:t>
            </w:r>
          </w:p>
        </w:tc>
      </w:tr>
      <w:tr>
        <w:tc>
          <w:tcPr>
            <w:tcW w:type="dxa" w:w="4680"/>
            <w:vAlign w:val="center"/>
          </w:tcPr>
          <w:p>
            <w:pPr>
              <w:spacing w:after="0" w:line="259" w:lineRule="auto"/>
            </w:pPr>
            <w:r/>
            <w:r>
              <w:rPr>
                <w:rFonts w:ascii="Calibri" w:hAnsi="Calibri"/>
                <w:b w:val="0"/>
                <w:color w:val="19232D"/>
                <w:sz w:val="16"/>
              </w:rPr>
              <w:t>Post-Go-Live Support</w:t>
            </w:r>
          </w:p>
        </w:tc>
        <w:tc>
          <w:tcPr>
            <w:tcW w:type="dxa" w:w="4680"/>
            <w:vAlign w:val="center"/>
          </w:tcPr>
          <w:p>
            <w:pPr>
              <w:spacing w:after="0" w:line="259" w:lineRule="auto"/>
            </w:pPr>
            <w:r/>
            <w:r>
              <w:rPr>
                <w:rFonts w:ascii="Calibri" w:hAnsi="Calibri"/>
                <w:b w:val="0"/>
                <w:color w:val="19232D"/>
                <w:sz w:val="16"/>
              </w:rPr>
              <w:t>Hypercare duration, support scope, SLA categories, issue reporting process, AMC coverage, enhancement request workflow, and transition-to-support checklist.</w:t>
            </w:r>
          </w:p>
        </w:tc>
      </w:tr>
    </w:tbl>
    <w:p>
      <w:pPr>
        <w:spacing w:after="60"/>
      </w:pPr>
    </w:p>
    <w:p>
      <w:pPr>
        <w:pStyle w:val="Heading1"/>
        <w:keepNext/>
      </w:pPr>
      <w:r>
        <w:t>6. Client Inputs Required</w:t>
      </w:r>
    </w:p>
    <w:p>
      <w:pPr>
        <w:spacing w:before="0" w:after="160" w:line="300" w:lineRule="auto"/>
      </w:pPr>
      <w:r>
        <w:rPr>
          <w:rFonts w:ascii="Calibri" w:hAnsi="Calibri"/>
          <w:color w:val="19232D"/>
        </w:rPr>
        <w:t>The following inputs are required from the client to finalize scope, licensing, integrations, and delivery schedule. Delays in these inputs may affect project timelines and commercial assumptions.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2880"/>
            <w:vAlign w:val="center"/>
            <w:shd w:fill="F4F6F9"/>
          </w:tcPr>
          <w:p>
            <w:pPr>
              <w:spacing w:after="0" w:line="259" w:lineRule="auto"/>
            </w:pPr>
            <w:r/>
            <w:r>
              <w:rPr>
                <w:rFonts w:ascii="Calibri" w:hAnsi="Calibri"/>
                <w:b/>
                <w:color w:val="1F4D78"/>
                <w:sz w:val="17"/>
              </w:rPr>
              <w:t>Input Area</w:t>
            </w:r>
          </w:p>
        </w:tc>
        <w:tc>
          <w:tcPr>
            <w:tcW w:type="dxa" w:w="6480"/>
            <w:vAlign w:val="center"/>
            <w:shd w:fill="F4F6F9"/>
          </w:tcPr>
          <w:p>
            <w:pPr>
              <w:spacing w:after="0" w:line="259" w:lineRule="auto"/>
            </w:pPr>
            <w:r/>
            <w:r>
              <w:rPr>
                <w:rFonts w:ascii="Calibri" w:hAnsi="Calibri"/>
                <w:b/>
                <w:color w:val="1F4D78"/>
                <w:sz w:val="17"/>
              </w:rPr>
              <w:t>Client Information Required</w:t>
            </w:r>
          </w:p>
        </w:tc>
      </w:tr>
      <w:tr>
        <w:tc>
          <w:tcPr>
            <w:tcW w:type="dxa" w:w="4680"/>
            <w:vAlign w:val="center"/>
          </w:tcPr>
          <w:p>
            <w:pPr>
              <w:spacing w:after="0" w:line="259" w:lineRule="auto"/>
            </w:pPr>
            <w:r/>
            <w:r>
              <w:rPr>
                <w:rFonts w:ascii="Calibri" w:hAnsi="Calibri"/>
                <w:b w:val="0"/>
                <w:color w:val="19232D"/>
                <w:sz w:val="17"/>
              </w:rPr>
              <w:t>User and Role Scope</w:t>
            </w:r>
          </w:p>
        </w:tc>
        <w:tc>
          <w:tcPr>
            <w:tcW w:type="dxa" w:w="4680"/>
            <w:vAlign w:val="center"/>
          </w:tcPr>
          <w:p>
            <w:pPr>
              <w:spacing w:after="0" w:line="259" w:lineRule="auto"/>
            </w:pPr>
            <w:r/>
            <w:r>
              <w:rPr>
                <w:rFonts w:ascii="Calibri" w:hAnsi="Calibri"/>
                <w:b w:val="0"/>
                <w:color w:val="19232D"/>
                <w:sz w:val="17"/>
              </w:rPr>
              <w:t>Total employee count, expected monthly expense submitters, Travel Desk users, finance users, approving manager count, department hierarchy, grade structure.</w:t>
            </w:r>
          </w:p>
        </w:tc>
      </w:tr>
      <w:tr>
        <w:tc>
          <w:tcPr>
            <w:tcW w:type="dxa" w:w="4680"/>
            <w:vAlign w:val="center"/>
          </w:tcPr>
          <w:p>
            <w:pPr>
              <w:spacing w:after="0" w:line="259" w:lineRule="auto"/>
            </w:pPr>
            <w:r/>
            <w:r>
              <w:rPr>
                <w:rFonts w:ascii="Calibri" w:hAnsi="Calibri"/>
                <w:b w:val="0"/>
                <w:color w:val="19232D"/>
                <w:sz w:val="17"/>
              </w:rPr>
              <w:t>Policies and Approval Rules</w:t>
            </w:r>
          </w:p>
        </w:tc>
        <w:tc>
          <w:tcPr>
            <w:tcW w:type="dxa" w:w="4680"/>
            <w:vAlign w:val="center"/>
          </w:tcPr>
          <w:p>
            <w:pPr>
              <w:spacing w:after="0" w:line="259" w:lineRule="auto"/>
            </w:pPr>
            <w:r/>
            <w:r>
              <w:rPr>
                <w:rFonts w:ascii="Calibri" w:hAnsi="Calibri"/>
                <w:b w:val="0"/>
                <w:color w:val="19232D"/>
                <w:sz w:val="17"/>
              </w:rPr>
              <w:t>Travel policy, expense policy, per diem rules, grade-wise entitlements, domestic/international approval rules, escalation rules, delegation rules.</w:t>
            </w:r>
          </w:p>
        </w:tc>
      </w:tr>
      <w:tr>
        <w:tc>
          <w:tcPr>
            <w:tcW w:type="dxa" w:w="4680"/>
            <w:vAlign w:val="center"/>
          </w:tcPr>
          <w:p>
            <w:pPr>
              <w:spacing w:after="0" w:line="259" w:lineRule="auto"/>
            </w:pPr>
            <w:r/>
            <w:r>
              <w:rPr>
                <w:rFonts w:ascii="Calibri" w:hAnsi="Calibri"/>
                <w:b w:val="0"/>
                <w:color w:val="19232D"/>
                <w:sz w:val="17"/>
              </w:rPr>
              <w:t>Systems and Integration Access</w:t>
            </w:r>
          </w:p>
        </w:tc>
        <w:tc>
          <w:tcPr>
            <w:tcW w:type="dxa" w:w="4680"/>
            <w:vAlign w:val="center"/>
          </w:tcPr>
          <w:p>
            <w:pPr>
              <w:spacing w:after="0" w:line="259" w:lineRule="auto"/>
            </w:pPr>
            <w:r/>
            <w:r>
              <w:rPr>
                <w:rFonts w:ascii="Calibri" w:hAnsi="Calibri"/>
                <w:b w:val="0"/>
                <w:color w:val="19232D"/>
                <w:sz w:val="17"/>
              </w:rPr>
              <w:t>HRMS details, Finance/ERP details, SSO/AD details, API documentation, sandbox credentials, SFTP/API availability, security approvals.</w:t>
            </w:r>
          </w:p>
        </w:tc>
      </w:tr>
      <w:tr>
        <w:tc>
          <w:tcPr>
            <w:tcW w:type="dxa" w:w="4680"/>
            <w:vAlign w:val="center"/>
          </w:tcPr>
          <w:p>
            <w:pPr>
              <w:spacing w:after="0" w:line="259" w:lineRule="auto"/>
            </w:pPr>
            <w:r/>
            <w:r>
              <w:rPr>
                <w:rFonts w:ascii="Calibri" w:hAnsi="Calibri"/>
                <w:b w:val="0"/>
                <w:color w:val="19232D"/>
                <w:sz w:val="17"/>
              </w:rPr>
              <w:t>Data and Migration</w:t>
            </w:r>
          </w:p>
        </w:tc>
        <w:tc>
          <w:tcPr>
            <w:tcW w:type="dxa" w:w="4680"/>
            <w:vAlign w:val="center"/>
          </w:tcPr>
          <w:p>
            <w:pPr>
              <w:spacing w:after="0" w:line="259" w:lineRule="auto"/>
            </w:pPr>
            <w:r/>
            <w:r>
              <w:rPr>
                <w:rFonts w:ascii="Calibri" w:hAnsi="Calibri"/>
                <w:b w:val="0"/>
                <w:color w:val="19232D"/>
                <w:sz w:val="17"/>
              </w:rPr>
              <w:t>Employee master data, vendor/travel agency master data, historical travel or expense data if migration is required, data retention expectations.</w:t>
            </w:r>
          </w:p>
        </w:tc>
      </w:tr>
      <w:tr>
        <w:tc>
          <w:tcPr>
            <w:tcW w:type="dxa" w:w="4680"/>
            <w:vAlign w:val="center"/>
          </w:tcPr>
          <w:p>
            <w:pPr>
              <w:spacing w:after="0" w:line="259" w:lineRule="auto"/>
            </w:pPr>
            <w:r/>
            <w:r>
              <w:rPr>
                <w:rFonts w:ascii="Calibri" w:hAnsi="Calibri"/>
                <w:b w:val="0"/>
                <w:color w:val="19232D"/>
                <w:sz w:val="17"/>
              </w:rPr>
              <w:t>Commercial and Timeline Inputs</w:t>
            </w:r>
          </w:p>
        </w:tc>
        <w:tc>
          <w:tcPr>
            <w:tcW w:type="dxa" w:w="4680"/>
            <w:vAlign w:val="center"/>
          </w:tcPr>
          <w:p>
            <w:pPr>
              <w:spacing w:after="0" w:line="259" w:lineRule="auto"/>
            </w:pPr>
            <w:r/>
            <w:r>
              <w:rPr>
                <w:rFonts w:ascii="Calibri" w:hAnsi="Calibri"/>
                <w:b w:val="0"/>
                <w:color w:val="19232D"/>
                <w:sz w:val="17"/>
              </w:rPr>
              <w:t>Preferred go-live date, rollout approach, existing Zoho subscriptions, procurement process, invoice details, acceptance and payment contacts.</w:t>
            </w:r>
          </w:p>
        </w:tc>
      </w:tr>
    </w:tbl>
    <w:p>
      <w:pPr>
        <w:spacing w:after="60"/>
      </w:pPr>
    </w:p>
    <w:p>
      <w:pPr>
        <w:pStyle w:val="Heading1"/>
        <w:keepNext/>
      </w:pPr>
      <w:r>
        <w:t>7. License Optimization Strategy</w:t>
      </w:r>
    </w:p>
    <w:p>
      <w:pPr>
        <w:spacing w:before="0" w:after="160" w:line="300" w:lineRule="auto"/>
      </w:pPr>
      <w:r>
        <w:rPr>
          <w:rFonts w:ascii="Calibri" w:hAnsi="Calibri"/>
          <w:color w:val="19232D"/>
        </w:rPr>
        <w:t>For a 10,000-employee organization, the key cost-control principle is targeted procurement rather than blanket licensing. Zoho Creator should be licensed only for core system administrators, Travel Desk operators, and finance operations users. The broader employee base should use Zoho Expense under the active-user model.</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1872"/>
        <w:gridCol w:w="1872"/>
        <w:gridCol w:w="1872"/>
        <w:gridCol w:w="1872"/>
        <w:gridCol w:w="1872"/>
      </w:tblGrid>
      <w:tr>
        <w:tc>
          <w:tcPr>
            <w:tcW w:type="dxa" w:w="2232"/>
            <w:vAlign w:val="center"/>
            <w:shd w:fill="1F4D78"/>
          </w:tcPr>
          <w:p>
            <w:pPr>
              <w:spacing w:after="0" w:line="259" w:lineRule="auto"/>
            </w:pPr>
            <w:r/>
            <w:r>
              <w:rPr>
                <w:rFonts w:ascii="Calibri" w:hAnsi="Calibri"/>
                <w:b/>
                <w:color w:val="FFFFFF"/>
                <w:sz w:val="15"/>
              </w:rPr>
              <w:t>Role Category</w:t>
            </w:r>
          </w:p>
        </w:tc>
        <w:tc>
          <w:tcPr>
            <w:tcW w:type="dxa" w:w="1007"/>
            <w:vAlign w:val="center"/>
            <w:shd w:fill="1F4D78"/>
          </w:tcPr>
          <w:p>
            <w:pPr>
              <w:spacing w:after="0" w:line="259" w:lineRule="auto"/>
            </w:pPr>
            <w:r/>
            <w:r>
              <w:rPr>
                <w:rFonts w:ascii="Calibri" w:hAnsi="Calibri"/>
                <w:b/>
                <w:color w:val="FFFFFF"/>
                <w:sz w:val="15"/>
              </w:rPr>
              <w:t>Users</w:t>
            </w:r>
          </w:p>
        </w:tc>
        <w:tc>
          <w:tcPr>
            <w:tcW w:type="dxa" w:w="1728"/>
            <w:vAlign w:val="center"/>
            <w:shd w:fill="1F4D78"/>
          </w:tcPr>
          <w:p>
            <w:pPr>
              <w:spacing w:after="0" w:line="259" w:lineRule="auto"/>
            </w:pPr>
            <w:r/>
            <w:r>
              <w:rPr>
                <w:rFonts w:ascii="Calibri" w:hAnsi="Calibri"/>
                <w:b/>
                <w:color w:val="FFFFFF"/>
                <w:sz w:val="15"/>
              </w:rPr>
              <w:t>Product</w:t>
            </w:r>
          </w:p>
        </w:tc>
        <w:tc>
          <w:tcPr>
            <w:tcW w:type="dxa" w:w="1944"/>
            <w:vAlign w:val="center"/>
            <w:shd w:fill="1F4D78"/>
          </w:tcPr>
          <w:p>
            <w:pPr>
              <w:spacing w:after="0" w:line="259" w:lineRule="auto"/>
            </w:pPr>
            <w:r/>
            <w:r>
              <w:rPr>
                <w:rFonts w:ascii="Calibri" w:hAnsi="Calibri"/>
                <w:b/>
                <w:color w:val="FFFFFF"/>
                <w:sz w:val="15"/>
              </w:rPr>
              <w:t>License Type</w:t>
            </w:r>
          </w:p>
        </w:tc>
        <w:tc>
          <w:tcPr>
            <w:tcW w:type="dxa" w:w="2448"/>
            <w:vAlign w:val="center"/>
            <w:shd w:fill="1F4D78"/>
          </w:tcPr>
          <w:p>
            <w:pPr>
              <w:spacing w:after="0" w:line="259" w:lineRule="auto"/>
            </w:pPr>
            <w:r/>
            <w:r>
              <w:rPr>
                <w:rFonts w:ascii="Calibri" w:hAnsi="Calibri"/>
                <w:b/>
                <w:color w:val="FFFFFF"/>
                <w:sz w:val="15"/>
              </w:rPr>
              <w:t>Rationale</w:t>
            </w:r>
          </w:p>
        </w:tc>
      </w:tr>
      <w:tr>
        <w:tc>
          <w:tcPr>
            <w:tcW w:type="dxa" w:w="1872"/>
            <w:vAlign w:val="center"/>
          </w:tcPr>
          <w:p>
            <w:pPr>
              <w:spacing w:after="0" w:line="259" w:lineRule="auto"/>
            </w:pPr>
            <w:r/>
            <w:r>
              <w:rPr>
                <w:rFonts w:ascii="Calibri" w:hAnsi="Calibri"/>
                <w:b w:val="0"/>
                <w:color w:val="19232D"/>
                <w:sz w:val="15"/>
              </w:rPr>
              <w:t>System Admin / Workflow Owner</w:t>
            </w:r>
          </w:p>
        </w:tc>
        <w:tc>
          <w:tcPr>
            <w:tcW w:type="dxa" w:w="1872"/>
            <w:vAlign w:val="center"/>
          </w:tcPr>
          <w:p>
            <w:pPr>
              <w:spacing w:after="0" w:line="259" w:lineRule="auto"/>
            </w:pPr>
            <w:r/>
            <w:r>
              <w:rPr>
                <w:rFonts w:ascii="Calibri" w:hAnsi="Calibri"/>
                <w:b w:val="0"/>
                <w:color w:val="19232D"/>
                <w:sz w:val="15"/>
              </w:rPr>
              <w:t>3-8</w:t>
            </w:r>
          </w:p>
        </w:tc>
        <w:tc>
          <w:tcPr>
            <w:tcW w:type="dxa" w:w="1872"/>
            <w:vAlign w:val="center"/>
          </w:tcPr>
          <w:p>
            <w:pPr>
              <w:spacing w:after="0" w:line="259" w:lineRule="auto"/>
            </w:pPr>
            <w:r/>
            <w:r>
              <w:rPr>
                <w:rFonts w:ascii="Calibri" w:hAnsi="Calibri"/>
                <w:b w:val="0"/>
                <w:color w:val="19232D"/>
                <w:sz w:val="15"/>
              </w:rPr>
              <w:t>Zoho Creator Plus</w:t>
            </w:r>
          </w:p>
        </w:tc>
        <w:tc>
          <w:tcPr>
            <w:tcW w:type="dxa" w:w="1872"/>
            <w:vAlign w:val="center"/>
          </w:tcPr>
          <w:p>
            <w:pPr>
              <w:spacing w:after="0" w:line="259" w:lineRule="auto"/>
            </w:pPr>
            <w:r/>
            <w:r>
              <w:rPr>
                <w:rFonts w:ascii="Calibri" w:hAnsi="Calibri"/>
                <w:b w:val="0"/>
                <w:color w:val="19232D"/>
                <w:sz w:val="15"/>
              </w:rPr>
              <w:t>Full named user</w:t>
            </w:r>
          </w:p>
        </w:tc>
        <w:tc>
          <w:tcPr>
            <w:tcW w:type="dxa" w:w="1872"/>
            <w:vAlign w:val="center"/>
          </w:tcPr>
          <w:p>
            <w:pPr>
              <w:spacing w:after="0" w:line="259" w:lineRule="auto"/>
            </w:pPr>
            <w:r/>
            <w:r>
              <w:rPr>
                <w:rFonts w:ascii="Calibri" w:hAnsi="Calibri"/>
                <w:b w:val="0"/>
                <w:color w:val="19232D"/>
                <w:sz w:val="15"/>
              </w:rPr>
              <w:t>Platform control, policy configuration, audit access.</w:t>
            </w:r>
          </w:p>
        </w:tc>
      </w:tr>
      <w:tr>
        <w:tc>
          <w:tcPr>
            <w:tcW w:type="dxa" w:w="1872"/>
            <w:vAlign w:val="center"/>
          </w:tcPr>
          <w:p>
            <w:pPr>
              <w:spacing w:after="0" w:line="259" w:lineRule="auto"/>
            </w:pPr>
            <w:r/>
            <w:r>
              <w:rPr>
                <w:rFonts w:ascii="Calibri" w:hAnsi="Calibri"/>
                <w:b w:val="0"/>
                <w:color w:val="19232D"/>
                <w:sz w:val="15"/>
              </w:rPr>
              <w:t>Travel Desk Operations</w:t>
            </w:r>
          </w:p>
        </w:tc>
        <w:tc>
          <w:tcPr>
            <w:tcW w:type="dxa" w:w="1872"/>
            <w:vAlign w:val="center"/>
          </w:tcPr>
          <w:p>
            <w:pPr>
              <w:spacing w:after="0" w:line="259" w:lineRule="auto"/>
            </w:pPr>
            <w:r/>
            <w:r>
              <w:rPr>
                <w:rFonts w:ascii="Calibri" w:hAnsi="Calibri"/>
                <w:b w:val="0"/>
                <w:color w:val="19232D"/>
                <w:sz w:val="15"/>
              </w:rPr>
              <w:t>10-25</w:t>
            </w:r>
          </w:p>
        </w:tc>
        <w:tc>
          <w:tcPr>
            <w:tcW w:type="dxa" w:w="1872"/>
            <w:vAlign w:val="center"/>
          </w:tcPr>
          <w:p>
            <w:pPr>
              <w:spacing w:after="0" w:line="259" w:lineRule="auto"/>
            </w:pPr>
            <w:r/>
            <w:r>
              <w:rPr>
                <w:rFonts w:ascii="Calibri" w:hAnsi="Calibri"/>
                <w:b w:val="0"/>
                <w:color w:val="19232D"/>
                <w:sz w:val="15"/>
              </w:rPr>
              <w:t>Zoho Creator Plus</w:t>
            </w:r>
          </w:p>
        </w:tc>
        <w:tc>
          <w:tcPr>
            <w:tcW w:type="dxa" w:w="1872"/>
            <w:vAlign w:val="center"/>
          </w:tcPr>
          <w:p>
            <w:pPr>
              <w:spacing w:after="0" w:line="259" w:lineRule="auto"/>
            </w:pPr>
            <w:r/>
            <w:r>
              <w:rPr>
                <w:rFonts w:ascii="Calibri" w:hAnsi="Calibri"/>
                <w:b w:val="0"/>
                <w:color w:val="19232D"/>
                <w:sz w:val="15"/>
              </w:rPr>
              <w:t>Full named user</w:t>
            </w:r>
          </w:p>
        </w:tc>
        <w:tc>
          <w:tcPr>
            <w:tcW w:type="dxa" w:w="1872"/>
            <w:vAlign w:val="center"/>
          </w:tcPr>
          <w:p>
            <w:pPr>
              <w:spacing w:after="0" w:line="259" w:lineRule="auto"/>
            </w:pPr>
            <w:r/>
            <w:r>
              <w:rPr>
                <w:rFonts w:ascii="Calibri" w:hAnsi="Calibri"/>
                <w:b w:val="0"/>
                <w:color w:val="19232D"/>
                <w:sz w:val="15"/>
              </w:rPr>
              <w:t>PNR updates, vendor booking, e-ticket management.</w:t>
            </w:r>
          </w:p>
        </w:tc>
      </w:tr>
      <w:tr>
        <w:tc>
          <w:tcPr>
            <w:tcW w:type="dxa" w:w="1872"/>
            <w:vAlign w:val="center"/>
          </w:tcPr>
          <w:p>
            <w:pPr>
              <w:spacing w:after="0" w:line="259" w:lineRule="auto"/>
            </w:pPr>
            <w:r/>
            <w:r>
              <w:rPr>
                <w:rFonts w:ascii="Calibri" w:hAnsi="Calibri"/>
                <w:b w:val="0"/>
                <w:color w:val="19232D"/>
                <w:sz w:val="15"/>
              </w:rPr>
              <w:t>Finance / Reimbursement Ops</w:t>
            </w:r>
          </w:p>
        </w:tc>
        <w:tc>
          <w:tcPr>
            <w:tcW w:type="dxa" w:w="1872"/>
            <w:vAlign w:val="center"/>
          </w:tcPr>
          <w:p>
            <w:pPr>
              <w:spacing w:after="0" w:line="259" w:lineRule="auto"/>
            </w:pPr>
            <w:r/>
            <w:r>
              <w:rPr>
                <w:rFonts w:ascii="Calibri" w:hAnsi="Calibri"/>
                <w:b w:val="0"/>
                <w:color w:val="19232D"/>
                <w:sz w:val="15"/>
              </w:rPr>
              <w:t>5-15</w:t>
            </w:r>
          </w:p>
        </w:tc>
        <w:tc>
          <w:tcPr>
            <w:tcW w:type="dxa" w:w="1872"/>
            <w:vAlign w:val="center"/>
          </w:tcPr>
          <w:p>
            <w:pPr>
              <w:spacing w:after="0" w:line="259" w:lineRule="auto"/>
            </w:pPr>
            <w:r/>
            <w:r>
              <w:rPr>
                <w:rFonts w:ascii="Calibri" w:hAnsi="Calibri"/>
                <w:b w:val="0"/>
                <w:color w:val="19232D"/>
                <w:sz w:val="15"/>
              </w:rPr>
              <w:t>Zoho Creator Plus + Expense</w:t>
            </w:r>
          </w:p>
        </w:tc>
        <w:tc>
          <w:tcPr>
            <w:tcW w:type="dxa" w:w="1872"/>
            <w:vAlign w:val="center"/>
          </w:tcPr>
          <w:p>
            <w:pPr>
              <w:spacing w:after="0" w:line="259" w:lineRule="auto"/>
            </w:pPr>
            <w:r/>
            <w:r>
              <w:rPr>
                <w:rFonts w:ascii="Calibri" w:hAnsi="Calibri"/>
                <w:b w:val="0"/>
                <w:color w:val="19232D"/>
                <w:sz w:val="15"/>
              </w:rPr>
              <w:t>Named operational user</w:t>
            </w:r>
          </w:p>
        </w:tc>
        <w:tc>
          <w:tcPr>
            <w:tcW w:type="dxa" w:w="1872"/>
            <w:vAlign w:val="center"/>
          </w:tcPr>
          <w:p>
            <w:pPr>
              <w:spacing w:after="0" w:line="259" w:lineRule="auto"/>
            </w:pPr>
            <w:r/>
            <w:r>
              <w:rPr>
                <w:rFonts w:ascii="Calibri" w:hAnsi="Calibri"/>
                <w:b w:val="0"/>
                <w:color w:val="19232D"/>
                <w:sz w:val="15"/>
              </w:rPr>
              <w:t>Expense approval, settlement, GST processing.</w:t>
            </w:r>
          </w:p>
        </w:tc>
      </w:tr>
      <w:tr>
        <w:tc>
          <w:tcPr>
            <w:tcW w:type="dxa" w:w="1872"/>
            <w:vAlign w:val="center"/>
          </w:tcPr>
          <w:p>
            <w:pPr>
              <w:spacing w:after="0" w:line="259" w:lineRule="auto"/>
            </w:pPr>
            <w:r/>
            <w:r>
              <w:rPr>
                <w:rFonts w:ascii="Calibri" w:hAnsi="Calibri"/>
                <w:b w:val="0"/>
                <w:color w:val="19232D"/>
                <w:sz w:val="15"/>
              </w:rPr>
              <w:t>Reporting Manager / Approver</w:t>
            </w:r>
          </w:p>
        </w:tc>
        <w:tc>
          <w:tcPr>
            <w:tcW w:type="dxa" w:w="1872"/>
            <w:vAlign w:val="center"/>
          </w:tcPr>
          <w:p>
            <w:pPr>
              <w:spacing w:after="0" w:line="259" w:lineRule="auto"/>
            </w:pPr>
            <w:r/>
            <w:r>
              <w:rPr>
                <w:rFonts w:ascii="Calibri" w:hAnsi="Calibri"/>
                <w:b w:val="0"/>
                <w:color w:val="19232D"/>
                <w:sz w:val="15"/>
              </w:rPr>
              <w:t>100-300</w:t>
            </w:r>
          </w:p>
        </w:tc>
        <w:tc>
          <w:tcPr>
            <w:tcW w:type="dxa" w:w="1872"/>
            <w:vAlign w:val="center"/>
          </w:tcPr>
          <w:p>
            <w:pPr>
              <w:spacing w:after="0" w:line="259" w:lineRule="auto"/>
            </w:pPr>
            <w:r/>
            <w:r>
              <w:rPr>
                <w:rFonts w:ascii="Calibri" w:hAnsi="Calibri"/>
                <w:b w:val="0"/>
                <w:color w:val="19232D"/>
                <w:sz w:val="15"/>
              </w:rPr>
              <w:t>Zoho Expense</w:t>
            </w:r>
          </w:p>
        </w:tc>
        <w:tc>
          <w:tcPr>
            <w:tcW w:type="dxa" w:w="1872"/>
            <w:vAlign w:val="center"/>
          </w:tcPr>
          <w:p>
            <w:pPr>
              <w:spacing w:after="0" w:line="259" w:lineRule="auto"/>
            </w:pPr>
            <w:r/>
            <w:r>
              <w:rPr>
                <w:rFonts w:ascii="Calibri" w:hAnsi="Calibri"/>
                <w:b w:val="0"/>
                <w:color w:val="19232D"/>
                <w:sz w:val="15"/>
              </w:rPr>
              <w:t>Approval-only unless claim submitted</w:t>
            </w:r>
          </w:p>
        </w:tc>
        <w:tc>
          <w:tcPr>
            <w:tcW w:type="dxa" w:w="1872"/>
            <w:vAlign w:val="center"/>
          </w:tcPr>
          <w:p>
            <w:pPr>
              <w:spacing w:after="0" w:line="259" w:lineRule="auto"/>
            </w:pPr>
            <w:r/>
            <w:r>
              <w:rPr>
                <w:rFonts w:ascii="Calibri" w:hAnsi="Calibri"/>
                <w:b w:val="0"/>
                <w:color w:val="19232D"/>
                <w:sz w:val="15"/>
              </w:rPr>
              <w:t>Charged only if also submitting expense reports.</w:t>
            </w:r>
          </w:p>
        </w:tc>
      </w:tr>
      <w:tr>
        <w:tc>
          <w:tcPr>
            <w:tcW w:type="dxa" w:w="1872"/>
            <w:vAlign w:val="center"/>
          </w:tcPr>
          <w:p>
            <w:pPr>
              <w:spacing w:after="0" w:line="259" w:lineRule="auto"/>
            </w:pPr>
            <w:r/>
            <w:r>
              <w:rPr>
                <w:rFonts w:ascii="Calibri" w:hAnsi="Calibri"/>
                <w:b w:val="0"/>
                <w:color w:val="19232D"/>
                <w:sz w:val="15"/>
              </w:rPr>
              <w:t>Employee / Traveler</w:t>
            </w:r>
          </w:p>
        </w:tc>
        <w:tc>
          <w:tcPr>
            <w:tcW w:type="dxa" w:w="1872"/>
            <w:vAlign w:val="center"/>
          </w:tcPr>
          <w:p>
            <w:pPr>
              <w:spacing w:after="0" w:line="259" w:lineRule="auto"/>
            </w:pPr>
            <w:r/>
            <w:r>
              <w:rPr>
                <w:rFonts w:ascii="Calibri" w:hAnsi="Calibri"/>
                <w:b w:val="0"/>
                <w:color w:val="19232D"/>
                <w:sz w:val="15"/>
              </w:rPr>
              <w:t>Up to 10,000</w:t>
            </w:r>
          </w:p>
        </w:tc>
        <w:tc>
          <w:tcPr>
            <w:tcW w:type="dxa" w:w="1872"/>
            <w:vAlign w:val="center"/>
          </w:tcPr>
          <w:p>
            <w:pPr>
              <w:spacing w:after="0" w:line="259" w:lineRule="auto"/>
            </w:pPr>
            <w:r/>
            <w:r>
              <w:rPr>
                <w:rFonts w:ascii="Calibri" w:hAnsi="Calibri"/>
                <w:b w:val="0"/>
                <w:color w:val="19232D"/>
                <w:sz w:val="15"/>
              </w:rPr>
              <w:t>Zoho Expense</w:t>
            </w:r>
          </w:p>
        </w:tc>
        <w:tc>
          <w:tcPr>
            <w:tcW w:type="dxa" w:w="1872"/>
            <w:vAlign w:val="center"/>
          </w:tcPr>
          <w:p>
            <w:pPr>
              <w:spacing w:after="0" w:line="259" w:lineRule="auto"/>
            </w:pPr>
            <w:r/>
            <w:r>
              <w:rPr>
                <w:rFonts w:ascii="Calibri" w:hAnsi="Calibri"/>
                <w:b w:val="0"/>
                <w:color w:val="19232D"/>
                <w:sz w:val="15"/>
              </w:rPr>
              <w:t>Active-user monthly billing</w:t>
            </w:r>
          </w:p>
        </w:tc>
        <w:tc>
          <w:tcPr>
            <w:tcW w:type="dxa" w:w="1872"/>
            <w:vAlign w:val="center"/>
          </w:tcPr>
          <w:p>
            <w:pPr>
              <w:spacing w:after="0" w:line="259" w:lineRule="auto"/>
            </w:pPr>
            <w:r/>
            <w:r>
              <w:rPr>
                <w:rFonts w:ascii="Calibri" w:hAnsi="Calibri"/>
                <w:b w:val="0"/>
                <w:color w:val="19232D"/>
                <w:sz w:val="15"/>
              </w:rPr>
              <w:t>Only monthly claim submitters are billed.</w:t>
            </w:r>
          </w:p>
        </w:tc>
      </w:tr>
    </w:tbl>
    <w:p>
      <w:pPr>
        <w:spacing w:after="60"/>
      </w:pP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F4F6F9"/>
          </w:tcPr>
          <w:p>
            <w:pPr>
              <w:spacing w:after="60"/>
            </w:pPr>
            <w:r/>
            <w:r>
              <w:rPr>
                <w:rFonts w:ascii="Calibri" w:hAnsi="Calibri"/>
                <w:b/>
                <w:color w:val="1F4D78"/>
                <w:sz w:val="21"/>
              </w:rPr>
              <w:t>Procurement Recommendation</w:t>
            </w:r>
          </w:p>
          <w:p>
            <w:pPr>
              <w:spacing w:after="0" w:line="283" w:lineRule="auto"/>
            </w:pPr>
            <w:r>
              <w:rPr>
                <w:rFonts w:ascii="Calibri" w:hAnsi="Calibri"/>
                <w:color w:val="19232D"/>
                <w:sz w:val="19"/>
              </w:rPr>
              <w:t>Use Zoho Creator Plus for approximately 20-40 core operations/admin users and Zoho Expense Premium for the general employee base. Zoho One is not recommended for this use case because all-employee pricing would likely be commercially inefficient for a 10,000-employee population.</w:t>
            </w:r>
          </w:p>
        </w:tc>
      </w:tr>
    </w:tbl>
    <w:p>
      <w:pPr>
        <w:spacing w:after="40"/>
      </w:pPr>
    </w:p>
    <w:p>
      <w:pPr>
        <w:pStyle w:val="Heading1"/>
        <w:keepNext/>
      </w:pPr>
      <w:r>
        <w:t>8. Implementation Methodology and Timeline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2340"/>
        <w:gridCol w:w="2340"/>
        <w:gridCol w:w="2340"/>
        <w:gridCol w:w="2340"/>
      </w:tblGrid>
      <w:tr>
        <w:tc>
          <w:tcPr>
            <w:tcW w:type="dxa" w:w="2376"/>
            <w:vAlign w:val="center"/>
            <w:shd w:fill="F4F6F9"/>
          </w:tcPr>
          <w:p>
            <w:pPr>
              <w:spacing w:after="0" w:line="259" w:lineRule="auto"/>
            </w:pPr>
            <w:r/>
            <w:r>
              <w:rPr>
                <w:rFonts w:ascii="Calibri" w:hAnsi="Calibri"/>
                <w:b/>
                <w:color w:val="1F4D78"/>
                <w:sz w:val="15"/>
              </w:rPr>
              <w:t>Phase</w:t>
            </w:r>
          </w:p>
        </w:tc>
        <w:tc>
          <w:tcPr>
            <w:tcW w:type="dxa" w:w="1224"/>
            <w:vAlign w:val="center"/>
            <w:shd w:fill="F4F6F9"/>
          </w:tcPr>
          <w:p>
            <w:pPr>
              <w:spacing w:after="0" w:line="259" w:lineRule="auto"/>
            </w:pPr>
            <w:r/>
            <w:r>
              <w:rPr>
                <w:rFonts w:ascii="Calibri" w:hAnsi="Calibri"/>
                <w:b/>
                <w:color w:val="1F4D78"/>
                <w:sz w:val="15"/>
              </w:rPr>
              <w:t>Timeline</w:t>
            </w:r>
          </w:p>
        </w:tc>
        <w:tc>
          <w:tcPr>
            <w:tcW w:type="dxa" w:w="3888"/>
            <w:vAlign w:val="center"/>
            <w:shd w:fill="F4F6F9"/>
          </w:tcPr>
          <w:p>
            <w:pPr>
              <w:spacing w:after="0" w:line="259" w:lineRule="auto"/>
            </w:pPr>
            <w:r/>
            <w:r>
              <w:rPr>
                <w:rFonts w:ascii="Calibri" w:hAnsi="Calibri"/>
                <w:b/>
                <w:color w:val="1F4D78"/>
                <w:sz w:val="15"/>
              </w:rPr>
              <w:t>Scope</w:t>
            </w:r>
          </w:p>
        </w:tc>
        <w:tc>
          <w:tcPr>
            <w:tcW w:type="dxa" w:w="1872"/>
            <w:vAlign w:val="center"/>
            <w:shd w:fill="F4F6F9"/>
          </w:tcPr>
          <w:p>
            <w:pPr>
              <w:spacing w:after="0" w:line="259" w:lineRule="auto"/>
            </w:pPr>
            <w:r/>
            <w:r>
              <w:rPr>
                <w:rFonts w:ascii="Calibri" w:hAnsi="Calibri"/>
                <w:b/>
                <w:color w:val="1F4D78"/>
                <w:sz w:val="15"/>
              </w:rPr>
              <w:t>Key Deliverable</w:t>
            </w:r>
          </w:p>
        </w:tc>
      </w:tr>
      <w:tr>
        <w:tc>
          <w:tcPr>
            <w:tcW w:type="dxa" w:w="2340"/>
            <w:vAlign w:val="center"/>
          </w:tcPr>
          <w:p>
            <w:pPr>
              <w:spacing w:after="0" w:line="259" w:lineRule="auto"/>
            </w:pPr>
            <w:r/>
            <w:r>
              <w:rPr>
                <w:rFonts w:ascii="Calibri" w:hAnsi="Calibri"/>
                <w:b w:val="0"/>
                <w:color w:val="19232D"/>
                <w:sz w:val="15"/>
              </w:rPr>
              <w:t>Phase 1: Discovery &amp; Solution Design</w:t>
            </w:r>
          </w:p>
        </w:tc>
        <w:tc>
          <w:tcPr>
            <w:tcW w:type="dxa" w:w="2340"/>
            <w:vAlign w:val="center"/>
          </w:tcPr>
          <w:p>
            <w:pPr>
              <w:spacing w:after="0" w:line="259" w:lineRule="auto"/>
            </w:pPr>
            <w:r/>
            <w:r>
              <w:rPr>
                <w:rFonts w:ascii="Calibri" w:hAnsi="Calibri"/>
                <w:b w:val="0"/>
                <w:color w:val="19232D"/>
                <w:sz w:val="15"/>
              </w:rPr>
              <w:t>Weeks 1-3</w:t>
            </w:r>
          </w:p>
        </w:tc>
        <w:tc>
          <w:tcPr>
            <w:tcW w:type="dxa" w:w="2340"/>
            <w:vAlign w:val="center"/>
          </w:tcPr>
          <w:p>
            <w:pPr>
              <w:spacing w:after="0" w:line="259" w:lineRule="auto"/>
            </w:pPr>
            <w:r/>
            <w:r>
              <w:rPr>
                <w:rFonts w:ascii="Calibri" w:hAnsi="Calibri"/>
                <w:b w:val="0"/>
                <w:color w:val="19232D"/>
                <w:sz w:val="15"/>
              </w:rPr>
              <w:t>Workshops, approval matrix validation, policy mapping, module configuration design, integration specification.</w:t>
            </w:r>
          </w:p>
        </w:tc>
        <w:tc>
          <w:tcPr>
            <w:tcW w:type="dxa" w:w="2340"/>
            <w:vAlign w:val="center"/>
          </w:tcPr>
          <w:p>
            <w:pPr>
              <w:spacing w:after="0" w:line="259" w:lineRule="auto"/>
            </w:pPr>
            <w:r/>
            <w:r>
              <w:rPr>
                <w:rFonts w:ascii="Calibri" w:hAnsi="Calibri"/>
                <w:b w:val="0"/>
                <w:color w:val="19232D"/>
                <w:sz w:val="15"/>
              </w:rPr>
              <w:t>Signed-off Solution Design Document.</w:t>
            </w:r>
          </w:p>
        </w:tc>
      </w:tr>
      <w:tr>
        <w:tc>
          <w:tcPr>
            <w:tcW w:type="dxa" w:w="2340"/>
            <w:vAlign w:val="center"/>
          </w:tcPr>
          <w:p>
            <w:pPr>
              <w:spacing w:after="0" w:line="259" w:lineRule="auto"/>
            </w:pPr>
            <w:r/>
            <w:r>
              <w:rPr>
                <w:rFonts w:ascii="Calibri" w:hAnsi="Calibri"/>
                <w:b w:val="0"/>
                <w:color w:val="19232D"/>
                <w:sz w:val="15"/>
              </w:rPr>
              <w:t>Phase 2: Core Build</w:t>
            </w:r>
          </w:p>
        </w:tc>
        <w:tc>
          <w:tcPr>
            <w:tcW w:type="dxa" w:w="2340"/>
            <w:vAlign w:val="center"/>
          </w:tcPr>
          <w:p>
            <w:pPr>
              <w:spacing w:after="0" w:line="259" w:lineRule="auto"/>
            </w:pPr>
            <w:r/>
            <w:r>
              <w:rPr>
                <w:rFonts w:ascii="Calibri" w:hAnsi="Calibri"/>
                <w:b w:val="0"/>
                <w:color w:val="19232D"/>
                <w:sz w:val="15"/>
              </w:rPr>
              <w:t>Weeks 4-12</w:t>
            </w:r>
          </w:p>
        </w:tc>
        <w:tc>
          <w:tcPr>
            <w:tcW w:type="dxa" w:w="2340"/>
            <w:vAlign w:val="center"/>
          </w:tcPr>
          <w:p>
            <w:pPr>
              <w:spacing w:after="0" w:line="259" w:lineRule="auto"/>
            </w:pPr>
            <w:r/>
            <w:r>
              <w:rPr>
                <w:rFonts w:ascii="Calibri" w:hAnsi="Calibri"/>
                <w:b w:val="0"/>
                <w:color w:val="19232D"/>
                <w:sz w:val="15"/>
              </w:rPr>
              <w:t>Zoho Creator travel module, Zoho Expense configuration, approval engine, workflow automation.</w:t>
            </w:r>
          </w:p>
        </w:tc>
        <w:tc>
          <w:tcPr>
            <w:tcW w:type="dxa" w:w="2340"/>
            <w:vAlign w:val="center"/>
          </w:tcPr>
          <w:p>
            <w:pPr>
              <w:spacing w:after="0" w:line="259" w:lineRule="auto"/>
            </w:pPr>
            <w:r/>
            <w:r>
              <w:rPr>
                <w:rFonts w:ascii="Calibri" w:hAnsi="Calibri"/>
                <w:b w:val="0"/>
                <w:color w:val="19232D"/>
                <w:sz w:val="15"/>
              </w:rPr>
              <w:t>Working system in staging environment.</w:t>
            </w:r>
          </w:p>
        </w:tc>
      </w:tr>
      <w:tr>
        <w:tc>
          <w:tcPr>
            <w:tcW w:type="dxa" w:w="2340"/>
            <w:vAlign w:val="center"/>
          </w:tcPr>
          <w:p>
            <w:pPr>
              <w:spacing w:after="0" w:line="259" w:lineRule="auto"/>
            </w:pPr>
            <w:r/>
            <w:r>
              <w:rPr>
                <w:rFonts w:ascii="Calibri" w:hAnsi="Calibri"/>
                <w:b w:val="0"/>
                <w:color w:val="19232D"/>
                <w:sz w:val="15"/>
              </w:rPr>
              <w:t>Phase 3: Integration &amp; Testing</w:t>
            </w:r>
          </w:p>
        </w:tc>
        <w:tc>
          <w:tcPr>
            <w:tcW w:type="dxa" w:w="2340"/>
            <w:vAlign w:val="center"/>
          </w:tcPr>
          <w:p>
            <w:pPr>
              <w:spacing w:after="0" w:line="259" w:lineRule="auto"/>
            </w:pPr>
            <w:r/>
            <w:r>
              <w:rPr>
                <w:rFonts w:ascii="Calibri" w:hAnsi="Calibri"/>
                <w:b w:val="0"/>
                <w:color w:val="19232D"/>
                <w:sz w:val="15"/>
              </w:rPr>
              <w:t>Weeks 13-18</w:t>
            </w:r>
          </w:p>
        </w:tc>
        <w:tc>
          <w:tcPr>
            <w:tcW w:type="dxa" w:w="2340"/>
            <w:vAlign w:val="center"/>
          </w:tcPr>
          <w:p>
            <w:pPr>
              <w:spacing w:after="0" w:line="259" w:lineRule="auto"/>
            </w:pPr>
            <w:r/>
            <w:r>
              <w:rPr>
                <w:rFonts w:ascii="Calibri" w:hAnsi="Calibri"/>
                <w:b w:val="0"/>
                <w:color w:val="19232D"/>
                <w:sz w:val="15"/>
              </w:rPr>
              <w:t>HRMS/AD, Finance/ERP, travel API connections, dashboards, SIT, performance and security review.</w:t>
            </w:r>
          </w:p>
        </w:tc>
        <w:tc>
          <w:tcPr>
            <w:tcW w:type="dxa" w:w="2340"/>
            <w:vAlign w:val="center"/>
          </w:tcPr>
          <w:p>
            <w:pPr>
              <w:spacing w:after="0" w:line="259" w:lineRule="auto"/>
            </w:pPr>
            <w:r/>
            <w:r>
              <w:rPr>
                <w:rFonts w:ascii="Calibri" w:hAnsi="Calibri"/>
                <w:b w:val="0"/>
                <w:color w:val="19232D"/>
                <w:sz w:val="15"/>
              </w:rPr>
              <w:t>Integrated system ready for UAT.</w:t>
            </w:r>
          </w:p>
        </w:tc>
      </w:tr>
      <w:tr>
        <w:tc>
          <w:tcPr>
            <w:tcW w:type="dxa" w:w="2340"/>
            <w:vAlign w:val="center"/>
          </w:tcPr>
          <w:p>
            <w:pPr>
              <w:spacing w:after="0" w:line="259" w:lineRule="auto"/>
            </w:pPr>
            <w:r/>
            <w:r>
              <w:rPr>
                <w:rFonts w:ascii="Calibri" w:hAnsi="Calibri"/>
                <w:b w:val="0"/>
                <w:color w:val="19232D"/>
                <w:sz w:val="15"/>
              </w:rPr>
              <w:t>Phase 4: UAT, Training &amp; Go-Live</w:t>
            </w:r>
          </w:p>
        </w:tc>
        <w:tc>
          <w:tcPr>
            <w:tcW w:type="dxa" w:w="2340"/>
            <w:vAlign w:val="center"/>
          </w:tcPr>
          <w:p>
            <w:pPr>
              <w:spacing w:after="0" w:line="259" w:lineRule="auto"/>
            </w:pPr>
            <w:r/>
            <w:r>
              <w:rPr>
                <w:rFonts w:ascii="Calibri" w:hAnsi="Calibri"/>
                <w:b w:val="0"/>
                <w:color w:val="19232D"/>
                <w:sz w:val="15"/>
              </w:rPr>
              <w:t>Weeks 19-24</w:t>
            </w:r>
          </w:p>
        </w:tc>
        <w:tc>
          <w:tcPr>
            <w:tcW w:type="dxa" w:w="2340"/>
            <w:vAlign w:val="center"/>
          </w:tcPr>
          <w:p>
            <w:pPr>
              <w:spacing w:after="0" w:line="259" w:lineRule="auto"/>
            </w:pPr>
            <w:r/>
            <w:r>
              <w:rPr>
                <w:rFonts w:ascii="Calibri" w:hAnsi="Calibri"/>
                <w:b w:val="0"/>
                <w:color w:val="19232D"/>
                <w:sz w:val="15"/>
              </w:rPr>
              <w:t>UAT support, issue closure, administrator training, end-user orientation, phased production rollout.</w:t>
            </w:r>
          </w:p>
        </w:tc>
        <w:tc>
          <w:tcPr>
            <w:tcW w:type="dxa" w:w="2340"/>
            <w:vAlign w:val="center"/>
          </w:tcPr>
          <w:p>
            <w:pPr>
              <w:spacing w:after="0" w:line="259" w:lineRule="auto"/>
            </w:pPr>
            <w:r/>
            <w:r>
              <w:rPr>
                <w:rFonts w:ascii="Calibri" w:hAnsi="Calibri"/>
                <w:b w:val="0"/>
                <w:color w:val="19232D"/>
                <w:sz w:val="15"/>
              </w:rPr>
              <w:t>Live production system with go-live sign-off.</w:t>
            </w:r>
          </w:p>
        </w:tc>
      </w:tr>
    </w:tbl>
    <w:p>
      <w:pPr>
        <w:spacing w:after="60"/>
      </w:pPr>
    </w:p>
    <w:p>
      <w:pPr>
        <w:pStyle w:val="Heading1"/>
        <w:keepNext/>
      </w:pPr>
      <w:r>
        <w:t>9. Commercial Proposal</w:t>
      </w:r>
    </w:p>
    <w:p>
      <w:pPr>
        <w:pStyle w:val="Heading2"/>
        <w:keepNext/>
      </w:pPr>
      <w:r>
        <w:t>9.1 One-Time Professional Services Fee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3120"/>
        <w:gridCol w:w="3120"/>
        <w:gridCol w:w="3120"/>
      </w:tblGrid>
      <w:tr>
        <w:tc>
          <w:tcPr>
            <w:tcW w:type="dxa" w:w="2664"/>
            <w:vAlign w:val="center"/>
            <w:shd w:fill="1F4D78"/>
          </w:tcPr>
          <w:p>
            <w:pPr>
              <w:spacing w:after="0" w:line="259" w:lineRule="auto"/>
            </w:pPr>
            <w:r/>
            <w:r>
              <w:rPr>
                <w:rFonts w:ascii="Calibri" w:hAnsi="Calibri"/>
                <w:b/>
                <w:color w:val="FFFFFF"/>
                <w:sz w:val="15"/>
              </w:rPr>
              <w:t>Delivery Component</w:t>
            </w:r>
          </w:p>
        </w:tc>
        <w:tc>
          <w:tcPr>
            <w:tcW w:type="dxa" w:w="4968"/>
            <w:vAlign w:val="center"/>
            <w:shd w:fill="1F4D78"/>
          </w:tcPr>
          <w:p>
            <w:pPr>
              <w:spacing w:after="0" w:line="259" w:lineRule="auto"/>
            </w:pPr>
            <w:r/>
            <w:r>
              <w:rPr>
                <w:rFonts w:ascii="Calibri" w:hAnsi="Calibri"/>
                <w:b/>
                <w:color w:val="FFFFFF"/>
                <w:sz w:val="15"/>
              </w:rPr>
              <w:t>Scope</w:t>
            </w:r>
          </w:p>
        </w:tc>
        <w:tc>
          <w:tcPr>
            <w:tcW w:type="dxa" w:w="1728"/>
            <w:vAlign w:val="center"/>
            <w:shd w:fill="1F4D78"/>
          </w:tcPr>
          <w:p>
            <w:pPr>
              <w:spacing w:after="0" w:line="259" w:lineRule="auto"/>
            </w:pPr>
            <w:r/>
            <w:r>
              <w:rPr>
                <w:rFonts w:ascii="Calibri" w:hAnsi="Calibri"/>
                <w:b/>
                <w:color w:val="FFFFFF"/>
                <w:sz w:val="15"/>
              </w:rPr>
              <w:t>Cost</w:t>
            </w:r>
          </w:p>
        </w:tc>
      </w:tr>
      <w:tr>
        <w:tc>
          <w:tcPr>
            <w:tcW w:type="dxa" w:w="3120"/>
            <w:vAlign w:val="center"/>
          </w:tcPr>
          <w:p>
            <w:pPr>
              <w:spacing w:after="0" w:line="259" w:lineRule="auto"/>
            </w:pPr>
            <w:r/>
            <w:r>
              <w:rPr>
                <w:rFonts w:ascii="Calibri" w:hAnsi="Calibri"/>
                <w:b w:val="0"/>
                <w:color w:val="19232D"/>
                <w:sz w:val="15"/>
              </w:rPr>
              <w:t>Discovery &amp; Architecture</w:t>
            </w:r>
          </w:p>
        </w:tc>
        <w:tc>
          <w:tcPr>
            <w:tcW w:type="dxa" w:w="3120"/>
            <w:vAlign w:val="center"/>
          </w:tcPr>
          <w:p>
            <w:pPr>
              <w:spacing w:after="0" w:line="259" w:lineRule="auto"/>
            </w:pPr>
            <w:r/>
            <w:r>
              <w:rPr>
                <w:rFonts w:ascii="Calibri" w:hAnsi="Calibri"/>
                <w:b w:val="0"/>
                <w:color w:val="19232D"/>
                <w:sz w:val="15"/>
              </w:rPr>
              <w:t>Requirements workshops, workflow mapping, approval matrix design, SDD documentation.</w:t>
            </w:r>
          </w:p>
        </w:tc>
        <w:tc>
          <w:tcPr>
            <w:tcW w:type="dxa" w:w="3120"/>
            <w:vAlign w:val="center"/>
          </w:tcPr>
          <w:p>
            <w:pPr>
              <w:spacing w:after="0" w:line="259" w:lineRule="auto"/>
            </w:pPr>
            <w:r/>
            <w:r>
              <w:rPr>
                <w:rFonts w:ascii="Calibri" w:hAnsi="Calibri"/>
                <w:b w:val="0"/>
                <w:color w:val="19232D"/>
                <w:sz w:val="15"/>
              </w:rPr>
              <w:t>INR 2,50,000</w:t>
            </w:r>
          </w:p>
        </w:tc>
      </w:tr>
      <w:tr>
        <w:tc>
          <w:tcPr>
            <w:tcW w:type="dxa" w:w="3120"/>
            <w:vAlign w:val="center"/>
          </w:tcPr>
          <w:p>
            <w:pPr>
              <w:spacing w:after="0" w:line="259" w:lineRule="auto"/>
            </w:pPr>
            <w:r/>
            <w:r>
              <w:rPr>
                <w:rFonts w:ascii="Calibri" w:hAnsi="Calibri"/>
                <w:b w:val="0"/>
                <w:color w:val="19232D"/>
                <w:sz w:val="15"/>
              </w:rPr>
              <w:t>Zoho Creator Travel Module Build</w:t>
            </w:r>
          </w:p>
        </w:tc>
        <w:tc>
          <w:tcPr>
            <w:tcW w:type="dxa" w:w="3120"/>
            <w:vAlign w:val="center"/>
          </w:tcPr>
          <w:p>
            <w:pPr>
              <w:spacing w:after="0" w:line="259" w:lineRule="auto"/>
            </w:pPr>
            <w:r/>
            <w:r>
              <w:rPr>
                <w:rFonts w:ascii="Calibri" w:hAnsi="Calibri"/>
                <w:b w:val="0"/>
                <w:color w:val="19232D"/>
                <w:sz w:val="15"/>
              </w:rPr>
              <w:t>Travel request forms, multi-city handling, PNR, vendor mapping, cancellation/reschedule, Travel Desk dashboard.</w:t>
            </w:r>
          </w:p>
        </w:tc>
        <w:tc>
          <w:tcPr>
            <w:tcW w:type="dxa" w:w="3120"/>
            <w:vAlign w:val="center"/>
          </w:tcPr>
          <w:p>
            <w:pPr>
              <w:spacing w:after="0" w:line="259" w:lineRule="auto"/>
            </w:pPr>
            <w:r/>
            <w:r>
              <w:rPr>
                <w:rFonts w:ascii="Calibri" w:hAnsi="Calibri"/>
                <w:b w:val="0"/>
                <w:color w:val="19232D"/>
                <w:sz w:val="15"/>
              </w:rPr>
              <w:t>INR 6,50,000</w:t>
            </w:r>
          </w:p>
        </w:tc>
      </w:tr>
      <w:tr>
        <w:tc>
          <w:tcPr>
            <w:tcW w:type="dxa" w:w="3120"/>
            <w:vAlign w:val="center"/>
          </w:tcPr>
          <w:p>
            <w:pPr>
              <w:spacing w:after="0" w:line="259" w:lineRule="auto"/>
            </w:pPr>
            <w:r/>
            <w:r>
              <w:rPr>
                <w:rFonts w:ascii="Calibri" w:hAnsi="Calibri"/>
                <w:b w:val="0"/>
                <w:color w:val="19232D"/>
                <w:sz w:val="15"/>
              </w:rPr>
              <w:t>Zoho Expense Configuration</w:t>
            </w:r>
          </w:p>
        </w:tc>
        <w:tc>
          <w:tcPr>
            <w:tcW w:type="dxa" w:w="3120"/>
            <w:vAlign w:val="center"/>
          </w:tcPr>
          <w:p>
            <w:pPr>
              <w:spacing w:after="0" w:line="259" w:lineRule="auto"/>
            </w:pPr>
            <w:r/>
            <w:r>
              <w:rPr>
                <w:rFonts w:ascii="Calibri" w:hAnsi="Calibri"/>
                <w:b w:val="0"/>
                <w:color w:val="19232D"/>
                <w:sz w:val="15"/>
              </w:rPr>
              <w:t>Expense policies, per diems, multi-currency, OCR rules, policy compliance, reimbursements, advances.</w:t>
            </w:r>
          </w:p>
        </w:tc>
        <w:tc>
          <w:tcPr>
            <w:tcW w:type="dxa" w:w="3120"/>
            <w:vAlign w:val="center"/>
          </w:tcPr>
          <w:p>
            <w:pPr>
              <w:spacing w:after="0" w:line="259" w:lineRule="auto"/>
            </w:pPr>
            <w:r/>
            <w:r>
              <w:rPr>
                <w:rFonts w:ascii="Calibri" w:hAnsi="Calibri"/>
                <w:b w:val="0"/>
                <w:color w:val="19232D"/>
                <w:sz w:val="15"/>
              </w:rPr>
              <w:t>INR 3,50,000</w:t>
            </w:r>
          </w:p>
        </w:tc>
      </w:tr>
      <w:tr>
        <w:tc>
          <w:tcPr>
            <w:tcW w:type="dxa" w:w="3120"/>
            <w:vAlign w:val="center"/>
          </w:tcPr>
          <w:p>
            <w:pPr>
              <w:spacing w:after="0" w:line="259" w:lineRule="auto"/>
            </w:pPr>
            <w:r/>
            <w:r>
              <w:rPr>
                <w:rFonts w:ascii="Calibri" w:hAnsi="Calibri"/>
                <w:b w:val="0"/>
                <w:color w:val="19232D"/>
                <w:sz w:val="15"/>
              </w:rPr>
              <w:t>Integration via Zoho Flow</w:t>
            </w:r>
          </w:p>
        </w:tc>
        <w:tc>
          <w:tcPr>
            <w:tcW w:type="dxa" w:w="3120"/>
            <w:vAlign w:val="center"/>
          </w:tcPr>
          <w:p>
            <w:pPr>
              <w:spacing w:after="0" w:line="259" w:lineRule="auto"/>
            </w:pPr>
            <w:r/>
            <w:r>
              <w:rPr>
                <w:rFonts w:ascii="Calibri" w:hAnsi="Calibri"/>
                <w:b w:val="0"/>
                <w:color w:val="19232D"/>
                <w:sz w:val="15"/>
              </w:rPr>
              <w:t>HRMS/AD sync, ERP connections, email/SMS/WhatsApp alerts, approval triggers, travel API bridges.</w:t>
            </w:r>
          </w:p>
        </w:tc>
        <w:tc>
          <w:tcPr>
            <w:tcW w:type="dxa" w:w="3120"/>
            <w:vAlign w:val="center"/>
          </w:tcPr>
          <w:p>
            <w:pPr>
              <w:spacing w:after="0" w:line="259" w:lineRule="auto"/>
            </w:pPr>
            <w:r/>
            <w:r>
              <w:rPr>
                <w:rFonts w:ascii="Calibri" w:hAnsi="Calibri"/>
                <w:b w:val="0"/>
                <w:color w:val="19232D"/>
                <w:sz w:val="15"/>
              </w:rPr>
              <w:t>INR 2,50,000</w:t>
            </w:r>
          </w:p>
        </w:tc>
      </w:tr>
      <w:tr>
        <w:tc>
          <w:tcPr>
            <w:tcW w:type="dxa" w:w="3120"/>
            <w:vAlign w:val="center"/>
          </w:tcPr>
          <w:p>
            <w:pPr>
              <w:spacing w:after="0" w:line="259" w:lineRule="auto"/>
            </w:pPr>
            <w:r/>
            <w:r>
              <w:rPr>
                <w:rFonts w:ascii="Calibri" w:hAnsi="Calibri"/>
                <w:b w:val="0"/>
                <w:color w:val="19232D"/>
                <w:sz w:val="15"/>
              </w:rPr>
              <w:t>Analytics &amp; MIS Dashboards</w:t>
            </w:r>
          </w:p>
        </w:tc>
        <w:tc>
          <w:tcPr>
            <w:tcW w:type="dxa" w:w="3120"/>
            <w:vAlign w:val="center"/>
          </w:tcPr>
          <w:p>
            <w:pPr>
              <w:spacing w:after="0" w:line="259" w:lineRule="auto"/>
            </w:pPr>
            <w:r/>
            <w:r>
              <w:rPr>
                <w:rFonts w:ascii="Calibri" w:hAnsi="Calibri"/>
                <w:b w:val="0"/>
                <w:color w:val="19232D"/>
                <w:sz w:val="15"/>
              </w:rPr>
              <w:t>Travel spend, approval aging, vendor-wise, budget versus actual reports, export capabilities.</w:t>
            </w:r>
          </w:p>
        </w:tc>
        <w:tc>
          <w:tcPr>
            <w:tcW w:type="dxa" w:w="3120"/>
            <w:vAlign w:val="center"/>
          </w:tcPr>
          <w:p>
            <w:pPr>
              <w:spacing w:after="0" w:line="259" w:lineRule="auto"/>
            </w:pPr>
            <w:r/>
            <w:r>
              <w:rPr>
                <w:rFonts w:ascii="Calibri" w:hAnsi="Calibri"/>
                <w:b w:val="0"/>
                <w:color w:val="19232D"/>
                <w:sz w:val="15"/>
              </w:rPr>
              <w:t>INR 1,50,000</w:t>
            </w:r>
          </w:p>
        </w:tc>
      </w:tr>
      <w:tr>
        <w:tc>
          <w:tcPr>
            <w:tcW w:type="dxa" w:w="3120"/>
            <w:vAlign w:val="center"/>
          </w:tcPr>
          <w:p>
            <w:pPr>
              <w:spacing w:after="0" w:line="259" w:lineRule="auto"/>
            </w:pPr>
            <w:r/>
            <w:r>
              <w:rPr>
                <w:rFonts w:ascii="Calibri" w:hAnsi="Calibri"/>
                <w:b w:val="0"/>
                <w:color w:val="19232D"/>
                <w:sz w:val="15"/>
              </w:rPr>
              <w:t>QA, UAT, Training &amp; Go-Live</w:t>
            </w:r>
          </w:p>
        </w:tc>
        <w:tc>
          <w:tcPr>
            <w:tcW w:type="dxa" w:w="3120"/>
            <w:vAlign w:val="center"/>
          </w:tcPr>
          <w:p>
            <w:pPr>
              <w:spacing w:after="0" w:line="259" w:lineRule="auto"/>
            </w:pPr>
            <w:r/>
            <w:r>
              <w:rPr>
                <w:rFonts w:ascii="Calibri" w:hAnsi="Calibri"/>
                <w:b w:val="0"/>
                <w:color w:val="19232D"/>
                <w:sz w:val="15"/>
              </w:rPr>
              <w:t>Testing, UAT coordination, administrator and user training, phased deployment, hypercare.</w:t>
            </w:r>
          </w:p>
        </w:tc>
        <w:tc>
          <w:tcPr>
            <w:tcW w:type="dxa" w:w="3120"/>
            <w:vAlign w:val="center"/>
          </w:tcPr>
          <w:p>
            <w:pPr>
              <w:spacing w:after="0" w:line="259" w:lineRule="auto"/>
            </w:pPr>
            <w:r/>
            <w:r>
              <w:rPr>
                <w:rFonts w:ascii="Calibri" w:hAnsi="Calibri"/>
                <w:b w:val="0"/>
                <w:color w:val="19232D"/>
                <w:sz w:val="15"/>
              </w:rPr>
              <w:t>INR 1,50,000</w:t>
            </w:r>
          </w:p>
        </w:tc>
      </w:tr>
      <w:tr>
        <w:tc>
          <w:tcPr>
            <w:tcW w:type="dxa" w:w="3120"/>
            <w:vAlign w:val="center"/>
          </w:tcPr>
          <w:p>
            <w:pPr>
              <w:spacing w:after="0" w:line="259" w:lineRule="auto"/>
            </w:pPr>
            <w:r/>
            <w:r>
              <w:rPr>
                <w:rFonts w:ascii="Calibri" w:hAnsi="Calibri"/>
                <w:b w:val="0"/>
                <w:color w:val="19232D"/>
                <w:sz w:val="15"/>
              </w:rPr>
              <w:t>Total Professional Services</w:t>
            </w:r>
          </w:p>
        </w:tc>
        <w:tc>
          <w:tcPr>
            <w:tcW w:type="dxa" w:w="3120"/>
            <w:vAlign w:val="center"/>
          </w:tcPr>
          <w:p>
            <w:pPr>
              <w:spacing w:after="0" w:line="259" w:lineRule="auto"/>
            </w:pPr>
            <w:r/>
            <w:r>
              <w:rPr>
                <w:rFonts w:ascii="Calibri" w:hAnsi="Calibri"/>
                <w:b w:val="0"/>
                <w:color w:val="19232D"/>
                <w:sz w:val="15"/>
              </w:rPr>
              <w:t>One-time implementation fee before tax.</w:t>
            </w:r>
          </w:p>
        </w:tc>
        <w:tc>
          <w:tcPr>
            <w:tcW w:type="dxa" w:w="3120"/>
            <w:vAlign w:val="center"/>
          </w:tcPr>
          <w:p>
            <w:pPr>
              <w:spacing w:after="0" w:line="259" w:lineRule="auto"/>
            </w:pPr>
            <w:r/>
            <w:r>
              <w:rPr>
                <w:rFonts w:ascii="Calibri" w:hAnsi="Calibri"/>
                <w:b w:val="0"/>
                <w:color w:val="19232D"/>
                <w:sz w:val="15"/>
              </w:rPr>
              <w:t>INR 18,00,000</w:t>
            </w:r>
          </w:p>
        </w:tc>
      </w:tr>
      <w:tr>
        <w:tc>
          <w:tcPr>
            <w:tcW w:type="dxa" w:w="3120"/>
            <w:vAlign w:val="center"/>
          </w:tcPr>
          <w:p>
            <w:pPr>
              <w:spacing w:after="0" w:line="259" w:lineRule="auto"/>
            </w:pPr>
            <w:r/>
            <w:r>
              <w:rPr>
                <w:rFonts w:ascii="Calibri" w:hAnsi="Calibri"/>
                <w:b w:val="0"/>
                <w:color w:val="19232D"/>
                <w:sz w:val="15"/>
              </w:rPr>
              <w:t>GST at 18%</w:t>
            </w:r>
          </w:p>
        </w:tc>
        <w:tc>
          <w:tcPr>
            <w:tcW w:type="dxa" w:w="3120"/>
            <w:vAlign w:val="center"/>
          </w:tcPr>
          <w:p>
            <w:pPr>
              <w:spacing w:after="0" w:line="259" w:lineRule="auto"/>
            </w:pPr>
            <w:r/>
            <w:r>
              <w:rPr>
                <w:rFonts w:ascii="Calibri" w:hAnsi="Calibri"/>
                <w:b w:val="0"/>
                <w:color w:val="19232D"/>
                <w:sz w:val="15"/>
              </w:rPr>
              <w:t>Applicable statutory tax.</w:t>
            </w:r>
          </w:p>
        </w:tc>
        <w:tc>
          <w:tcPr>
            <w:tcW w:type="dxa" w:w="3120"/>
            <w:vAlign w:val="center"/>
          </w:tcPr>
          <w:p>
            <w:pPr>
              <w:spacing w:after="0" w:line="259" w:lineRule="auto"/>
            </w:pPr>
            <w:r/>
            <w:r>
              <w:rPr>
                <w:rFonts w:ascii="Calibri" w:hAnsi="Calibri"/>
                <w:b w:val="0"/>
                <w:color w:val="19232D"/>
                <w:sz w:val="15"/>
              </w:rPr>
              <w:t>INR 3,24,000</w:t>
            </w:r>
          </w:p>
        </w:tc>
      </w:tr>
      <w:tr>
        <w:tc>
          <w:tcPr>
            <w:tcW w:type="dxa" w:w="3120"/>
            <w:vAlign w:val="center"/>
          </w:tcPr>
          <w:p>
            <w:pPr>
              <w:spacing w:after="0" w:line="259" w:lineRule="auto"/>
            </w:pPr>
            <w:r/>
            <w:r>
              <w:rPr>
                <w:rFonts w:ascii="Calibri" w:hAnsi="Calibri"/>
                <w:b w:val="0"/>
                <w:color w:val="19232D"/>
                <w:sz w:val="15"/>
              </w:rPr>
              <w:t>Total Payable Including GST</w:t>
            </w:r>
          </w:p>
        </w:tc>
        <w:tc>
          <w:tcPr>
            <w:tcW w:type="dxa" w:w="3120"/>
            <w:vAlign w:val="center"/>
          </w:tcPr>
          <w:p>
            <w:pPr>
              <w:spacing w:after="0" w:line="259" w:lineRule="auto"/>
            </w:pPr>
            <w:r/>
            <w:r>
              <w:rPr>
                <w:rFonts w:ascii="Calibri" w:hAnsi="Calibri"/>
                <w:b w:val="0"/>
                <w:color w:val="19232D"/>
                <w:sz w:val="15"/>
              </w:rPr>
              <w:t>Professional services total including GST.</w:t>
            </w:r>
          </w:p>
        </w:tc>
        <w:tc>
          <w:tcPr>
            <w:tcW w:type="dxa" w:w="3120"/>
            <w:vAlign w:val="center"/>
          </w:tcPr>
          <w:p>
            <w:pPr>
              <w:spacing w:after="0" w:line="259" w:lineRule="auto"/>
            </w:pPr>
            <w:r/>
            <w:r>
              <w:rPr>
                <w:rFonts w:ascii="Calibri" w:hAnsi="Calibri"/>
                <w:b w:val="0"/>
                <w:color w:val="19232D"/>
                <w:sz w:val="15"/>
              </w:rPr>
              <w:t>INR 21,24,000</w:t>
            </w:r>
          </w:p>
        </w:tc>
      </w:tr>
    </w:tbl>
    <w:p>
      <w:pPr>
        <w:spacing w:after="60"/>
      </w:pPr>
    </w:p>
    <w:p>
      <w:pPr>
        <w:pStyle w:val="Heading2"/>
        <w:keepNext/>
      </w:pPr>
      <w:r>
        <w:t>9.2 Estimated Annual Zoho Licensing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3120"/>
        <w:gridCol w:w="3120"/>
        <w:gridCol w:w="3120"/>
      </w:tblGrid>
      <w:tr>
        <w:tc>
          <w:tcPr>
            <w:tcW w:type="dxa" w:w="2592"/>
            <w:vAlign w:val="center"/>
            <w:shd w:fill="F4F6F9"/>
          </w:tcPr>
          <w:p>
            <w:pPr>
              <w:spacing w:after="0" w:line="259" w:lineRule="auto"/>
            </w:pPr>
            <w:r/>
            <w:r>
              <w:rPr>
                <w:rFonts w:ascii="Calibri" w:hAnsi="Calibri"/>
                <w:b/>
                <w:color w:val="1F4D78"/>
                <w:sz w:val="16"/>
              </w:rPr>
              <w:t>License Component</w:t>
            </w:r>
          </w:p>
        </w:tc>
        <w:tc>
          <w:tcPr>
            <w:tcW w:type="dxa" w:w="4752"/>
            <w:vAlign w:val="center"/>
            <w:shd w:fill="F4F6F9"/>
          </w:tcPr>
          <w:p>
            <w:pPr>
              <w:spacing w:after="0" w:line="259" w:lineRule="auto"/>
            </w:pPr>
            <w:r/>
            <w:r>
              <w:rPr>
                <w:rFonts w:ascii="Calibri" w:hAnsi="Calibri"/>
                <w:b/>
                <w:color w:val="1F4D78"/>
                <w:sz w:val="16"/>
              </w:rPr>
              <w:t>Basis</w:t>
            </w:r>
          </w:p>
        </w:tc>
        <w:tc>
          <w:tcPr>
            <w:tcW w:type="dxa" w:w="2015"/>
            <w:vAlign w:val="center"/>
            <w:shd w:fill="F4F6F9"/>
          </w:tcPr>
          <w:p>
            <w:pPr>
              <w:spacing w:after="0" w:line="259" w:lineRule="auto"/>
            </w:pPr>
            <w:r/>
            <w:r>
              <w:rPr>
                <w:rFonts w:ascii="Calibri" w:hAnsi="Calibri"/>
                <w:b/>
                <w:color w:val="1F4D78"/>
                <w:sz w:val="16"/>
              </w:rPr>
              <w:t>Estimated Annual Cost</w:t>
            </w:r>
          </w:p>
        </w:tc>
      </w:tr>
      <w:tr>
        <w:tc>
          <w:tcPr>
            <w:tcW w:type="dxa" w:w="3120"/>
            <w:vAlign w:val="center"/>
          </w:tcPr>
          <w:p>
            <w:pPr>
              <w:spacing w:after="0" w:line="259" w:lineRule="auto"/>
            </w:pPr>
            <w:r/>
            <w:r>
              <w:rPr>
                <w:rFonts w:ascii="Calibri" w:hAnsi="Calibri"/>
                <w:b w:val="0"/>
                <w:color w:val="19232D"/>
                <w:sz w:val="16"/>
              </w:rPr>
              <w:t>Zoho Creator Plus Bundle</w:t>
            </w:r>
          </w:p>
        </w:tc>
        <w:tc>
          <w:tcPr>
            <w:tcW w:type="dxa" w:w="3120"/>
            <w:vAlign w:val="center"/>
          </w:tcPr>
          <w:p>
            <w:pPr>
              <w:spacing w:after="0" w:line="259" w:lineRule="auto"/>
            </w:pPr>
            <w:r/>
            <w:r>
              <w:rPr>
                <w:rFonts w:ascii="Calibri" w:hAnsi="Calibri"/>
                <w:b w:val="0"/>
                <w:color w:val="19232D"/>
                <w:sz w:val="16"/>
              </w:rPr>
              <w:t>~25 named users covering Creator, Flow, and Analytics.</w:t>
            </w:r>
          </w:p>
        </w:tc>
        <w:tc>
          <w:tcPr>
            <w:tcW w:type="dxa" w:w="3120"/>
            <w:vAlign w:val="center"/>
          </w:tcPr>
          <w:p>
            <w:pPr>
              <w:spacing w:after="0" w:line="259" w:lineRule="auto"/>
            </w:pPr>
            <w:r/>
            <w:r>
              <w:rPr>
                <w:rFonts w:ascii="Calibri" w:hAnsi="Calibri"/>
                <w:b w:val="0"/>
                <w:color w:val="19232D"/>
                <w:sz w:val="16"/>
              </w:rPr>
              <w:t>INR 3,00,000 - INR 5,00,000</w:t>
            </w:r>
          </w:p>
        </w:tc>
      </w:tr>
      <w:tr>
        <w:tc>
          <w:tcPr>
            <w:tcW w:type="dxa" w:w="3120"/>
            <w:vAlign w:val="center"/>
          </w:tcPr>
          <w:p>
            <w:pPr>
              <w:spacing w:after="0" w:line="259" w:lineRule="auto"/>
            </w:pPr>
            <w:r/>
            <w:r>
              <w:rPr>
                <w:rFonts w:ascii="Calibri" w:hAnsi="Calibri"/>
                <w:b w:val="0"/>
                <w:color w:val="19232D"/>
                <w:sz w:val="16"/>
              </w:rPr>
              <w:t>Zoho Expense Premium</w:t>
            </w:r>
          </w:p>
        </w:tc>
        <w:tc>
          <w:tcPr>
            <w:tcW w:type="dxa" w:w="3120"/>
            <w:vAlign w:val="center"/>
          </w:tcPr>
          <w:p>
            <w:pPr>
              <w:spacing w:after="0" w:line="259" w:lineRule="auto"/>
            </w:pPr>
            <w:r/>
            <w:r>
              <w:rPr>
                <w:rFonts w:ascii="Calibri" w:hAnsi="Calibri"/>
                <w:b w:val="0"/>
                <w:color w:val="19232D"/>
                <w:sz w:val="16"/>
              </w:rPr>
              <w:t>~500 monthly active submitters at estimated INR 149/user/month.</w:t>
            </w:r>
          </w:p>
        </w:tc>
        <w:tc>
          <w:tcPr>
            <w:tcW w:type="dxa" w:w="3120"/>
            <w:vAlign w:val="center"/>
          </w:tcPr>
          <w:p>
            <w:pPr>
              <w:spacing w:after="0" w:line="259" w:lineRule="auto"/>
            </w:pPr>
            <w:r/>
            <w:r>
              <w:rPr>
                <w:rFonts w:ascii="Calibri" w:hAnsi="Calibri"/>
                <w:b w:val="0"/>
                <w:color w:val="19232D"/>
                <w:sz w:val="16"/>
              </w:rPr>
              <w:t>INR 8,94,000</w:t>
            </w:r>
          </w:p>
        </w:tc>
      </w:tr>
      <w:tr>
        <w:tc>
          <w:tcPr>
            <w:tcW w:type="dxa" w:w="3120"/>
            <w:vAlign w:val="center"/>
          </w:tcPr>
          <w:p>
            <w:pPr>
              <w:spacing w:after="0" w:line="259" w:lineRule="auto"/>
            </w:pPr>
            <w:r/>
            <w:r>
              <w:rPr>
                <w:rFonts w:ascii="Calibri" w:hAnsi="Calibri"/>
                <w:b w:val="0"/>
                <w:color w:val="19232D"/>
                <w:sz w:val="16"/>
              </w:rPr>
              <w:t>Additional Zoho Modules</w:t>
            </w:r>
          </w:p>
        </w:tc>
        <w:tc>
          <w:tcPr>
            <w:tcW w:type="dxa" w:w="3120"/>
            <w:vAlign w:val="center"/>
          </w:tcPr>
          <w:p>
            <w:pPr>
              <w:spacing w:after="0" w:line="259" w:lineRule="auto"/>
            </w:pPr>
            <w:r/>
            <w:r>
              <w:rPr>
                <w:rFonts w:ascii="Calibri" w:hAnsi="Calibri"/>
                <w:b w:val="0"/>
                <w:color w:val="19232D"/>
                <w:sz w:val="16"/>
              </w:rPr>
              <w:t>Zoho Sign, Zoho CRM, or other extensions if confirmed in scope.</w:t>
            </w:r>
          </w:p>
        </w:tc>
        <w:tc>
          <w:tcPr>
            <w:tcW w:type="dxa" w:w="3120"/>
            <w:vAlign w:val="center"/>
          </w:tcPr>
          <w:p>
            <w:pPr>
              <w:spacing w:after="0" w:line="259" w:lineRule="auto"/>
            </w:pPr>
            <w:r/>
            <w:r>
              <w:rPr>
                <w:rFonts w:ascii="Calibri" w:hAnsi="Calibri"/>
                <w:b w:val="0"/>
                <w:color w:val="19232D"/>
                <w:sz w:val="16"/>
              </w:rPr>
              <w:t>INR 50,000 - INR 2,00,000</w:t>
            </w:r>
          </w:p>
        </w:tc>
      </w:tr>
      <w:tr>
        <w:tc>
          <w:tcPr>
            <w:tcW w:type="dxa" w:w="3120"/>
            <w:vAlign w:val="center"/>
          </w:tcPr>
          <w:p>
            <w:pPr>
              <w:spacing w:after="0" w:line="259" w:lineRule="auto"/>
            </w:pPr>
            <w:r/>
            <w:r>
              <w:rPr>
                <w:rFonts w:ascii="Calibri" w:hAnsi="Calibri"/>
                <w:b w:val="0"/>
                <w:color w:val="19232D"/>
                <w:sz w:val="16"/>
              </w:rPr>
              <w:t>Total Estimated Annual Licensing</w:t>
            </w:r>
          </w:p>
        </w:tc>
        <w:tc>
          <w:tcPr>
            <w:tcW w:type="dxa" w:w="3120"/>
            <w:vAlign w:val="center"/>
          </w:tcPr>
          <w:p>
            <w:pPr>
              <w:spacing w:after="0" w:line="259" w:lineRule="auto"/>
            </w:pPr>
            <w:r/>
            <w:r>
              <w:rPr>
                <w:rFonts w:ascii="Calibri" w:hAnsi="Calibri"/>
                <w:b w:val="0"/>
                <w:color w:val="19232D"/>
                <w:sz w:val="16"/>
              </w:rPr>
              <w:t>Planning estimate only; final quote to be confirmed by Zoho.</w:t>
            </w:r>
          </w:p>
        </w:tc>
        <w:tc>
          <w:tcPr>
            <w:tcW w:type="dxa" w:w="3120"/>
            <w:vAlign w:val="center"/>
          </w:tcPr>
          <w:p>
            <w:pPr>
              <w:spacing w:after="0" w:line="259" w:lineRule="auto"/>
            </w:pPr>
            <w:r/>
            <w:r>
              <w:rPr>
                <w:rFonts w:ascii="Calibri" w:hAnsi="Calibri"/>
                <w:b w:val="0"/>
                <w:color w:val="19232D"/>
                <w:sz w:val="16"/>
              </w:rPr>
              <w:t>INR 12,44,000 - INR 15,94,000</w:t>
            </w:r>
          </w:p>
        </w:tc>
      </w:tr>
    </w:tbl>
    <w:p>
      <w:pPr>
        <w:spacing w:after="60"/>
      </w:pPr>
    </w:p>
    <w:tbl>
      <w:tblPr>
        <w:tblW w:type="auto" w:w="0"/>
        <w:jc w:val="center"/>
        <w:tblLayout w:type="fixed"/>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CellMar>
          <w:top w:w="120" w:type="dxa"/>
          <w:start w:w="160" w:type="dxa"/>
          <w:bottom w:w="120" w:type="dxa"/>
          <w:end w:w="160" w:type="dxa"/>
        </w:tblCellMar>
      </w:tblPr>
      <w:tblGrid>
        <w:gridCol w:w="9360"/>
      </w:tblGrid>
      <w:tr>
        <w:tc>
          <w:tcPr>
            <w:tcW w:type="dxa" w:w="9360"/>
            <w:shd w:fill="F4F6F9"/>
          </w:tcPr>
          <w:p>
            <w:pPr>
              <w:spacing w:after="60"/>
            </w:pPr>
            <w:r/>
            <w:r>
              <w:rPr>
                <w:rFonts w:ascii="Calibri" w:hAnsi="Calibri"/>
                <w:b/>
                <w:color w:val="1F4D78"/>
                <w:sz w:val="21"/>
              </w:rPr>
              <w:t>Licensing Note</w:t>
            </w:r>
          </w:p>
          <w:p>
            <w:pPr>
              <w:spacing w:after="0" w:line="283" w:lineRule="auto"/>
            </w:pPr>
            <w:r>
              <w:rPr>
                <w:rFonts w:ascii="Calibri" w:hAnsi="Calibri"/>
                <w:color w:val="19232D"/>
                <w:sz w:val="19"/>
              </w:rPr>
              <w:t>Zoho licensing should be purchased directly by the client from Zoho Corporation and invoiced separately from Vancel professional services. Final pricing depends on actual user counts, selected editions, enterprise discounts, and Zoho commercial terms at procurement time.</w:t>
            </w:r>
          </w:p>
        </w:tc>
      </w:tr>
    </w:tbl>
    <w:p>
      <w:pPr>
        <w:spacing w:after="40"/>
      </w:pPr>
    </w:p>
    <w:p>
      <w:pPr>
        <w:pStyle w:val="Heading2"/>
        <w:keepNext/>
      </w:pPr>
      <w:r>
        <w:t>9.3 Annual Maintenance Contract Options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3120"/>
        <w:gridCol w:w="3120"/>
        <w:gridCol w:w="3120"/>
      </w:tblGrid>
      <w:tr>
        <w:tc>
          <w:tcPr>
            <w:tcW w:type="dxa" w:w="1872"/>
            <w:vAlign w:val="center"/>
            <w:shd w:fill="F4F6F9"/>
          </w:tcPr>
          <w:p>
            <w:pPr>
              <w:spacing w:after="0" w:line="259" w:lineRule="auto"/>
            </w:pPr>
            <w:r/>
            <w:r>
              <w:rPr>
                <w:rFonts w:ascii="Calibri" w:hAnsi="Calibri"/>
                <w:b/>
                <w:color w:val="1F4D78"/>
                <w:sz w:val="16"/>
              </w:rPr>
              <w:t>AMC Tier</w:t>
            </w:r>
          </w:p>
        </w:tc>
        <w:tc>
          <w:tcPr>
            <w:tcW w:type="dxa" w:w="5616"/>
            <w:vAlign w:val="center"/>
            <w:shd w:fill="F4F6F9"/>
          </w:tcPr>
          <w:p>
            <w:pPr>
              <w:spacing w:after="0" w:line="259" w:lineRule="auto"/>
            </w:pPr>
            <w:r/>
            <w:r>
              <w:rPr>
                <w:rFonts w:ascii="Calibri" w:hAnsi="Calibri"/>
                <w:b/>
                <w:color w:val="1F4D78"/>
                <w:sz w:val="16"/>
              </w:rPr>
              <w:t>Coverage</w:t>
            </w:r>
          </w:p>
        </w:tc>
        <w:tc>
          <w:tcPr>
            <w:tcW w:type="dxa" w:w="1872"/>
            <w:vAlign w:val="center"/>
            <w:shd w:fill="F4F6F9"/>
          </w:tcPr>
          <w:p>
            <w:pPr>
              <w:spacing w:after="0" w:line="259" w:lineRule="auto"/>
            </w:pPr>
            <w:r/>
            <w:r>
              <w:rPr>
                <w:rFonts w:ascii="Calibri" w:hAnsi="Calibri"/>
                <w:b/>
                <w:color w:val="1F4D78"/>
                <w:sz w:val="16"/>
              </w:rPr>
              <w:t>Annual Cost</w:t>
            </w:r>
          </w:p>
        </w:tc>
      </w:tr>
      <w:tr>
        <w:tc>
          <w:tcPr>
            <w:tcW w:type="dxa" w:w="3120"/>
            <w:vAlign w:val="center"/>
          </w:tcPr>
          <w:p>
            <w:pPr>
              <w:spacing w:after="0" w:line="259" w:lineRule="auto"/>
            </w:pPr>
            <w:r/>
            <w:r>
              <w:rPr>
                <w:rFonts w:ascii="Calibri" w:hAnsi="Calibri"/>
                <w:b w:val="0"/>
                <w:color w:val="19232D"/>
                <w:sz w:val="16"/>
              </w:rPr>
              <w:t>Standard</w:t>
            </w:r>
          </w:p>
        </w:tc>
        <w:tc>
          <w:tcPr>
            <w:tcW w:type="dxa" w:w="3120"/>
            <w:vAlign w:val="center"/>
          </w:tcPr>
          <w:p>
            <w:pPr>
              <w:spacing w:after="0" w:line="259" w:lineRule="auto"/>
            </w:pPr>
            <w:r/>
            <w:r>
              <w:rPr>
                <w:rFonts w:ascii="Calibri" w:hAnsi="Calibri"/>
                <w:b w:val="0"/>
                <w:color w:val="19232D"/>
                <w:sz w:val="16"/>
              </w:rPr>
              <w:t>Bug fixes, L2 support, monthly check-ins.</w:t>
            </w:r>
          </w:p>
        </w:tc>
        <w:tc>
          <w:tcPr>
            <w:tcW w:type="dxa" w:w="3120"/>
            <w:vAlign w:val="center"/>
          </w:tcPr>
          <w:p>
            <w:pPr>
              <w:spacing w:after="0" w:line="259" w:lineRule="auto"/>
            </w:pPr>
            <w:r/>
            <w:r>
              <w:rPr>
                <w:rFonts w:ascii="Calibri" w:hAnsi="Calibri"/>
                <w:b w:val="0"/>
                <w:color w:val="19232D"/>
                <w:sz w:val="16"/>
              </w:rPr>
              <w:t>INR 1,50,000 per annum</w:t>
            </w:r>
          </w:p>
        </w:tc>
      </w:tr>
      <w:tr>
        <w:tc>
          <w:tcPr>
            <w:tcW w:type="dxa" w:w="3120"/>
            <w:vAlign w:val="center"/>
          </w:tcPr>
          <w:p>
            <w:pPr>
              <w:spacing w:after="0" w:line="259" w:lineRule="auto"/>
            </w:pPr>
            <w:r/>
            <w:r>
              <w:rPr>
                <w:rFonts w:ascii="Calibri" w:hAnsi="Calibri"/>
                <w:b w:val="0"/>
                <w:color w:val="19232D"/>
                <w:sz w:val="16"/>
              </w:rPr>
              <w:t>Enhanced (Recommended)</w:t>
            </w:r>
          </w:p>
        </w:tc>
        <w:tc>
          <w:tcPr>
            <w:tcW w:type="dxa" w:w="3120"/>
            <w:vAlign w:val="center"/>
          </w:tcPr>
          <w:p>
            <w:pPr>
              <w:spacing w:after="0" w:line="259" w:lineRule="auto"/>
            </w:pPr>
            <w:r/>
            <w:r>
              <w:rPr>
                <w:rFonts w:ascii="Calibri" w:hAnsi="Calibri"/>
                <w:b w:val="0"/>
                <w:color w:val="19232D"/>
                <w:sz w:val="16"/>
              </w:rPr>
              <w:t>Standard coverage plus minor enhancements, workflow updates, and new report builds.</w:t>
            </w:r>
          </w:p>
        </w:tc>
        <w:tc>
          <w:tcPr>
            <w:tcW w:type="dxa" w:w="3120"/>
            <w:vAlign w:val="center"/>
          </w:tcPr>
          <w:p>
            <w:pPr>
              <w:spacing w:after="0" w:line="259" w:lineRule="auto"/>
            </w:pPr>
            <w:r/>
            <w:r>
              <w:rPr>
                <w:rFonts w:ascii="Calibri" w:hAnsi="Calibri"/>
                <w:b w:val="0"/>
                <w:color w:val="19232D"/>
                <w:sz w:val="16"/>
              </w:rPr>
              <w:t>INR 3,00,000 per annum</w:t>
            </w:r>
          </w:p>
        </w:tc>
      </w:tr>
      <w:tr>
        <w:tc>
          <w:tcPr>
            <w:tcW w:type="dxa" w:w="3120"/>
            <w:vAlign w:val="center"/>
          </w:tcPr>
          <w:p>
            <w:pPr>
              <w:spacing w:after="0" w:line="259" w:lineRule="auto"/>
            </w:pPr>
            <w:r/>
            <w:r>
              <w:rPr>
                <w:rFonts w:ascii="Calibri" w:hAnsi="Calibri"/>
                <w:b w:val="0"/>
                <w:color w:val="19232D"/>
                <w:sz w:val="16"/>
              </w:rPr>
              <w:t>Premium</w:t>
            </w:r>
          </w:p>
        </w:tc>
        <w:tc>
          <w:tcPr>
            <w:tcW w:type="dxa" w:w="3120"/>
            <w:vAlign w:val="center"/>
          </w:tcPr>
          <w:p>
            <w:pPr>
              <w:spacing w:after="0" w:line="259" w:lineRule="auto"/>
            </w:pPr>
            <w:r/>
            <w:r>
              <w:rPr>
                <w:rFonts w:ascii="Calibri" w:hAnsi="Calibri"/>
                <w:b w:val="0"/>
                <w:color w:val="19232D"/>
                <w:sz w:val="16"/>
              </w:rPr>
              <w:t>Enhanced coverage plus dedicated account manager, priority SLA, and quarterly business review.</w:t>
            </w:r>
          </w:p>
        </w:tc>
        <w:tc>
          <w:tcPr>
            <w:tcW w:type="dxa" w:w="3120"/>
            <w:vAlign w:val="center"/>
          </w:tcPr>
          <w:p>
            <w:pPr>
              <w:spacing w:after="0" w:line="259" w:lineRule="auto"/>
            </w:pPr>
            <w:r/>
            <w:r>
              <w:rPr>
                <w:rFonts w:ascii="Calibri" w:hAnsi="Calibri"/>
                <w:b w:val="0"/>
                <w:color w:val="19232D"/>
                <w:sz w:val="16"/>
              </w:rPr>
              <w:t>INR 5,00,000 per annum</w:t>
            </w:r>
          </w:p>
        </w:tc>
      </w:tr>
    </w:tbl>
    <w:p>
      <w:pPr>
        <w:spacing w:after="60"/>
      </w:pPr>
    </w:p>
    <w:p>
      <w:pPr>
        <w:pStyle w:val="Heading2"/>
        <w:keepNext/>
      </w:pPr>
      <w:r>
        <w:t>9.4 Total Cost of Ownership Summary</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start w:w="120" w:type="dxa"/>
          <w:bottom w:w="80" w:type="dxa"/>
          <w:end w:w="120" w:type="dxa"/>
        </w:tblCellMar>
      </w:tblPr>
      <w:tblGrid>
        <w:gridCol w:w="4680"/>
        <w:gridCol w:w="4680"/>
      </w:tblGrid>
      <w:tr>
        <w:tc>
          <w:tcPr>
            <w:tcW w:type="dxa" w:w="5472"/>
            <w:vAlign w:val="center"/>
            <w:shd w:fill="1F4D78"/>
          </w:tcPr>
          <w:p>
            <w:pPr>
              <w:spacing w:after="0" w:line="259" w:lineRule="auto"/>
            </w:pPr>
            <w:r/>
            <w:r>
              <w:rPr>
                <w:rFonts w:ascii="Calibri" w:hAnsi="Calibri"/>
                <w:b/>
                <w:color w:val="FFFFFF"/>
                <w:sz w:val="17"/>
              </w:rPr>
              <w:t>Cost Layer</w:t>
            </w:r>
          </w:p>
        </w:tc>
        <w:tc>
          <w:tcPr>
            <w:tcW w:type="dxa" w:w="3888"/>
            <w:vAlign w:val="center"/>
            <w:shd w:fill="1F4D78"/>
          </w:tcPr>
          <w:p>
            <w:pPr>
              <w:spacing w:after="0" w:line="259" w:lineRule="auto"/>
            </w:pPr>
            <w:r/>
            <w:r>
              <w:rPr>
                <w:rFonts w:ascii="Calibri" w:hAnsi="Calibri"/>
                <w:b/>
                <w:color w:val="FFFFFF"/>
                <w:sz w:val="17"/>
              </w:rPr>
              <w:t>Amount</w:t>
            </w:r>
          </w:p>
        </w:tc>
      </w:tr>
      <w:tr>
        <w:tc>
          <w:tcPr>
            <w:tcW w:type="dxa" w:w="4680"/>
            <w:vAlign w:val="center"/>
          </w:tcPr>
          <w:p>
            <w:pPr>
              <w:spacing w:after="0" w:line="259" w:lineRule="auto"/>
            </w:pPr>
            <w:r/>
            <w:r>
              <w:rPr>
                <w:rFonts w:ascii="Calibri" w:hAnsi="Calibri"/>
                <w:b w:val="0"/>
                <w:color w:val="19232D"/>
                <w:sz w:val="17"/>
              </w:rPr>
              <w:t>One-time implementation including GST</w:t>
            </w:r>
          </w:p>
        </w:tc>
        <w:tc>
          <w:tcPr>
            <w:tcW w:type="dxa" w:w="4680"/>
            <w:vAlign w:val="center"/>
          </w:tcPr>
          <w:p>
            <w:pPr>
              <w:spacing w:after="0" w:line="259" w:lineRule="auto"/>
            </w:pPr>
            <w:r/>
            <w:r>
              <w:rPr>
                <w:rFonts w:ascii="Calibri" w:hAnsi="Calibri"/>
                <w:b w:val="0"/>
                <w:color w:val="19232D"/>
                <w:sz w:val="17"/>
              </w:rPr>
              <w:t>INR 21,24,000</w:t>
            </w:r>
          </w:p>
        </w:tc>
      </w:tr>
      <w:tr>
        <w:tc>
          <w:tcPr>
            <w:tcW w:type="dxa" w:w="4680"/>
            <w:vAlign w:val="center"/>
          </w:tcPr>
          <w:p>
            <w:pPr>
              <w:spacing w:after="0" w:line="259" w:lineRule="auto"/>
            </w:pPr>
            <w:r/>
            <w:r>
              <w:rPr>
                <w:rFonts w:ascii="Calibri" w:hAnsi="Calibri"/>
                <w:b w:val="0"/>
                <w:color w:val="19232D"/>
                <w:sz w:val="17"/>
              </w:rPr>
              <w:t>Zoho licensing estimated midpoint</w:t>
            </w:r>
          </w:p>
        </w:tc>
        <w:tc>
          <w:tcPr>
            <w:tcW w:type="dxa" w:w="4680"/>
            <w:vAlign w:val="center"/>
          </w:tcPr>
          <w:p>
            <w:pPr>
              <w:spacing w:after="0" w:line="259" w:lineRule="auto"/>
            </w:pPr>
            <w:r/>
            <w:r>
              <w:rPr>
                <w:rFonts w:ascii="Calibri" w:hAnsi="Calibri"/>
                <w:b w:val="0"/>
                <w:color w:val="19232D"/>
                <w:sz w:val="17"/>
              </w:rPr>
              <w:t>INR 14,00,000</w:t>
            </w:r>
          </w:p>
        </w:tc>
      </w:tr>
      <w:tr>
        <w:tc>
          <w:tcPr>
            <w:tcW w:type="dxa" w:w="4680"/>
            <w:vAlign w:val="center"/>
          </w:tcPr>
          <w:p>
            <w:pPr>
              <w:spacing w:after="0" w:line="259" w:lineRule="auto"/>
            </w:pPr>
            <w:r/>
            <w:r>
              <w:rPr>
                <w:rFonts w:ascii="Calibri" w:hAnsi="Calibri"/>
                <w:b w:val="0"/>
                <w:color w:val="19232D"/>
                <w:sz w:val="17"/>
              </w:rPr>
              <w:t>AMC - Enhanced tier</w:t>
            </w:r>
          </w:p>
        </w:tc>
        <w:tc>
          <w:tcPr>
            <w:tcW w:type="dxa" w:w="4680"/>
            <w:vAlign w:val="center"/>
          </w:tcPr>
          <w:p>
            <w:pPr>
              <w:spacing w:after="0" w:line="259" w:lineRule="auto"/>
            </w:pPr>
            <w:r/>
            <w:r>
              <w:rPr>
                <w:rFonts w:ascii="Calibri" w:hAnsi="Calibri"/>
                <w:b w:val="0"/>
                <w:color w:val="19232D"/>
                <w:sz w:val="17"/>
              </w:rPr>
              <w:t>INR 3,00,000</w:t>
            </w:r>
          </w:p>
        </w:tc>
      </w:tr>
      <w:tr>
        <w:tc>
          <w:tcPr>
            <w:tcW w:type="dxa" w:w="4680"/>
            <w:vAlign w:val="center"/>
          </w:tcPr>
          <w:p>
            <w:pPr>
              <w:spacing w:after="0" w:line="259" w:lineRule="auto"/>
            </w:pPr>
            <w:r/>
            <w:r>
              <w:rPr>
                <w:rFonts w:ascii="Calibri" w:hAnsi="Calibri"/>
                <w:b w:val="0"/>
                <w:color w:val="19232D"/>
                <w:sz w:val="17"/>
              </w:rPr>
              <w:t>Estimated Year 1 Total</w:t>
            </w:r>
          </w:p>
        </w:tc>
        <w:tc>
          <w:tcPr>
            <w:tcW w:type="dxa" w:w="4680"/>
            <w:vAlign w:val="center"/>
          </w:tcPr>
          <w:p>
            <w:pPr>
              <w:spacing w:after="0" w:line="259" w:lineRule="auto"/>
            </w:pPr>
            <w:r/>
            <w:r>
              <w:rPr>
                <w:rFonts w:ascii="Calibri" w:hAnsi="Calibri"/>
                <w:b w:val="0"/>
                <w:color w:val="19232D"/>
                <w:sz w:val="17"/>
              </w:rPr>
              <w:t>INR 38,24,000</w:t>
            </w:r>
          </w:p>
        </w:tc>
      </w:tr>
      <w:tr>
        <w:tc>
          <w:tcPr>
            <w:tcW w:type="dxa" w:w="4680"/>
            <w:vAlign w:val="center"/>
          </w:tcPr>
          <w:p>
            <w:pPr>
              <w:spacing w:after="0" w:line="259" w:lineRule="auto"/>
            </w:pPr>
            <w:r/>
            <w:r>
              <w:rPr>
                <w:rFonts w:ascii="Calibri" w:hAnsi="Calibri"/>
                <w:b w:val="0"/>
                <w:color w:val="19232D"/>
                <w:sz w:val="17"/>
              </w:rPr>
              <w:t>From Year 2 onwards</w:t>
            </w:r>
          </w:p>
        </w:tc>
        <w:tc>
          <w:tcPr>
            <w:tcW w:type="dxa" w:w="4680"/>
            <w:vAlign w:val="center"/>
          </w:tcPr>
          <w:p>
            <w:pPr>
              <w:spacing w:after="0" w:line="259" w:lineRule="auto"/>
            </w:pPr>
            <w:r/>
            <w:r>
              <w:rPr>
                <w:rFonts w:ascii="Calibri" w:hAnsi="Calibri"/>
                <w:b w:val="0"/>
                <w:color w:val="19232D"/>
                <w:sz w:val="17"/>
              </w:rPr>
              <w:t>INR 17,00,000 per annum</w:t>
            </w:r>
          </w:p>
        </w:tc>
      </w:tr>
    </w:tbl>
    <w:p>
      <w:pPr>
        <w:spacing w:after="60"/>
      </w:pPr>
    </w:p>
    <w:p>
      <w:pPr>
        <w:pStyle w:val="Heading1"/>
        <w:keepNext/>
      </w:pPr>
      <w:r>
        <w:t>10. Technical and Security Standards</w:t>
      </w:r>
    </w:p>
    <w:p>
      <w:pPr>
        <w:pStyle w:val="ListBullet"/>
        <w:spacing w:after="80" w:line="290" w:lineRule="auto"/>
      </w:pPr>
      <w:r>
        <w:rPr>
          <w:rFonts w:ascii="Calibri" w:hAnsi="Calibri"/>
          <w:color w:val="19232D"/>
          <w:sz w:val="21"/>
        </w:rPr>
        <w:t>Data encryption through TLS in transit and AES-256 at rest, managed within Zoho SaaS controls.</w:t>
      </w:r>
    </w:p>
    <w:p>
      <w:pPr>
        <w:pStyle w:val="ListBullet"/>
        <w:spacing w:after="80" w:line="290" w:lineRule="auto"/>
      </w:pPr>
      <w:r>
        <w:rPr>
          <w:rFonts w:ascii="Calibri" w:hAnsi="Calibri"/>
          <w:color w:val="19232D"/>
          <w:sz w:val="21"/>
        </w:rPr>
        <w:t>Role-based access control with granular field-level and record-level permissions.</w:t>
      </w:r>
    </w:p>
    <w:p>
      <w:pPr>
        <w:pStyle w:val="ListBullet"/>
        <w:spacing w:after="80" w:line="290" w:lineRule="auto"/>
      </w:pPr>
      <w:r>
        <w:rPr>
          <w:rFonts w:ascii="Calibri" w:hAnsi="Calibri"/>
          <w:color w:val="19232D"/>
          <w:sz w:val="21"/>
        </w:rPr>
        <w:t>System-generated audit trails for requests, approvals, edits, reimbursements, and administrative actions.</w:t>
      </w:r>
    </w:p>
    <w:p>
      <w:pPr>
        <w:pStyle w:val="ListBullet"/>
        <w:spacing w:after="80" w:line="290" w:lineRule="auto"/>
      </w:pPr>
      <w:r>
        <w:rPr>
          <w:rFonts w:ascii="Calibri" w:hAnsi="Calibri"/>
          <w:color w:val="19232D"/>
          <w:sz w:val="21"/>
        </w:rPr>
        <w:t>Support for SOC 2 Type II, ISO 27001, GDPR-ready handling, and enterprise audit requirements subject to Zoho platform controls.</w:t>
      </w:r>
    </w:p>
    <w:p>
      <w:pPr>
        <w:pStyle w:val="ListBullet"/>
        <w:spacing w:after="80" w:line="290" w:lineRule="auto"/>
      </w:pPr>
      <w:r>
        <w:rPr>
          <w:rFonts w:ascii="Calibri" w:hAnsi="Calibri"/>
          <w:color w:val="19232D"/>
          <w:sz w:val="21"/>
        </w:rPr>
        <w:t>Native mobile support through Zoho Expense for iOS and Android, with web access for administrative workflows.</w:t>
      </w:r>
    </w:p>
    <w:p>
      <w:pPr>
        <w:pStyle w:val="ListBullet"/>
        <w:spacing w:after="80" w:line="290" w:lineRule="auto"/>
      </w:pPr>
      <w:r>
        <w:rPr>
          <w:rFonts w:ascii="Calibri" w:hAnsi="Calibri"/>
          <w:color w:val="19232D"/>
          <w:sz w:val="21"/>
        </w:rPr>
        <w:t>REST API and OAuth 2.0 based integration availability, subject to client system readiness.</w:t>
      </w:r>
    </w:p>
    <w:p>
      <w:pPr>
        <w:pStyle w:val="ListBullet"/>
        <w:spacing w:after="80" w:line="290" w:lineRule="auto"/>
      </w:pPr>
      <w:r>
        <w:rPr>
          <w:rFonts w:ascii="Calibri" w:hAnsi="Calibri"/>
          <w:color w:val="19232D"/>
          <w:sz w:val="21"/>
        </w:rPr>
        <w:t>Zoho-managed backup, recovery, disaster recovery, and auto-scaling infrastructure.</w:t>
      </w:r>
    </w:p>
    <w:p>
      <w:pPr>
        <w:pStyle w:val="Heading1"/>
        <w:keepNext/>
      </w:pPr>
      <w:r>
        <w:t>11. Assumptions and Exclusions</w:t>
      </w:r>
    </w:p>
    <w:p>
      <w:pPr>
        <w:pStyle w:val="ListBullet"/>
        <w:spacing w:after="80" w:line="290" w:lineRule="auto"/>
      </w:pPr>
      <w:r>
        <w:rPr>
          <w:rFonts w:ascii="Calibri" w:hAnsi="Calibri"/>
          <w:color w:val="19232D"/>
          <w:sz w:val="21"/>
        </w:rPr>
        <w:t>Client will provide timely access to business stakeholders, technical contacts, policy documents, and integration documentation.</w:t>
      </w:r>
    </w:p>
    <w:p>
      <w:pPr>
        <w:pStyle w:val="ListBullet"/>
        <w:spacing w:after="80" w:line="290" w:lineRule="auto"/>
      </w:pPr>
      <w:r>
        <w:rPr>
          <w:rFonts w:ascii="Calibri" w:hAnsi="Calibri"/>
          <w:color w:val="19232D"/>
          <w:sz w:val="21"/>
        </w:rPr>
        <w:t>API availability, sandbox access, and third-party vendor cooperation are prerequisites for integration delivery.</w:t>
      </w:r>
    </w:p>
    <w:p>
      <w:pPr>
        <w:pStyle w:val="ListBullet"/>
        <w:spacing w:after="80" w:line="290" w:lineRule="auto"/>
      </w:pPr>
      <w:r>
        <w:rPr>
          <w:rFonts w:ascii="Calibri" w:hAnsi="Calibri"/>
          <w:color w:val="19232D"/>
          <w:sz w:val="21"/>
        </w:rPr>
        <w:t>Major custom features outside the stated scope will be handled through a mutually approved change request.</w:t>
      </w:r>
    </w:p>
    <w:p>
      <w:pPr>
        <w:pStyle w:val="ListBullet"/>
        <w:spacing w:after="80" w:line="290" w:lineRule="auto"/>
      </w:pPr>
      <w:r>
        <w:rPr>
          <w:rFonts w:ascii="Calibri" w:hAnsi="Calibri"/>
          <w:color w:val="19232D"/>
          <w:sz w:val="21"/>
        </w:rPr>
        <w:t>Zoho subscription costs, third-party API fees, SMS/WhatsApp gateway charges, and payment gateway charges are excluded from Vancel professional services unless expressly included in the final SOW.</w:t>
      </w:r>
    </w:p>
    <w:p>
      <w:pPr>
        <w:pStyle w:val="ListBullet"/>
        <w:spacing w:after="80" w:line="290" w:lineRule="auto"/>
      </w:pPr>
      <w:r>
        <w:rPr>
          <w:rFonts w:ascii="Calibri" w:hAnsi="Calibri"/>
          <w:color w:val="19232D"/>
          <w:sz w:val="21"/>
        </w:rPr>
        <w:t>Data migration scope is limited to the data sets confirmed during Phase 1. Historical migration beyond agreed templates may require additional effort.</w:t>
      </w:r>
    </w:p>
    <w:p>
      <w:pPr>
        <w:pStyle w:val="ListBullet"/>
        <w:spacing w:after="80" w:line="290" w:lineRule="auto"/>
      </w:pPr>
      <w:r>
        <w:rPr>
          <w:rFonts w:ascii="Calibri" w:hAnsi="Calibri"/>
          <w:color w:val="19232D"/>
          <w:sz w:val="21"/>
        </w:rPr>
        <w:t>The proposed timeline assumes prompt client review and sign-off at each milestone.</w:t>
      </w:r>
    </w:p>
    <w:p>
      <w:pPr>
        <w:pStyle w:val="Heading1"/>
        <w:keepNext/>
      </w:pPr>
      <w:r>
        <w:t>12. Pre-Engagement Clarification Questions</w:t>
      </w:r>
    </w:p>
    <w:p>
      <w:pPr>
        <w:pStyle w:val="ListNumber"/>
        <w:spacing w:after="80" w:line="290" w:lineRule="auto"/>
      </w:pPr>
      <w:r>
        <w:rPr>
          <w:rFonts w:ascii="Calibri" w:hAnsi="Calibri"/>
          <w:color w:val="19232D"/>
          <w:sz w:val="21"/>
        </w:rPr>
        <w:t>What is the total number of employees expected to use the travel request module in the first year?</w:t>
      </w:r>
    </w:p>
    <w:p>
      <w:pPr>
        <w:pStyle w:val="ListNumber"/>
        <w:spacing w:after="80" w:line="290" w:lineRule="auto"/>
      </w:pPr>
      <w:r>
        <w:rPr>
          <w:rFonts w:ascii="Calibri" w:hAnsi="Calibri"/>
          <w:color w:val="19232D"/>
          <w:sz w:val="21"/>
        </w:rPr>
        <w:t>How many employees are likely to submit expense claims per month on average?</w:t>
      </w:r>
    </w:p>
    <w:p>
      <w:pPr>
        <w:pStyle w:val="ListNumber"/>
        <w:spacing w:after="80" w:line="290" w:lineRule="auto"/>
      </w:pPr>
      <w:r>
        <w:rPr>
          <w:rFonts w:ascii="Calibri" w:hAnsi="Calibri"/>
          <w:color w:val="19232D"/>
          <w:sz w:val="21"/>
        </w:rPr>
        <w:t>How many Travel Desk and finance operations users will require administrative access?</w:t>
      </w:r>
    </w:p>
    <w:p>
      <w:pPr>
        <w:pStyle w:val="ListNumber"/>
        <w:spacing w:after="80" w:line="290" w:lineRule="auto"/>
      </w:pPr>
      <w:r>
        <w:rPr>
          <w:rFonts w:ascii="Calibri" w:hAnsi="Calibri"/>
          <w:color w:val="19232D"/>
          <w:sz w:val="21"/>
        </w:rPr>
        <w:t>How many approval levels exist, and do they vary by department, cost center, grade, or geography?</w:t>
      </w:r>
    </w:p>
    <w:p>
      <w:pPr>
        <w:pStyle w:val="ListNumber"/>
        <w:spacing w:after="80" w:line="290" w:lineRule="auto"/>
      </w:pPr>
      <w:r>
        <w:rPr>
          <w:rFonts w:ascii="Calibri" w:hAnsi="Calibri"/>
          <w:color w:val="19232D"/>
          <w:sz w:val="21"/>
        </w:rPr>
        <w:t>Which HRMS, Finance/ERP, SSO/AD, email, and collaboration systems are currently used?</w:t>
      </w:r>
    </w:p>
    <w:p>
      <w:pPr>
        <w:pStyle w:val="ListNumber"/>
        <w:spacing w:after="80" w:line="290" w:lineRule="auto"/>
      </w:pPr>
      <w:r>
        <w:rPr>
          <w:rFonts w:ascii="Calibri" w:hAnsi="Calibri"/>
          <w:color w:val="19232D"/>
          <w:sz w:val="21"/>
        </w:rPr>
        <w:t>Are APIs, SFTP feeds, webhooks, or sandbox environments available for those systems?</w:t>
      </w:r>
    </w:p>
    <w:p>
      <w:pPr>
        <w:pStyle w:val="ListNumber"/>
        <w:spacing w:after="80" w:line="290" w:lineRule="auto"/>
      </w:pPr>
      <w:r>
        <w:rPr>
          <w:rFonts w:ascii="Calibri" w:hAnsi="Calibri"/>
          <w:color w:val="19232D"/>
          <w:sz w:val="21"/>
        </w:rPr>
        <w:t>Are travel and expense policies formally documented and approved?</w:t>
      </w:r>
    </w:p>
    <w:p>
      <w:pPr>
        <w:pStyle w:val="ListNumber"/>
        <w:spacing w:after="80" w:line="290" w:lineRule="auto"/>
      </w:pPr>
      <w:r>
        <w:rPr>
          <w:rFonts w:ascii="Calibri" w:hAnsi="Calibri"/>
          <w:color w:val="19232D"/>
          <w:sz w:val="21"/>
        </w:rPr>
        <w:t>Are GST input tax credit, TDS, statutory audit, or external auditor access requirements applicable?</w:t>
      </w:r>
    </w:p>
    <w:p>
      <w:pPr>
        <w:pStyle w:val="ListNumber"/>
        <w:spacing w:after="80" w:line="290" w:lineRule="auto"/>
      </w:pPr>
      <w:r>
        <w:rPr>
          <w:rFonts w:ascii="Calibri" w:hAnsi="Calibri"/>
          <w:color w:val="19232D"/>
          <w:sz w:val="21"/>
        </w:rPr>
        <w:t>Is historical travel and expense data migration required?</w:t>
      </w:r>
    </w:p>
    <w:p>
      <w:pPr>
        <w:pStyle w:val="ListNumber"/>
        <w:spacing w:after="80" w:line="290" w:lineRule="auto"/>
      </w:pPr>
      <w:r>
        <w:rPr>
          <w:rFonts w:ascii="Calibri" w:hAnsi="Calibri"/>
          <w:color w:val="19232D"/>
          <w:sz w:val="21"/>
        </w:rPr>
        <w:t>Is there a fixed go-live deadline or preferred phased rollout sequence?</w:t>
      </w:r>
    </w:p>
    <w:p>
      <w:pPr>
        <w:pStyle w:val="ListNumber"/>
        <w:spacing w:after="80" w:line="290" w:lineRule="auto"/>
      </w:pPr>
      <w:r>
        <w:rPr>
          <w:rFonts w:ascii="Calibri" w:hAnsi="Calibri"/>
          <w:color w:val="19232D"/>
          <w:sz w:val="21"/>
        </w:rPr>
        <w:t>Does the client already hold any Zoho subscriptions that should be reused or integrated?</w:t>
      </w:r>
    </w:p>
    <w:p>
      <w:pPr>
        <w:pStyle w:val="Heading1"/>
        <w:keepNext/>
      </w:pPr>
      <w:r>
        <w:t>13. Why Vancel Technologies</w:t>
      </w:r>
    </w:p>
    <w:p>
      <w:pPr>
        <w:spacing w:before="0" w:after="160" w:line="300" w:lineRule="auto"/>
      </w:pPr>
      <w:r>
        <w:rPr>
          <w:rFonts w:ascii="Calibri" w:hAnsi="Calibri"/>
          <w:color w:val="19232D"/>
        </w:rPr>
        <w:t>Vancel Technologies is positioned as a solutions engineering partner focused on practical enterprise systems, responsible AI-assisted development, and workflow-led digital transformation. For this engagement, Vancel brings Zoho ecosystem architecture capability across Creator, Expense, Flow, Analytics, and CRM, combined with enterprise approval workflow engineering and India-specific operational understanding around GST, statutory audit readiness, and data governance expectations.</w:t>
      </w:r>
    </w:p>
    <w:p>
      <w:pPr>
        <w:spacing w:before="0" w:after="160" w:line="300" w:lineRule="auto"/>
      </w:pPr>
      <w:r>
        <w:rPr>
          <w:rFonts w:ascii="Calibri" w:hAnsi="Calibri"/>
          <w:color w:val="19232D"/>
        </w:rPr>
        <w:t>The engagement will be delivered through milestone-based governance. Each project phase concludes with a tangible client-reviewed deliverable before the next phase begins, ensuring transparency, control, and commercial alignment throughout the implementation lifecycle.</w:t>
      </w:r>
    </w:p>
    <w:p>
      <w:pPr>
        <w:pStyle w:val="Heading1"/>
        <w:keepNext/>
      </w:pPr>
      <w:r>
        <w:t>14. Recommended Next Steps</w:t>
      </w:r>
    </w:p>
    <w:p>
      <w:pPr>
        <w:pStyle w:val="ListNumber"/>
        <w:spacing w:after="80" w:line="290" w:lineRule="auto"/>
      </w:pPr>
      <w:r>
        <w:rPr>
          <w:rFonts w:ascii="Calibri" w:hAnsi="Calibri"/>
          <w:color w:val="19232D"/>
          <w:sz w:val="21"/>
        </w:rPr>
        <w:t>Schedule a 60-minute discovery workshop with Travel, Finance, HR, IT, and procurement stakeholders.</w:t>
      </w:r>
    </w:p>
    <w:p>
      <w:pPr>
        <w:pStyle w:val="ListNumber"/>
        <w:spacing w:after="80" w:line="290" w:lineRule="auto"/>
      </w:pPr>
      <w:r>
        <w:rPr>
          <w:rFonts w:ascii="Calibri" w:hAnsi="Calibri"/>
          <w:color w:val="19232D"/>
          <w:sz w:val="21"/>
        </w:rPr>
        <w:t>Confirm user count assumptions for Zoho Creator and Zoho Expense licensing.</w:t>
      </w:r>
    </w:p>
    <w:p>
      <w:pPr>
        <w:pStyle w:val="ListNumber"/>
        <w:spacing w:after="80" w:line="290" w:lineRule="auto"/>
      </w:pPr>
      <w:r>
        <w:rPr>
          <w:rFonts w:ascii="Calibri" w:hAnsi="Calibri"/>
          <w:color w:val="19232D"/>
          <w:sz w:val="21"/>
        </w:rPr>
        <w:t>Share current travel policy, expense policy, approval matrix, HRMS details, Finance/ERP details, and SSO requirements.</w:t>
      </w:r>
    </w:p>
    <w:p>
      <w:pPr>
        <w:pStyle w:val="ListNumber"/>
        <w:spacing w:after="80" w:line="290" w:lineRule="auto"/>
      </w:pPr>
      <w:r>
        <w:rPr>
          <w:rFonts w:ascii="Calibri" w:hAnsi="Calibri"/>
          <w:color w:val="19232D"/>
          <w:sz w:val="21"/>
        </w:rPr>
        <w:t>Finalize and sign the Master Services Agreement and Phase 1 Statement of Work.</w:t>
      </w:r>
    </w:p>
    <w:p>
      <w:pPr>
        <w:pStyle w:val="ListNumber"/>
        <w:spacing w:after="80" w:line="290" w:lineRule="auto"/>
      </w:pPr>
      <w:r>
        <w:rPr>
          <w:rFonts w:ascii="Calibri" w:hAnsi="Calibri"/>
          <w:color w:val="19232D"/>
          <w:sz w:val="21"/>
        </w:rPr>
        <w:t>Initiate Zoho trial or sandbox access for Zoho Creator and Zoho Expense for early stakeholder validation.</w:t>
      </w:r>
    </w:p>
    <w:p>
      <w:pPr>
        <w:pStyle w:val="Heading1"/>
        <w:keepNext/>
      </w:pPr>
      <w:r>
        <w:t>Confidentiality Notice</w:t>
      </w:r>
    </w:p>
    <w:p>
      <w:pPr>
        <w:spacing w:before="0" w:after="160" w:line="300" w:lineRule="auto"/>
      </w:pPr>
      <w:r>
        <w:rPr>
          <w:rFonts w:ascii="Calibri" w:hAnsi="Calibri"/>
          <w:color w:val="19232D"/>
        </w:rPr>
        <w:t>This proposal is confidential and prepared exclusively for the named recipient. It may not be shared, reproduced, or distributed without prior written consent from Vancel Technologies Pvt. Ltd.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9"/>
        <w:sz w:val="17"/>
      </w:rPr>
      <w:t>Vancel Technologies Pvt. Ltd. | contact@vanceltech.com | www.vanceltech.com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9"/>
        <w:sz w:val="17"/>
      </w:rPr>
      <w:t>Confidential Proposal | Zoho-Native Travel &amp; Expense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9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Travel, Approval Workflow &amp; Expense Management Platform</dc:title>
  <dc:subject>Zoho-Native Solution Proposal</dc:subject>
  <dc:creator>Vancel Technologies Pvt. Ltd.</dc:creator>
  <cp:keywords/>
  <dc:description>All phone numbers intentionally removed from this proposal version.</dc:description>
  <cp:lastModifiedBy/>
  <cp:revision>1</cp:revision>
  <dcterms:created xsi:type="dcterms:W3CDTF">2013-12-23T23:15:00Z</dcterms:created>
  <dcterms:modified xsi:type="dcterms:W3CDTF">2013-12-23T23:15:00Z</dcterms:modified>
  <cp:category/>
</cp:coreProperties>
</file>