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 - Kidney Disease</w:t>
      </w:r>
    </w:p>
    <w:p>
      <w:r>
        <w:t>Patient ID: MR002</w:t>
        <w:br/>
        <w:br/>
        <w:t>Diagnosis:</w:t>
        <w:br/>
        <w:t>The patient shows signs of Chronic Kidney Disease.</w:t>
        <w:br/>
        <w:t>Renal function tests indicate reduced kidney performance.</w:t>
        <w:br/>
        <w:t>Dialysis may be required depending on future assessment.</w:t>
        <w:br/>
        <w:br/>
        <w:t>Medications:</w:t>
        <w:br/>
        <w:t>- Renal supplements</w:t>
        <w:br/>
        <w:t>- Blood pressure monitoring</w:t>
        <w:br/>
        <w:br/>
        <w:t>Keywords:</w:t>
        <w:br/>
        <w:t>kidney, renal, dialysis, nephrology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