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45C7" w14:textId="34D8A6DB" w:rsidR="00E947F9" w:rsidRPr="00E947F9" w:rsidRDefault="00E947F9" w:rsidP="00E947F9">
      <w:pPr>
        <w:spacing w:after="0" w:line="360" w:lineRule="auto"/>
        <w:jc w:val="center"/>
        <w:rPr>
          <w:rFonts w:ascii="Times New Roman" w:hAnsi="Times New Roman" w:cs="Times New Roman"/>
          <w:b/>
          <w:bCs/>
          <w:color w:val="2F5496" w:themeColor="accent1" w:themeShade="BF"/>
          <w:sz w:val="36"/>
          <w:szCs w:val="36"/>
        </w:rPr>
      </w:pPr>
      <w:r w:rsidRPr="00E947F9">
        <w:rPr>
          <w:rFonts w:ascii="Times New Roman" w:hAnsi="Times New Roman" w:cs="Times New Roman"/>
          <w:b/>
          <w:bCs/>
          <w:color w:val="2F5496" w:themeColor="accent1" w:themeShade="BF"/>
          <w:sz w:val="36"/>
          <w:szCs w:val="36"/>
        </w:rPr>
        <w:t xml:space="preserve">INSURANCE </w:t>
      </w:r>
      <w:r w:rsidR="001658B9">
        <w:rPr>
          <w:rFonts w:ascii="Times New Roman" w:hAnsi="Times New Roman" w:cs="Times New Roman"/>
          <w:b/>
          <w:bCs/>
          <w:color w:val="2F5496" w:themeColor="accent1" w:themeShade="BF"/>
          <w:sz w:val="36"/>
          <w:szCs w:val="36"/>
        </w:rPr>
        <w:t>RISK &amp; CLAIMS ANALYSIS</w:t>
      </w:r>
    </w:p>
    <w:p w14:paraId="1855CD9D" w14:textId="00DB1ABC" w:rsidR="00E947F9" w:rsidRPr="00F252B0" w:rsidRDefault="00E947F9" w:rsidP="00E947F9">
      <w:pPr>
        <w:spacing w:after="0" w:line="360" w:lineRule="auto"/>
        <w:jc w:val="center"/>
        <w:rPr>
          <w:rFonts w:ascii="Times New Roman" w:hAnsi="Times New Roman" w:cs="Times New Roman"/>
          <w:b/>
          <w:bCs/>
          <w:color w:val="002060"/>
          <w:sz w:val="32"/>
          <w:szCs w:val="32"/>
        </w:rPr>
      </w:pPr>
      <w:r w:rsidRPr="00F252B0">
        <w:rPr>
          <w:rFonts w:ascii="Times New Roman" w:hAnsi="Times New Roman" w:cs="Times New Roman"/>
          <w:b/>
          <w:bCs/>
          <w:color w:val="002060"/>
          <w:sz w:val="32"/>
          <w:szCs w:val="32"/>
          <w:highlight w:val="yellow"/>
        </w:rPr>
        <w:t>DOMAIN DOCUMENT</w:t>
      </w:r>
    </w:p>
    <w:p w14:paraId="681B0199" w14:textId="029ABF31"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This dataset contains detailed information about car insurance policyholders, their vehicles, and their claim history. Each record represents an individual customer with demographic details such as birthdate, gender, marital status, education level, household income, and parental status. These attributes provide a strong basis for understanding customer profiles and how personal characteristics may influence driving behaviour and insurance risk.</w:t>
      </w:r>
    </w:p>
    <w:p w14:paraId="6F193906" w14:textId="1A9E18EF" w:rsidR="00E947F9" w:rsidRPr="00E947F9" w:rsidRDefault="00E947F9" w:rsidP="00E947F9">
      <w:pPr>
        <w:spacing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The dataset also captures rich details about the insured vehicle, including car make, model, colour, year of manufacture, and usage type (personal, commercial, or commuting). Combined with the coverage zone, this information helps in assessing environmental and vehicle-related risk factors. For example, an older car used for commercial purposes in an urban area may carry a different risk profile compared to a new personal car in a rural zone.</w:t>
      </w:r>
    </w:p>
    <w:p w14:paraId="35AD9158"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 xml:space="preserve">On the financial and claims side, the dataset includes claim amount (total cost of claims filed), claim frequency (number of claims filed), and household income. These fields are critical in evaluating customer value and risk. High-frequency claimants may signal higher risk, while high claim amounts could indicate severe accidents or expensive repairs. The Kids Driving field adds another dimension, reflecting household driving </w:t>
      </w:r>
      <w:proofErr w:type="spellStart"/>
      <w:r w:rsidRPr="00E947F9">
        <w:rPr>
          <w:rFonts w:ascii="Times New Roman" w:hAnsi="Times New Roman" w:cs="Times New Roman"/>
          <w:color w:val="002060"/>
          <w:sz w:val="24"/>
          <w:szCs w:val="24"/>
        </w:rPr>
        <w:t>behavior</w:t>
      </w:r>
      <w:proofErr w:type="spellEnd"/>
      <w:r w:rsidRPr="00E947F9">
        <w:rPr>
          <w:rFonts w:ascii="Times New Roman" w:hAnsi="Times New Roman" w:cs="Times New Roman"/>
          <w:color w:val="002060"/>
          <w:sz w:val="24"/>
          <w:szCs w:val="24"/>
        </w:rPr>
        <w:t>, since households with multiple young drivers are typically considered riskier by insurers.</w:t>
      </w:r>
    </w:p>
    <w:p w14:paraId="5EADA1AD" w14:textId="77777777" w:rsidR="00E947F9" w:rsidRPr="00E947F9" w:rsidRDefault="00E947F9" w:rsidP="00E947F9">
      <w:pPr>
        <w:spacing w:after="0" w:line="360" w:lineRule="auto"/>
        <w:jc w:val="both"/>
        <w:rPr>
          <w:rFonts w:ascii="Times New Roman" w:hAnsi="Times New Roman" w:cs="Times New Roman"/>
          <w:color w:val="002060"/>
          <w:sz w:val="24"/>
          <w:szCs w:val="24"/>
        </w:rPr>
      </w:pPr>
      <w:r w:rsidRPr="00E947F9">
        <w:rPr>
          <w:rFonts w:ascii="Times New Roman" w:hAnsi="Times New Roman" w:cs="Times New Roman"/>
          <w:color w:val="002060"/>
          <w:sz w:val="24"/>
          <w:szCs w:val="24"/>
        </w:rPr>
        <w:t>Overall, this dataset offers a comprehensive view of customers, vehicles, and claims. It can be used to build Power BI dashboards for claims analysis, customer segmentation, risk profiling, and premium optimization. Insights derived from the data can help insurance companies design fairer pricing models, identify high-risk segments, detect potential fraud, and improve customer targeting strategies.</w:t>
      </w:r>
    </w:p>
    <w:p w14:paraId="4A2B3550" w14:textId="77777777" w:rsidR="00E947F9" w:rsidRPr="00E947F9" w:rsidRDefault="00E947F9" w:rsidP="00E947F9">
      <w:pPr>
        <w:spacing w:after="0" w:line="360" w:lineRule="auto"/>
        <w:rPr>
          <w:rFonts w:ascii="Times New Roman" w:hAnsi="Times New Roman" w:cs="Times New Roman"/>
          <w:b/>
          <w:bCs/>
          <w:color w:val="002060"/>
          <w:sz w:val="32"/>
          <w:szCs w:val="32"/>
        </w:rPr>
      </w:pPr>
    </w:p>
    <w:p w14:paraId="3A4A2384" w14:textId="1EFCC5F0"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 ID</w:t>
      </w:r>
    </w:p>
    <w:p w14:paraId="49416155"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 unique identifier assigned to each policyholder or insurance record.</w:t>
      </w:r>
    </w:p>
    <w:p w14:paraId="6C3FE6AC"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or text (Primary Key).</w:t>
      </w:r>
    </w:p>
    <w:p w14:paraId="6A814ACB"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D1F46C0"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Ensures each policy/customer record is unique.</w:t>
      </w:r>
    </w:p>
    <w:p w14:paraId="33EA415E" w14:textId="77777777" w:rsidR="00E947F9" w:rsidRPr="00E947F9" w:rsidRDefault="00E947F9" w:rsidP="00E947F9">
      <w:pPr>
        <w:numPr>
          <w:ilvl w:val="1"/>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Not used directly in analysis but essential for data integrity, relationships, and avoiding duplicates.</w:t>
      </w:r>
    </w:p>
    <w:p w14:paraId="3CDA7250" w14:textId="77777777" w:rsidR="00E947F9" w:rsidRPr="00E947F9" w:rsidRDefault="00E947F9" w:rsidP="00E947F9">
      <w:pPr>
        <w:numPr>
          <w:ilvl w:val="0"/>
          <w:numId w:val="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Business Use:</w:t>
      </w:r>
      <w:r w:rsidRPr="00E947F9">
        <w:rPr>
          <w:rFonts w:ascii="Times New Roman" w:hAnsi="Times New Roman" w:cs="Times New Roman"/>
          <w:sz w:val="24"/>
          <w:szCs w:val="24"/>
        </w:rPr>
        <w:t xml:space="preserve"> Helps track individual policyholders across multiple datasets (e.g., linking claims, payments, or renewals).</w:t>
      </w:r>
    </w:p>
    <w:p w14:paraId="236045A0" w14:textId="72B3602D" w:rsidR="00E947F9" w:rsidRPr="00E947F9" w:rsidRDefault="00E947F9" w:rsidP="00E947F9">
      <w:pPr>
        <w:spacing w:after="0" w:line="360" w:lineRule="auto"/>
        <w:jc w:val="both"/>
        <w:rPr>
          <w:rFonts w:ascii="Times New Roman" w:hAnsi="Times New Roman" w:cs="Times New Roman"/>
          <w:sz w:val="24"/>
          <w:szCs w:val="24"/>
        </w:rPr>
      </w:pPr>
    </w:p>
    <w:p w14:paraId="3F5BC77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2. Birthdate</w:t>
      </w:r>
    </w:p>
    <w:p w14:paraId="3EFF1C5B"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Date of birth of the policyholder.</w:t>
      </w:r>
    </w:p>
    <w:p w14:paraId="5BEFB4E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Date.</w:t>
      </w:r>
    </w:p>
    <w:p w14:paraId="15FB3C8A"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624E25F7"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the </w:t>
      </w:r>
      <w:r w:rsidRPr="00E947F9">
        <w:rPr>
          <w:rFonts w:ascii="Times New Roman" w:hAnsi="Times New Roman" w:cs="Times New Roman"/>
          <w:b/>
          <w:bCs/>
          <w:sz w:val="24"/>
          <w:szCs w:val="24"/>
        </w:rPr>
        <w:t>Age</w:t>
      </w:r>
      <w:r w:rsidRPr="00E947F9">
        <w:rPr>
          <w:rFonts w:ascii="Times New Roman" w:hAnsi="Times New Roman" w:cs="Times New Roman"/>
          <w:sz w:val="24"/>
          <w:szCs w:val="24"/>
        </w:rPr>
        <w:t xml:space="preserve"> of the policyholder.</w:t>
      </w:r>
    </w:p>
    <w:p w14:paraId="6B135888"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 is a strong factor in insurance risk assessment (younger drivers may have more accidents, older drivers may have slower reflexes).</w:t>
      </w:r>
    </w:p>
    <w:p w14:paraId="60385782" w14:textId="77777777" w:rsidR="00E947F9" w:rsidRPr="00E947F9" w:rsidRDefault="00E947F9" w:rsidP="00E947F9">
      <w:pPr>
        <w:numPr>
          <w:ilvl w:val="0"/>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C820B0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age groups (e.g., &lt;25, 25–40, 40–60, 60+).</w:t>
      </w:r>
    </w:p>
    <w:p w14:paraId="53EE5F4A" w14:textId="77777777" w:rsidR="00E947F9" w:rsidRPr="00E947F9" w:rsidRDefault="00E947F9" w:rsidP="00E947F9">
      <w:pPr>
        <w:numPr>
          <w:ilvl w:val="1"/>
          <w:numId w:val="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Age-based pricing of premiums and risk profiling.</w:t>
      </w:r>
    </w:p>
    <w:p w14:paraId="7ACA8002" w14:textId="667D940F" w:rsidR="00E947F9" w:rsidRPr="00E947F9" w:rsidRDefault="00E947F9" w:rsidP="00E947F9">
      <w:pPr>
        <w:spacing w:after="0" w:line="360" w:lineRule="auto"/>
        <w:jc w:val="both"/>
        <w:rPr>
          <w:rFonts w:ascii="Times New Roman" w:hAnsi="Times New Roman" w:cs="Times New Roman"/>
          <w:sz w:val="24"/>
          <w:szCs w:val="24"/>
        </w:rPr>
      </w:pPr>
    </w:p>
    <w:p w14:paraId="459DBCA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 xml:space="preserve">3. Car </w:t>
      </w:r>
      <w:proofErr w:type="spellStart"/>
      <w:r w:rsidRPr="00E947F9">
        <w:rPr>
          <w:rFonts w:ascii="Times New Roman" w:hAnsi="Times New Roman" w:cs="Times New Roman"/>
          <w:b/>
          <w:bCs/>
          <w:sz w:val="24"/>
          <w:szCs w:val="24"/>
        </w:rPr>
        <w:t>Color</w:t>
      </w:r>
      <w:proofErr w:type="spellEnd"/>
    </w:p>
    <w:p w14:paraId="4F5BD459"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exterior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of the insured car.</w:t>
      </w:r>
    </w:p>
    <w:p w14:paraId="10EE2736"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 (text).</w:t>
      </w:r>
    </w:p>
    <w:p w14:paraId="1B630408"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09E7056"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Although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 xml:space="preserve"> doesn’t directly affect risk, it can influence </w:t>
      </w:r>
      <w:r w:rsidRPr="00E947F9">
        <w:rPr>
          <w:rFonts w:ascii="Times New Roman" w:hAnsi="Times New Roman" w:cs="Times New Roman"/>
          <w:b/>
          <w:bCs/>
          <w:sz w:val="24"/>
          <w:szCs w:val="24"/>
        </w:rPr>
        <w:t>car visibility, theft probability, and customer preferences</w:t>
      </w:r>
      <w:r w:rsidRPr="00E947F9">
        <w:rPr>
          <w:rFonts w:ascii="Times New Roman" w:hAnsi="Times New Roman" w:cs="Times New Roman"/>
          <w:sz w:val="24"/>
          <w:szCs w:val="24"/>
        </w:rPr>
        <w:t>.</w:t>
      </w:r>
    </w:p>
    <w:p w14:paraId="19486D62" w14:textId="77777777" w:rsidR="00E947F9" w:rsidRPr="00E947F9" w:rsidRDefault="00E947F9" w:rsidP="00E947F9">
      <w:pPr>
        <w:numPr>
          <w:ilvl w:val="0"/>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0A990FC9"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Explore patterns (e.g., some studies suggest red cars might be involved in more speeding cases).</w:t>
      </w:r>
    </w:p>
    <w:p w14:paraId="2CFF5AED" w14:textId="77777777" w:rsidR="00E947F9" w:rsidRPr="00E947F9" w:rsidRDefault="00E947F9" w:rsidP="00E947F9">
      <w:pPr>
        <w:numPr>
          <w:ilvl w:val="1"/>
          <w:numId w:val="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Insights for fraud detection (unusual </w:t>
      </w:r>
      <w:proofErr w:type="spellStart"/>
      <w:r w:rsidRPr="00E947F9">
        <w:rPr>
          <w:rFonts w:ascii="Times New Roman" w:hAnsi="Times New Roman" w:cs="Times New Roman"/>
          <w:sz w:val="24"/>
          <w:szCs w:val="24"/>
        </w:rPr>
        <w:t>color</w:t>
      </w:r>
      <w:proofErr w:type="spellEnd"/>
      <w:r w:rsidRPr="00E947F9">
        <w:rPr>
          <w:rFonts w:ascii="Times New Roman" w:hAnsi="Times New Roman" w:cs="Times New Roman"/>
          <w:sz w:val="24"/>
          <w:szCs w:val="24"/>
        </w:rPr>
        <w:t>-claim patterns).</w:t>
      </w:r>
    </w:p>
    <w:p w14:paraId="5B5005D2" w14:textId="7AA5EB12" w:rsidR="00E947F9" w:rsidRPr="00E947F9" w:rsidRDefault="00E947F9" w:rsidP="00E947F9">
      <w:pPr>
        <w:spacing w:after="0" w:line="360" w:lineRule="auto"/>
        <w:jc w:val="both"/>
        <w:rPr>
          <w:rFonts w:ascii="Times New Roman" w:hAnsi="Times New Roman" w:cs="Times New Roman"/>
          <w:sz w:val="24"/>
          <w:szCs w:val="24"/>
        </w:rPr>
      </w:pPr>
    </w:p>
    <w:p w14:paraId="27FC2D52"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4. Car Make</w:t>
      </w:r>
    </w:p>
    <w:p w14:paraId="10636913"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manufacturer/brand of the car (e.g., Toyota, Ford, BMW).</w:t>
      </w:r>
    </w:p>
    <w:p w14:paraId="50C2BFEA"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A494ED2"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961ADD3"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Different makes have varying repair costs and accident likelihood.</w:t>
      </w:r>
    </w:p>
    <w:p w14:paraId="435641D5" w14:textId="77777777" w:rsidR="00E947F9" w:rsidRPr="00E947F9" w:rsidRDefault="00E947F9" w:rsidP="00E947F9">
      <w:pPr>
        <w:numPr>
          <w:ilvl w:val="0"/>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F285B79"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car brand.</w:t>
      </w:r>
    </w:p>
    <w:p w14:paraId="2A4A1BA8"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which brands have higher claim frequency (riskier) vs lower claims (safer).</w:t>
      </w:r>
    </w:p>
    <w:p w14:paraId="7813C8AE" w14:textId="77777777" w:rsidR="00E947F9" w:rsidRPr="00E947F9" w:rsidRDefault="00E947F9" w:rsidP="00E947F9">
      <w:pPr>
        <w:numPr>
          <w:ilvl w:val="1"/>
          <w:numId w:val="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lastRenderedPageBreak/>
        <w:t>Useful for underwriting and premium adjustments.</w:t>
      </w:r>
    </w:p>
    <w:p w14:paraId="2A06B472" w14:textId="4A3819C2" w:rsidR="00E947F9" w:rsidRPr="00E947F9" w:rsidRDefault="00E947F9" w:rsidP="00E947F9">
      <w:pPr>
        <w:spacing w:after="0" w:line="360" w:lineRule="auto"/>
        <w:jc w:val="both"/>
        <w:rPr>
          <w:rFonts w:ascii="Times New Roman" w:hAnsi="Times New Roman" w:cs="Times New Roman"/>
          <w:sz w:val="24"/>
          <w:szCs w:val="24"/>
        </w:rPr>
      </w:pPr>
    </w:p>
    <w:p w14:paraId="5E454F5B"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5. Car Model</w:t>
      </w:r>
    </w:p>
    <w:p w14:paraId="24023D0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Specific model of the car (e.g., Toyota Corolla, BMW X5).</w:t>
      </w:r>
    </w:p>
    <w:p w14:paraId="04EB6599"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55A55953"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360AE94"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Provides deeper granularity beyond car make.</w:t>
      </w:r>
    </w:p>
    <w:p w14:paraId="6F162D0B"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Claim risk can vary significantly between models of the same make.</w:t>
      </w:r>
    </w:p>
    <w:p w14:paraId="40CAF190" w14:textId="77777777" w:rsidR="00E947F9" w:rsidRPr="00E947F9" w:rsidRDefault="00E947F9" w:rsidP="00E947F9">
      <w:pPr>
        <w:numPr>
          <w:ilvl w:val="0"/>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44A1F0D0"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for luxury vs economy models.</w:t>
      </w:r>
    </w:p>
    <w:p w14:paraId="13A02AB1" w14:textId="77777777" w:rsidR="00E947F9" w:rsidRPr="00E947F9" w:rsidRDefault="00E947F9" w:rsidP="00E947F9">
      <w:pPr>
        <w:numPr>
          <w:ilvl w:val="1"/>
          <w:numId w:val="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loss ratio</w:t>
      </w:r>
      <w:r w:rsidRPr="00E947F9">
        <w:rPr>
          <w:rFonts w:ascii="Times New Roman" w:hAnsi="Times New Roman" w:cs="Times New Roman"/>
          <w:sz w:val="24"/>
          <w:szCs w:val="24"/>
        </w:rPr>
        <w:t xml:space="preserve"> analysis by vehicle type.</w:t>
      </w:r>
    </w:p>
    <w:p w14:paraId="02927496" w14:textId="65410A01" w:rsidR="00E947F9" w:rsidRPr="00E947F9" w:rsidRDefault="00E947F9" w:rsidP="00E947F9">
      <w:pPr>
        <w:spacing w:after="0" w:line="360" w:lineRule="auto"/>
        <w:jc w:val="both"/>
        <w:rPr>
          <w:rFonts w:ascii="Times New Roman" w:hAnsi="Times New Roman" w:cs="Times New Roman"/>
          <w:sz w:val="24"/>
          <w:szCs w:val="24"/>
        </w:rPr>
      </w:pPr>
    </w:p>
    <w:p w14:paraId="478F5F61"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6. Car Use</w:t>
      </w:r>
    </w:p>
    <w:p w14:paraId="624AF19E"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primary purpose of the car (e.g., Personal, Commercial, Commute).</w:t>
      </w:r>
    </w:p>
    <w:p w14:paraId="70242206"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353A2209"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3895CE"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Commercial and commuting cars usually have higher claim rates due to greater exposure (more time on the road).</w:t>
      </w:r>
    </w:p>
    <w:p w14:paraId="1FD7ADD8" w14:textId="77777777" w:rsidR="00E947F9" w:rsidRPr="00E947F9" w:rsidRDefault="00E947F9" w:rsidP="00E947F9">
      <w:pPr>
        <w:numPr>
          <w:ilvl w:val="0"/>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3034FF2D"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Pricing policies differently for personal vs commercial use.</w:t>
      </w:r>
    </w:p>
    <w:p w14:paraId="7C2E34AA" w14:textId="77777777" w:rsidR="00E947F9" w:rsidRPr="00E947F9" w:rsidRDefault="00E947F9" w:rsidP="00E947F9">
      <w:pPr>
        <w:numPr>
          <w:ilvl w:val="1"/>
          <w:numId w:val="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profiling based on usage patterns.</w:t>
      </w:r>
    </w:p>
    <w:p w14:paraId="13A75D5D" w14:textId="0B29C319" w:rsidR="00E947F9" w:rsidRPr="00E947F9" w:rsidRDefault="00E947F9" w:rsidP="00E947F9">
      <w:pPr>
        <w:spacing w:after="0" w:line="360" w:lineRule="auto"/>
        <w:jc w:val="both"/>
        <w:rPr>
          <w:rFonts w:ascii="Times New Roman" w:hAnsi="Times New Roman" w:cs="Times New Roman"/>
          <w:sz w:val="24"/>
          <w:szCs w:val="24"/>
        </w:rPr>
      </w:pPr>
    </w:p>
    <w:p w14:paraId="16B57927"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7. Car Year</w:t>
      </w:r>
    </w:p>
    <w:p w14:paraId="4AF581C4"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manufacturing year of the car.</w:t>
      </w:r>
    </w:p>
    <w:p w14:paraId="478029AC"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1ACB93CA"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EF159DE"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Helps calculate </w:t>
      </w:r>
      <w:r w:rsidRPr="00E947F9">
        <w:rPr>
          <w:rFonts w:ascii="Times New Roman" w:hAnsi="Times New Roman" w:cs="Times New Roman"/>
          <w:b/>
          <w:bCs/>
          <w:sz w:val="24"/>
          <w:szCs w:val="24"/>
        </w:rPr>
        <w:t>Car Age</w:t>
      </w:r>
      <w:r w:rsidRPr="00E947F9">
        <w:rPr>
          <w:rFonts w:ascii="Times New Roman" w:hAnsi="Times New Roman" w:cs="Times New Roman"/>
          <w:sz w:val="24"/>
          <w:szCs w:val="24"/>
        </w:rPr>
        <w:t xml:space="preserve"> = Current Year – Car Year.</w:t>
      </w:r>
    </w:p>
    <w:p w14:paraId="5C1156F0"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Older cars may break down more often or have lower resale/repair costs.</w:t>
      </w:r>
    </w:p>
    <w:p w14:paraId="2041255B" w14:textId="77777777" w:rsidR="00E947F9" w:rsidRPr="00E947F9" w:rsidRDefault="00E947F9" w:rsidP="00E947F9">
      <w:pPr>
        <w:numPr>
          <w:ilvl w:val="0"/>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E42EAAC"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Assess claim likelihood by vehicle age.</w:t>
      </w:r>
    </w:p>
    <w:p w14:paraId="6831C7C9" w14:textId="77777777" w:rsidR="00E947F9" w:rsidRPr="00E947F9" w:rsidRDefault="00E947F9" w:rsidP="00E947F9">
      <w:pPr>
        <w:numPr>
          <w:ilvl w:val="1"/>
          <w:numId w:val="7"/>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Create segments like New (&lt;3 years), Mid-age (3–10 years), Old (&gt;10 years).</w:t>
      </w:r>
    </w:p>
    <w:p w14:paraId="58CA5B3C" w14:textId="5C2E5DC9" w:rsidR="00E947F9" w:rsidRDefault="00E947F9" w:rsidP="00E947F9">
      <w:pPr>
        <w:spacing w:after="0" w:line="360" w:lineRule="auto"/>
        <w:jc w:val="both"/>
        <w:rPr>
          <w:rFonts w:ascii="Times New Roman" w:hAnsi="Times New Roman" w:cs="Times New Roman"/>
          <w:sz w:val="24"/>
          <w:szCs w:val="24"/>
        </w:rPr>
      </w:pPr>
    </w:p>
    <w:p w14:paraId="5D6F8FA1" w14:textId="77777777" w:rsidR="00DE29BA" w:rsidRDefault="00DE29BA" w:rsidP="00E947F9">
      <w:pPr>
        <w:spacing w:after="0" w:line="360" w:lineRule="auto"/>
        <w:jc w:val="both"/>
        <w:rPr>
          <w:rFonts w:ascii="Times New Roman" w:hAnsi="Times New Roman" w:cs="Times New Roman"/>
          <w:sz w:val="24"/>
          <w:szCs w:val="24"/>
        </w:rPr>
      </w:pPr>
    </w:p>
    <w:p w14:paraId="60BCEAF1" w14:textId="77777777" w:rsidR="00DE29BA" w:rsidRPr="00E947F9" w:rsidRDefault="00DE29BA" w:rsidP="00E947F9">
      <w:pPr>
        <w:spacing w:after="0" w:line="360" w:lineRule="auto"/>
        <w:jc w:val="both"/>
        <w:rPr>
          <w:rFonts w:ascii="Times New Roman" w:hAnsi="Times New Roman" w:cs="Times New Roman"/>
          <w:sz w:val="24"/>
          <w:szCs w:val="24"/>
        </w:rPr>
      </w:pPr>
    </w:p>
    <w:p w14:paraId="661AF83E"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8. Coverage Zone</w:t>
      </w:r>
    </w:p>
    <w:p w14:paraId="33B24E7F"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geographic risk area where the policyholder resides/uses the car (e.g., Zone A, Urban, Rural).</w:t>
      </w:r>
    </w:p>
    <w:p w14:paraId="5A7A2E29"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C49B470"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529BE27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Location impacts accident probability, theft risk, and repair costs.</w:t>
      </w:r>
    </w:p>
    <w:p w14:paraId="414C98EC"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Urban areas → higher claim frequency, rural areas → fewer accidents but possibly more severe damage.</w:t>
      </w:r>
    </w:p>
    <w:p w14:paraId="32936276" w14:textId="77777777" w:rsidR="00E947F9" w:rsidRPr="00E947F9" w:rsidRDefault="00E947F9" w:rsidP="00E947F9">
      <w:pPr>
        <w:numPr>
          <w:ilvl w:val="0"/>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B3522B4"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performance across regions.</w:t>
      </w:r>
    </w:p>
    <w:p w14:paraId="20814B6E" w14:textId="77777777" w:rsidR="00E947F9" w:rsidRPr="00E947F9" w:rsidRDefault="00E947F9" w:rsidP="00E947F9">
      <w:pPr>
        <w:numPr>
          <w:ilvl w:val="1"/>
          <w:numId w:val="8"/>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Useful for </w:t>
      </w:r>
      <w:r w:rsidRPr="00E947F9">
        <w:rPr>
          <w:rFonts w:ascii="Times New Roman" w:hAnsi="Times New Roman" w:cs="Times New Roman"/>
          <w:b/>
          <w:bCs/>
          <w:sz w:val="24"/>
          <w:szCs w:val="24"/>
        </w:rPr>
        <w:t>mapping dashboards in Power BI</w:t>
      </w:r>
      <w:r w:rsidRPr="00E947F9">
        <w:rPr>
          <w:rFonts w:ascii="Times New Roman" w:hAnsi="Times New Roman" w:cs="Times New Roman"/>
          <w:sz w:val="24"/>
          <w:szCs w:val="24"/>
        </w:rPr>
        <w:t>.</w:t>
      </w:r>
    </w:p>
    <w:p w14:paraId="1B376DFD" w14:textId="4A8E0D05" w:rsidR="00E947F9" w:rsidRPr="00E947F9" w:rsidRDefault="00E947F9" w:rsidP="00E947F9">
      <w:pPr>
        <w:spacing w:after="0" w:line="360" w:lineRule="auto"/>
        <w:jc w:val="both"/>
        <w:rPr>
          <w:rFonts w:ascii="Times New Roman" w:hAnsi="Times New Roman" w:cs="Times New Roman"/>
          <w:sz w:val="24"/>
          <w:szCs w:val="24"/>
        </w:rPr>
      </w:pPr>
    </w:p>
    <w:p w14:paraId="3883512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9. Education</w:t>
      </w:r>
    </w:p>
    <w:p w14:paraId="20CC7778"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highest education level attained by the policyholder (e.g., High School, Graduate, Postgraduate).</w:t>
      </w:r>
    </w:p>
    <w:p w14:paraId="5F10029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043F7BED"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281E142"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Education level often correlates with income and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1BAB5042" w14:textId="77777777" w:rsidR="00E947F9" w:rsidRPr="00E947F9" w:rsidRDefault="00E947F9" w:rsidP="00E947F9">
      <w:pPr>
        <w:numPr>
          <w:ilvl w:val="0"/>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632BF0F"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Check claim frequency by education group.</w:t>
      </w:r>
    </w:p>
    <w:p w14:paraId="33D85613" w14:textId="77777777" w:rsidR="00E947F9" w:rsidRPr="00E947F9" w:rsidRDefault="00E947F9" w:rsidP="00E947F9">
      <w:pPr>
        <w:numPr>
          <w:ilvl w:val="1"/>
          <w:numId w:val="9"/>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Insights for marketing campaigns and segmentation.</w:t>
      </w:r>
    </w:p>
    <w:p w14:paraId="0D6AF684" w14:textId="4696611E" w:rsidR="00E947F9" w:rsidRPr="00E947F9" w:rsidRDefault="00E947F9" w:rsidP="00E947F9">
      <w:pPr>
        <w:spacing w:after="0" w:line="360" w:lineRule="auto"/>
        <w:jc w:val="both"/>
        <w:rPr>
          <w:rFonts w:ascii="Times New Roman" w:hAnsi="Times New Roman" w:cs="Times New Roman"/>
          <w:sz w:val="24"/>
          <w:szCs w:val="24"/>
        </w:rPr>
      </w:pPr>
    </w:p>
    <w:p w14:paraId="5B7FD0B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10. Gender</w:t>
      </w:r>
    </w:p>
    <w:p w14:paraId="5177B1A2"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Gender of the policyholder (Male, Female, Other).</w:t>
      </w:r>
    </w:p>
    <w:p w14:paraId="77E67EEC"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60A0133A"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80E7CB2"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Gender differences in claim patterns may exist.</w:t>
      </w:r>
    </w:p>
    <w:p w14:paraId="5ED2B6B1" w14:textId="77777777" w:rsidR="00E947F9" w:rsidRPr="00E947F9" w:rsidRDefault="00E947F9" w:rsidP="00E947F9">
      <w:pPr>
        <w:numPr>
          <w:ilvl w:val="0"/>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4B7923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Risk analysis by gender group.</w:t>
      </w:r>
    </w:p>
    <w:p w14:paraId="21715A18" w14:textId="77777777" w:rsidR="00E947F9" w:rsidRPr="00E947F9" w:rsidRDefault="00E947F9" w:rsidP="00E947F9">
      <w:pPr>
        <w:numPr>
          <w:ilvl w:val="1"/>
          <w:numId w:val="10"/>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Demographic breakdowns in dashboards.</w:t>
      </w:r>
    </w:p>
    <w:p w14:paraId="149A05D7" w14:textId="12188FBF" w:rsidR="00E947F9" w:rsidRPr="00E947F9" w:rsidRDefault="00E947F9" w:rsidP="00E947F9">
      <w:pPr>
        <w:spacing w:after="0" w:line="360" w:lineRule="auto"/>
        <w:jc w:val="both"/>
        <w:rPr>
          <w:rFonts w:ascii="Times New Roman" w:hAnsi="Times New Roman" w:cs="Times New Roman"/>
          <w:sz w:val="24"/>
          <w:szCs w:val="24"/>
        </w:rPr>
      </w:pPr>
    </w:p>
    <w:p w14:paraId="73DEC8A4"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11. Marital Status</w:t>
      </w:r>
    </w:p>
    <w:p w14:paraId="44C43CFB"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Marital status of the policyholder (Single, Married, Divorced, etc.).</w:t>
      </w:r>
    </w:p>
    <w:p w14:paraId="3764375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Categorical.</w:t>
      </w:r>
    </w:p>
    <w:p w14:paraId="1AABA307"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lastRenderedPageBreak/>
        <w:t>Details:</w:t>
      </w:r>
    </w:p>
    <w:p w14:paraId="459A13A4"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Married people are often seen as more stable, potentially lower risk.</w:t>
      </w:r>
    </w:p>
    <w:p w14:paraId="42F05B16" w14:textId="77777777" w:rsidR="00E947F9" w:rsidRPr="00E947F9" w:rsidRDefault="00E947F9" w:rsidP="00E947F9">
      <w:pPr>
        <w:numPr>
          <w:ilvl w:val="0"/>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9E33309"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claims between singles vs married customers.</w:t>
      </w:r>
    </w:p>
    <w:p w14:paraId="3C29A428" w14:textId="77777777" w:rsidR="00E947F9" w:rsidRPr="00E947F9" w:rsidRDefault="00E947F9" w:rsidP="00E947F9">
      <w:pPr>
        <w:numPr>
          <w:ilvl w:val="1"/>
          <w:numId w:val="11"/>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Factor in pricing and risk adjustment.</w:t>
      </w:r>
    </w:p>
    <w:p w14:paraId="248B5BBD" w14:textId="534F4FAD" w:rsidR="00E947F9" w:rsidRPr="00E947F9" w:rsidRDefault="00E947F9" w:rsidP="00E947F9">
      <w:pPr>
        <w:spacing w:after="0" w:line="360" w:lineRule="auto"/>
        <w:jc w:val="both"/>
        <w:rPr>
          <w:rFonts w:ascii="Times New Roman" w:hAnsi="Times New Roman" w:cs="Times New Roman"/>
          <w:sz w:val="24"/>
          <w:szCs w:val="24"/>
        </w:rPr>
      </w:pPr>
    </w:p>
    <w:p w14:paraId="114B26E6"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12. Parent</w:t>
      </w:r>
    </w:p>
    <w:p w14:paraId="0B1FF2BD"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Whether the policyholder has children (Yes/No).</w:t>
      </w:r>
    </w:p>
    <w:p w14:paraId="63B00471"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Boolean / Categorical.</w:t>
      </w:r>
    </w:p>
    <w:p w14:paraId="72A73D56"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4E907BA"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Parents may drive differently compared to non-parents.</w:t>
      </w:r>
    </w:p>
    <w:p w14:paraId="4ADA2B3C" w14:textId="77777777" w:rsidR="00E947F9" w:rsidRPr="00E947F9" w:rsidRDefault="00E947F9" w:rsidP="00E947F9">
      <w:pPr>
        <w:numPr>
          <w:ilvl w:val="0"/>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2EB96D45"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claims and policies by parent status.</w:t>
      </w:r>
    </w:p>
    <w:p w14:paraId="1AA1CD0E" w14:textId="77777777" w:rsidR="00E947F9" w:rsidRPr="00E947F9" w:rsidRDefault="00E947F9" w:rsidP="00E947F9">
      <w:pPr>
        <w:numPr>
          <w:ilvl w:val="1"/>
          <w:numId w:val="12"/>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Combine with </w:t>
      </w:r>
      <w:r w:rsidRPr="00E947F9">
        <w:rPr>
          <w:rFonts w:ascii="Times New Roman" w:hAnsi="Times New Roman" w:cs="Times New Roman"/>
          <w:b/>
          <w:bCs/>
          <w:sz w:val="24"/>
          <w:szCs w:val="24"/>
        </w:rPr>
        <w:t>Kids Driving</w:t>
      </w:r>
      <w:r w:rsidRPr="00E947F9">
        <w:rPr>
          <w:rFonts w:ascii="Times New Roman" w:hAnsi="Times New Roman" w:cs="Times New Roman"/>
          <w:sz w:val="24"/>
          <w:szCs w:val="24"/>
        </w:rPr>
        <w:t xml:space="preserve"> for more detailed household analysis.</w:t>
      </w:r>
    </w:p>
    <w:p w14:paraId="4C445585" w14:textId="24B09004" w:rsidR="00E947F9" w:rsidRPr="00E947F9" w:rsidRDefault="00E947F9" w:rsidP="00E947F9">
      <w:pPr>
        <w:spacing w:after="0" w:line="360" w:lineRule="auto"/>
        <w:jc w:val="both"/>
        <w:rPr>
          <w:rFonts w:ascii="Times New Roman" w:hAnsi="Times New Roman" w:cs="Times New Roman"/>
          <w:sz w:val="24"/>
          <w:szCs w:val="24"/>
        </w:rPr>
      </w:pPr>
    </w:p>
    <w:p w14:paraId="7491BB6F"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13. Claim Amt</w:t>
      </w:r>
    </w:p>
    <w:p w14:paraId="15D095A7"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Total monetary value of claims filed by the policyholder.</w:t>
      </w:r>
    </w:p>
    <w:p w14:paraId="7E09D2C0"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(currency).</w:t>
      </w:r>
    </w:p>
    <w:p w14:paraId="59E6FA99"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0D289A53"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A critical measure of insurance losses.</w:t>
      </w:r>
    </w:p>
    <w:p w14:paraId="69B5145A" w14:textId="77777777" w:rsidR="00E947F9" w:rsidRPr="00E947F9" w:rsidRDefault="00E947F9" w:rsidP="00E947F9">
      <w:pPr>
        <w:numPr>
          <w:ilvl w:val="0"/>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62DAB55B"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Used to calculate </w:t>
      </w:r>
      <w:r w:rsidRPr="00E947F9">
        <w:rPr>
          <w:rFonts w:ascii="Times New Roman" w:hAnsi="Times New Roman" w:cs="Times New Roman"/>
          <w:b/>
          <w:bCs/>
          <w:sz w:val="24"/>
          <w:szCs w:val="24"/>
        </w:rPr>
        <w:t>total losses, average claim amount, and claim ratios</w:t>
      </w:r>
      <w:r w:rsidRPr="00E947F9">
        <w:rPr>
          <w:rFonts w:ascii="Times New Roman" w:hAnsi="Times New Roman" w:cs="Times New Roman"/>
          <w:sz w:val="24"/>
          <w:szCs w:val="24"/>
        </w:rPr>
        <w:t>.</w:t>
      </w:r>
    </w:p>
    <w:p w14:paraId="7B6C5D24" w14:textId="77777777" w:rsidR="00E947F9" w:rsidRPr="00E947F9" w:rsidRDefault="00E947F9" w:rsidP="00E947F9">
      <w:pPr>
        <w:numPr>
          <w:ilvl w:val="1"/>
          <w:numId w:val="13"/>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Identify high-cost claims for fraud detection.</w:t>
      </w:r>
    </w:p>
    <w:p w14:paraId="073E1C4D" w14:textId="2491C012" w:rsidR="00E947F9" w:rsidRPr="00E947F9" w:rsidRDefault="00E947F9" w:rsidP="00E947F9">
      <w:pPr>
        <w:spacing w:after="0" w:line="360" w:lineRule="auto"/>
        <w:jc w:val="both"/>
        <w:rPr>
          <w:rFonts w:ascii="Times New Roman" w:hAnsi="Times New Roman" w:cs="Times New Roman"/>
          <w:sz w:val="24"/>
          <w:szCs w:val="24"/>
        </w:rPr>
      </w:pPr>
    </w:p>
    <w:p w14:paraId="74D070F0"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14. Claim Freq</w:t>
      </w:r>
    </w:p>
    <w:p w14:paraId="7B89A583"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The number of claims filed by the policyholder.</w:t>
      </w:r>
    </w:p>
    <w:p w14:paraId="6A9F9C6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83F36F1"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7C2B7F22"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 xml:space="preserve">Frequency of claims indicates risk </w:t>
      </w:r>
      <w:proofErr w:type="spellStart"/>
      <w:r w:rsidRPr="00E947F9">
        <w:rPr>
          <w:rFonts w:ascii="Times New Roman" w:hAnsi="Times New Roman" w:cs="Times New Roman"/>
          <w:sz w:val="24"/>
          <w:szCs w:val="24"/>
        </w:rPr>
        <w:t>behavior</w:t>
      </w:r>
      <w:proofErr w:type="spellEnd"/>
      <w:r w:rsidRPr="00E947F9">
        <w:rPr>
          <w:rFonts w:ascii="Times New Roman" w:hAnsi="Times New Roman" w:cs="Times New Roman"/>
          <w:sz w:val="24"/>
          <w:szCs w:val="24"/>
        </w:rPr>
        <w:t>.</w:t>
      </w:r>
    </w:p>
    <w:p w14:paraId="2BB93569" w14:textId="77777777" w:rsidR="00E947F9" w:rsidRPr="00E947F9" w:rsidRDefault="00E947F9" w:rsidP="00E947F9">
      <w:pPr>
        <w:numPr>
          <w:ilvl w:val="0"/>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7B42D2EF"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KPI for customer risk assessment.</w:t>
      </w:r>
    </w:p>
    <w:p w14:paraId="4DA31A34" w14:textId="77777777" w:rsidR="00E947F9" w:rsidRPr="00E947F9" w:rsidRDefault="00E947F9" w:rsidP="00E947F9">
      <w:pPr>
        <w:numPr>
          <w:ilvl w:val="1"/>
          <w:numId w:val="14"/>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Combined with Claim Amt → identifies whether risk is due to high frequency or high severity.</w:t>
      </w:r>
    </w:p>
    <w:p w14:paraId="05310EA4" w14:textId="06824B7C" w:rsidR="00E947F9" w:rsidRPr="00E947F9" w:rsidRDefault="00E947F9" w:rsidP="00E947F9">
      <w:pPr>
        <w:spacing w:after="0" w:line="360" w:lineRule="auto"/>
        <w:jc w:val="both"/>
        <w:rPr>
          <w:rFonts w:ascii="Times New Roman" w:hAnsi="Times New Roman" w:cs="Times New Roman"/>
          <w:sz w:val="24"/>
          <w:szCs w:val="24"/>
        </w:rPr>
      </w:pPr>
    </w:p>
    <w:p w14:paraId="460B6393"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lastRenderedPageBreak/>
        <w:t>15. Household Income</w:t>
      </w:r>
    </w:p>
    <w:p w14:paraId="3DF7C882"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Annual income of the policyholder’s household.</w:t>
      </w:r>
    </w:p>
    <w:p w14:paraId="65D3EF5A"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w:t>
      </w:r>
    </w:p>
    <w:p w14:paraId="0E923E85"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1B751A3C"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Income level affects affordability of premiums and vehicle type.</w:t>
      </w:r>
    </w:p>
    <w:p w14:paraId="767C1FD3" w14:textId="77777777" w:rsidR="00E947F9" w:rsidRPr="00E947F9" w:rsidRDefault="00E947F9" w:rsidP="00E947F9">
      <w:pPr>
        <w:numPr>
          <w:ilvl w:val="0"/>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12DDCC0E"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Segment customers into income bands.</w:t>
      </w:r>
    </w:p>
    <w:p w14:paraId="61E9E5DD"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Compare claim patterns across income groups.</w:t>
      </w:r>
    </w:p>
    <w:p w14:paraId="652432A3" w14:textId="77777777" w:rsidR="00E947F9" w:rsidRPr="00E947F9" w:rsidRDefault="00E947F9" w:rsidP="00E947F9">
      <w:pPr>
        <w:numPr>
          <w:ilvl w:val="1"/>
          <w:numId w:val="15"/>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Target marketing/policy offers (e.g., premium insurance for high-income households).</w:t>
      </w:r>
    </w:p>
    <w:p w14:paraId="38B791E0" w14:textId="4F967876" w:rsidR="00E947F9" w:rsidRPr="00E947F9" w:rsidRDefault="00E947F9" w:rsidP="00E947F9">
      <w:pPr>
        <w:spacing w:after="0" w:line="360" w:lineRule="auto"/>
        <w:jc w:val="both"/>
        <w:rPr>
          <w:rFonts w:ascii="Times New Roman" w:hAnsi="Times New Roman" w:cs="Times New Roman"/>
          <w:sz w:val="24"/>
          <w:szCs w:val="24"/>
        </w:rPr>
      </w:pPr>
    </w:p>
    <w:p w14:paraId="7563FF1C" w14:textId="77777777" w:rsidR="00E947F9" w:rsidRPr="00E947F9" w:rsidRDefault="00E947F9" w:rsidP="00E947F9">
      <w:pPr>
        <w:spacing w:after="0" w:line="360" w:lineRule="auto"/>
        <w:jc w:val="both"/>
        <w:rPr>
          <w:rFonts w:ascii="Times New Roman" w:hAnsi="Times New Roman" w:cs="Times New Roman"/>
          <w:b/>
          <w:bCs/>
          <w:sz w:val="24"/>
          <w:szCs w:val="24"/>
        </w:rPr>
      </w:pPr>
      <w:r w:rsidRPr="00E947F9">
        <w:rPr>
          <w:rFonts w:ascii="Times New Roman" w:hAnsi="Times New Roman" w:cs="Times New Roman"/>
          <w:b/>
          <w:bCs/>
          <w:sz w:val="24"/>
          <w:szCs w:val="24"/>
        </w:rPr>
        <w:t>16. Kids Driving</w:t>
      </w:r>
    </w:p>
    <w:p w14:paraId="183ED2FB"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Definition:</w:t>
      </w:r>
      <w:r w:rsidRPr="00E947F9">
        <w:rPr>
          <w:rFonts w:ascii="Times New Roman" w:hAnsi="Times New Roman" w:cs="Times New Roman"/>
          <w:sz w:val="24"/>
          <w:szCs w:val="24"/>
        </w:rPr>
        <w:t xml:space="preserve"> Number of kids in the household who are licensed drivers.</w:t>
      </w:r>
    </w:p>
    <w:p w14:paraId="3D3099C3"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Type:</w:t>
      </w:r>
      <w:r w:rsidRPr="00E947F9">
        <w:rPr>
          <w:rFonts w:ascii="Times New Roman" w:hAnsi="Times New Roman" w:cs="Times New Roman"/>
          <w:sz w:val="24"/>
          <w:szCs w:val="24"/>
        </w:rPr>
        <w:t xml:space="preserve"> Numeric (integer).</w:t>
      </w:r>
    </w:p>
    <w:p w14:paraId="0C87989F"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Details:</w:t>
      </w:r>
    </w:p>
    <w:p w14:paraId="48F6C9E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Values (1, 2, 3…) indicate number of kids driving.</w:t>
      </w:r>
    </w:p>
    <w:p w14:paraId="3EAB8678"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More kids driving generally = higher accident probability.</w:t>
      </w:r>
    </w:p>
    <w:p w14:paraId="5552793E" w14:textId="77777777" w:rsidR="00E947F9" w:rsidRPr="00E947F9" w:rsidRDefault="00E947F9" w:rsidP="00E947F9">
      <w:pPr>
        <w:numPr>
          <w:ilvl w:val="0"/>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b/>
          <w:bCs/>
          <w:sz w:val="24"/>
          <w:szCs w:val="24"/>
        </w:rPr>
        <w:t>Business Use:</w:t>
      </w:r>
    </w:p>
    <w:p w14:paraId="58021C9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proofErr w:type="spellStart"/>
      <w:r w:rsidRPr="00E947F9">
        <w:rPr>
          <w:rFonts w:ascii="Times New Roman" w:hAnsi="Times New Roman" w:cs="Times New Roman"/>
          <w:sz w:val="24"/>
          <w:szCs w:val="24"/>
        </w:rPr>
        <w:t>Analyze</w:t>
      </w:r>
      <w:proofErr w:type="spellEnd"/>
      <w:r w:rsidRPr="00E947F9">
        <w:rPr>
          <w:rFonts w:ascii="Times New Roman" w:hAnsi="Times New Roman" w:cs="Times New Roman"/>
          <w:sz w:val="24"/>
          <w:szCs w:val="24"/>
        </w:rPr>
        <w:t xml:space="preserve"> claims by number of kids driving.</w:t>
      </w:r>
    </w:p>
    <w:p w14:paraId="640F70E5"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Group into categories (e.g., None, 1 Kid, 2 Kids, 3+ Kids).</w:t>
      </w:r>
    </w:p>
    <w:p w14:paraId="3F6AE931" w14:textId="77777777" w:rsidR="00E947F9" w:rsidRPr="00E947F9" w:rsidRDefault="00E947F9" w:rsidP="00E947F9">
      <w:pPr>
        <w:numPr>
          <w:ilvl w:val="1"/>
          <w:numId w:val="16"/>
        </w:numPr>
        <w:spacing w:after="0" w:line="360" w:lineRule="auto"/>
        <w:jc w:val="both"/>
        <w:rPr>
          <w:rFonts w:ascii="Times New Roman" w:hAnsi="Times New Roman" w:cs="Times New Roman"/>
          <w:sz w:val="24"/>
          <w:szCs w:val="24"/>
        </w:rPr>
      </w:pPr>
      <w:r w:rsidRPr="00E947F9">
        <w:rPr>
          <w:rFonts w:ascii="Times New Roman" w:hAnsi="Times New Roman" w:cs="Times New Roman"/>
          <w:sz w:val="24"/>
          <w:szCs w:val="24"/>
        </w:rPr>
        <w:t>Helps insurers estimate family household risk.</w:t>
      </w:r>
    </w:p>
    <w:p w14:paraId="5BD132B8" w14:textId="77777777" w:rsidR="00B90E3A" w:rsidRPr="00E947F9" w:rsidRDefault="00B90E3A" w:rsidP="00E947F9">
      <w:pPr>
        <w:spacing w:after="0" w:line="360" w:lineRule="auto"/>
        <w:jc w:val="both"/>
        <w:rPr>
          <w:rFonts w:ascii="Times New Roman" w:hAnsi="Times New Roman" w:cs="Times New Roman"/>
          <w:sz w:val="24"/>
          <w:szCs w:val="24"/>
        </w:rPr>
      </w:pPr>
    </w:p>
    <w:sectPr w:rsidR="00B90E3A" w:rsidRPr="00E947F9" w:rsidSect="0010075B">
      <w:headerReference w:type="even" r:id="rId7"/>
      <w:headerReference w:type="first" r:id="rId8"/>
      <w:pgSz w:w="11906" w:h="16838"/>
      <w:pgMar w:top="1440" w:right="1440" w:bottom="1440" w:left="1440" w:header="708" w:footer="708"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AEC1" w14:textId="77777777" w:rsidR="00204C3F" w:rsidRDefault="00204C3F" w:rsidP="0010075B">
      <w:pPr>
        <w:spacing w:after="0" w:line="240" w:lineRule="auto"/>
      </w:pPr>
      <w:r>
        <w:separator/>
      </w:r>
    </w:p>
  </w:endnote>
  <w:endnote w:type="continuationSeparator" w:id="0">
    <w:p w14:paraId="5CDA8727" w14:textId="77777777" w:rsidR="00204C3F" w:rsidRDefault="00204C3F" w:rsidP="0010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3B8A" w14:textId="77777777" w:rsidR="00204C3F" w:rsidRDefault="00204C3F" w:rsidP="0010075B">
      <w:pPr>
        <w:spacing w:after="0" w:line="240" w:lineRule="auto"/>
      </w:pPr>
      <w:r>
        <w:separator/>
      </w:r>
    </w:p>
  </w:footnote>
  <w:footnote w:type="continuationSeparator" w:id="0">
    <w:p w14:paraId="34DD450B" w14:textId="77777777" w:rsidR="00204C3F" w:rsidRDefault="00204C3F" w:rsidP="0010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CEAB" w14:textId="4DFF3247" w:rsidR="0010075B" w:rsidRDefault="00000000">
    <w:pPr>
      <w:pStyle w:val="Header"/>
    </w:pPr>
    <w:r>
      <w:rPr>
        <w:noProof/>
      </w:rPr>
      <w:pict w14:anchorId="55558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5" o:spid="_x0000_s1026" type="#_x0000_t136" style="position:absolute;margin-left:0;margin-top:0;width:516.95pt;height:119.3pt;rotation:315;z-index:-251655168;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C044" w14:textId="4F450979" w:rsidR="0010075B" w:rsidRDefault="00000000">
    <w:pPr>
      <w:pStyle w:val="Header"/>
    </w:pPr>
    <w:r>
      <w:rPr>
        <w:noProof/>
      </w:rPr>
      <w:pict w14:anchorId="29EEF5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7906234" o:spid="_x0000_s1025" type="#_x0000_t136" style="position:absolute;margin-left:0;margin-top:0;width:516.95pt;height:119.3pt;rotation:315;z-index:-251657216;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B3D"/>
    <w:multiLevelType w:val="multilevel"/>
    <w:tmpl w:val="74CC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623"/>
    <w:multiLevelType w:val="multilevel"/>
    <w:tmpl w:val="BEE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23A6D"/>
    <w:multiLevelType w:val="multilevel"/>
    <w:tmpl w:val="70C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5C99"/>
    <w:multiLevelType w:val="multilevel"/>
    <w:tmpl w:val="490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CC9"/>
    <w:multiLevelType w:val="multilevel"/>
    <w:tmpl w:val="56BC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30A3"/>
    <w:multiLevelType w:val="multilevel"/>
    <w:tmpl w:val="2E1A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65E0C"/>
    <w:multiLevelType w:val="multilevel"/>
    <w:tmpl w:val="6B28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391"/>
    <w:multiLevelType w:val="multilevel"/>
    <w:tmpl w:val="8F48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02FD"/>
    <w:multiLevelType w:val="multilevel"/>
    <w:tmpl w:val="C4CA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4322"/>
    <w:multiLevelType w:val="multilevel"/>
    <w:tmpl w:val="715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E371E"/>
    <w:multiLevelType w:val="multilevel"/>
    <w:tmpl w:val="557C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3ED"/>
    <w:multiLevelType w:val="multilevel"/>
    <w:tmpl w:val="51E2C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5307B"/>
    <w:multiLevelType w:val="multilevel"/>
    <w:tmpl w:val="383A8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69B4"/>
    <w:multiLevelType w:val="multilevel"/>
    <w:tmpl w:val="C690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D836AF"/>
    <w:multiLevelType w:val="multilevel"/>
    <w:tmpl w:val="3C9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05384"/>
    <w:multiLevelType w:val="multilevel"/>
    <w:tmpl w:val="53F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85138">
    <w:abstractNumId w:val="11"/>
  </w:num>
  <w:num w:numId="2" w16cid:durableId="363755803">
    <w:abstractNumId w:val="2"/>
  </w:num>
  <w:num w:numId="3" w16cid:durableId="1483039117">
    <w:abstractNumId w:val="15"/>
  </w:num>
  <w:num w:numId="4" w16cid:durableId="1400056038">
    <w:abstractNumId w:val="7"/>
  </w:num>
  <w:num w:numId="5" w16cid:durableId="934676942">
    <w:abstractNumId w:val="10"/>
  </w:num>
  <w:num w:numId="6" w16cid:durableId="1988394103">
    <w:abstractNumId w:val="12"/>
  </w:num>
  <w:num w:numId="7" w16cid:durableId="1744984183">
    <w:abstractNumId w:val="8"/>
  </w:num>
  <w:num w:numId="8" w16cid:durableId="1246458034">
    <w:abstractNumId w:val="3"/>
  </w:num>
  <w:num w:numId="9" w16cid:durableId="1359552324">
    <w:abstractNumId w:val="4"/>
  </w:num>
  <w:num w:numId="10" w16cid:durableId="631205980">
    <w:abstractNumId w:val="6"/>
  </w:num>
  <w:num w:numId="11" w16cid:durableId="1984308343">
    <w:abstractNumId w:val="13"/>
  </w:num>
  <w:num w:numId="12" w16cid:durableId="1164012840">
    <w:abstractNumId w:val="1"/>
  </w:num>
  <w:num w:numId="13" w16cid:durableId="502741637">
    <w:abstractNumId w:val="14"/>
  </w:num>
  <w:num w:numId="14" w16cid:durableId="1310478431">
    <w:abstractNumId w:val="9"/>
  </w:num>
  <w:num w:numId="15" w16cid:durableId="2085564759">
    <w:abstractNumId w:val="0"/>
  </w:num>
  <w:num w:numId="16" w16cid:durableId="638799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3B"/>
    <w:rsid w:val="000F7510"/>
    <w:rsid w:val="0010075B"/>
    <w:rsid w:val="001658B9"/>
    <w:rsid w:val="00204C3F"/>
    <w:rsid w:val="002766D8"/>
    <w:rsid w:val="002D42DB"/>
    <w:rsid w:val="004B4543"/>
    <w:rsid w:val="006D64F9"/>
    <w:rsid w:val="00703D2D"/>
    <w:rsid w:val="007F4544"/>
    <w:rsid w:val="0093533B"/>
    <w:rsid w:val="00941A68"/>
    <w:rsid w:val="00A54105"/>
    <w:rsid w:val="00AF1F5F"/>
    <w:rsid w:val="00B4530E"/>
    <w:rsid w:val="00B90E3A"/>
    <w:rsid w:val="00CD3295"/>
    <w:rsid w:val="00DE29BA"/>
    <w:rsid w:val="00E947F9"/>
    <w:rsid w:val="00F2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F4EBF"/>
  <w15:chartTrackingRefBased/>
  <w15:docId w15:val="{A785EC9D-D1A0-4439-8CB3-0993F607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3B"/>
    <w:rPr>
      <w:rFonts w:eastAsiaTheme="majorEastAsia" w:cstheme="majorBidi"/>
      <w:color w:val="272727" w:themeColor="text1" w:themeTint="D8"/>
    </w:rPr>
  </w:style>
  <w:style w:type="paragraph" w:styleId="Title">
    <w:name w:val="Title"/>
    <w:basedOn w:val="Normal"/>
    <w:next w:val="Normal"/>
    <w:link w:val="TitleChar"/>
    <w:uiPriority w:val="10"/>
    <w:qFormat/>
    <w:rsid w:val="0093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3B"/>
    <w:pPr>
      <w:spacing w:before="160"/>
      <w:jc w:val="center"/>
    </w:pPr>
    <w:rPr>
      <w:i/>
      <w:iCs/>
      <w:color w:val="404040" w:themeColor="text1" w:themeTint="BF"/>
    </w:rPr>
  </w:style>
  <w:style w:type="character" w:customStyle="1" w:styleId="QuoteChar">
    <w:name w:val="Quote Char"/>
    <w:basedOn w:val="DefaultParagraphFont"/>
    <w:link w:val="Quote"/>
    <w:uiPriority w:val="29"/>
    <w:rsid w:val="0093533B"/>
    <w:rPr>
      <w:i/>
      <w:iCs/>
      <w:color w:val="404040" w:themeColor="text1" w:themeTint="BF"/>
    </w:rPr>
  </w:style>
  <w:style w:type="paragraph" w:styleId="ListParagraph">
    <w:name w:val="List Paragraph"/>
    <w:basedOn w:val="Normal"/>
    <w:uiPriority w:val="34"/>
    <w:qFormat/>
    <w:rsid w:val="0093533B"/>
    <w:pPr>
      <w:ind w:left="720"/>
      <w:contextualSpacing/>
    </w:pPr>
  </w:style>
  <w:style w:type="character" w:styleId="IntenseEmphasis">
    <w:name w:val="Intense Emphasis"/>
    <w:basedOn w:val="DefaultParagraphFont"/>
    <w:uiPriority w:val="21"/>
    <w:qFormat/>
    <w:rsid w:val="0093533B"/>
    <w:rPr>
      <w:i/>
      <w:iCs/>
      <w:color w:val="2F5496" w:themeColor="accent1" w:themeShade="BF"/>
    </w:rPr>
  </w:style>
  <w:style w:type="paragraph" w:styleId="IntenseQuote">
    <w:name w:val="Intense Quote"/>
    <w:basedOn w:val="Normal"/>
    <w:next w:val="Normal"/>
    <w:link w:val="IntenseQuoteChar"/>
    <w:uiPriority w:val="30"/>
    <w:qFormat/>
    <w:rsid w:val="00935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3B"/>
    <w:rPr>
      <w:i/>
      <w:iCs/>
      <w:color w:val="2F5496" w:themeColor="accent1" w:themeShade="BF"/>
    </w:rPr>
  </w:style>
  <w:style w:type="character" w:styleId="IntenseReference">
    <w:name w:val="Intense Reference"/>
    <w:basedOn w:val="DefaultParagraphFont"/>
    <w:uiPriority w:val="32"/>
    <w:qFormat/>
    <w:rsid w:val="0093533B"/>
    <w:rPr>
      <w:b/>
      <w:bCs/>
      <w:smallCaps/>
      <w:color w:val="2F5496" w:themeColor="accent1" w:themeShade="BF"/>
      <w:spacing w:val="5"/>
    </w:rPr>
  </w:style>
  <w:style w:type="paragraph" w:styleId="Header">
    <w:name w:val="header"/>
    <w:basedOn w:val="Normal"/>
    <w:link w:val="HeaderChar"/>
    <w:uiPriority w:val="99"/>
    <w:unhideWhenUsed/>
    <w:rsid w:val="00100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075B"/>
  </w:style>
  <w:style w:type="paragraph" w:styleId="Footer">
    <w:name w:val="footer"/>
    <w:basedOn w:val="Normal"/>
    <w:link w:val="FooterChar"/>
    <w:uiPriority w:val="99"/>
    <w:unhideWhenUsed/>
    <w:rsid w:val="00100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075B"/>
  </w:style>
  <w:style w:type="character" w:styleId="Hyperlink">
    <w:name w:val="Hyperlink"/>
    <w:basedOn w:val="DefaultParagraphFont"/>
    <w:uiPriority w:val="99"/>
    <w:unhideWhenUsed/>
    <w:rsid w:val="00B45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VETRIVEL VISHWA</cp:lastModifiedBy>
  <cp:revision>9</cp:revision>
  <dcterms:created xsi:type="dcterms:W3CDTF">2025-08-21T12:26:00Z</dcterms:created>
  <dcterms:modified xsi:type="dcterms:W3CDTF">2026-01-14T14:07:00Z</dcterms:modified>
</cp:coreProperties>
</file>