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resource_estimation_and_performan_c51e83"/>
      <w:r>
        <w:rPr>
          <w:b/>
          <w:sz w:val="56"/>
        </w:rPr>
        <w:t xml:space="preserve">Resource Estimation and Performance Prediction Tools for Quantum Computing: A Pathway from NISQ to FTQC</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Quantum computing stands at a critical inflection point between the Noisy Intermediate-Scale Quantum (NISQ) era—characterized by devices with 50-1000 qubits suffering from significant error rates—and the emergence of Fault-Tolerant Quantum Computing (FTQC), where quantum error correction (QEC) enables scalable, reliable computation. Resource estimation and performance prediction tools have become essential infrastructure for navigating this transition. These tools address a fundamental challenge: determining whether proposed quantum algorithms can deliver practical advantages over classical approaches, and quantifying the hardware requirements needed to achieve those advantages[1][2].</w:t>
      </w:r>
    </w:p>
    <w:p>
      <w:pPr>
        <w:spacing w:after="210" w:lineRule="auto"/>
      </w:pPr>
      <w:r>
        <w:rPr/>
        <w:t xml:space="preserve">This report provides a comprehensive analysis of the landscape of resource estimation frameworks, their capabilities, limitations, and their role in charting a technical pathway toward FTQC. We examine leading tools including Microsoft's Azure Quantum Resource Estimator, Google's Qualtran, Riverlane's Deltaflow QEC stack, and complementary frameworks, while identifying key architectural paradigms that enable the NISQ-to-FTQC transition.</w:t>
      </w:r>
    </w:p>
    <w:p>
      <w:pPr>
        <w:spacing w:line="271" w:before="240" w:lineRule="auto"/>
      </w:pPr>
      <w:bookmarkStart w:id="2" w:name="bm_1_the_resource_estimation_prob_8cf674"/>
      <w:r>
        <w:rPr>
          <w:b/>
          <w:sz w:val="42"/>
        </w:rPr>
        <w:t xml:space="preserve">1. The Resource Estimation Problem and Its Significance</w:t>
      </w:r>
      <w:bookmarkEnd w:id="2"/>
    </w:p>
    <w:p>
      <w:pPr>
        <w:spacing w:line="271" w:before="240" w:lineRule="auto"/>
      </w:pPr>
      <w:bookmarkStart w:id="3" w:name="bm_1_1_why_resource_estimation_matters"/>
      <w:r>
        <w:rPr>
          <w:b/>
          <w:sz w:val="33"/>
        </w:rPr>
        <w:t xml:space="preserve">1.1 Why Resource Estimation Matters</w:t>
      </w:r>
      <w:bookmarkEnd w:id="3"/>
    </w:p>
    <w:p>
      <w:pPr>
        <w:spacing w:after="210" w:lineRule="auto"/>
      </w:pPr>
      <w:r>
        <w:rPr/>
        <w:t xml:space="preserve">The fundamental challenge facing quantum computing today is one of validation and planning. Before constructing or purchasing a million-qubit fault-tolerant quantum computer, researchers and enterprises need answers to critical questions[3]:</w:t>
      </w:r>
    </w:p>
    <w:p>
      <w:pPr>
        <w:numPr>
          <w:ilvl w:val="0"/>
          <w:numId w:val="1"/>
        </w:numPr>
        <w:spacing w:lineRule="auto"/>
      </w:pPr>
      <w:r>
        <w:rPr>
          <w:b/>
        </w:rPr>
        <w:t xml:space="preserve">Feasibility</w:t>
      </w:r>
      <w:r>
        <w:rPr/>
        <w:t xml:space="preserve">: Can a given quantum algorithm solve a practical problem with quantum advantage over the best-known classical algorithm?</w:t>
      </w:r>
    </w:p>
    <w:p>
      <w:pPr>
        <w:numPr>
          <w:ilvl w:val="0"/>
          <w:numId w:val="1"/>
        </w:numPr>
        <w:spacing w:lineRule="auto"/>
      </w:pPr>
      <w:r>
        <w:rPr>
          <w:b/>
        </w:rPr>
        <w:t xml:space="preserve">Scaling</w:t>
      </w:r>
      <w:r>
        <w:rPr/>
        <w:t xml:space="preserve">: What are the actual physical resource requirements (qubits, gates, runtime) to run the algorithm with required accuracy?</w:t>
      </w:r>
    </w:p>
    <w:p>
      <w:pPr>
        <w:numPr>
          <w:ilvl w:val="0"/>
          <w:numId w:val="1"/>
        </w:numPr>
        <w:spacing w:lineRule="auto"/>
      </w:pPr>
      <w:r>
        <w:rPr>
          <w:b/>
        </w:rPr>
        <w:t xml:space="preserve">Architecture Trade-offs</w:t>
      </w:r>
      <w:r>
        <w:rPr/>
        <w:t xml:space="preserve">: How do different hardware modalities, qubit technologies, and error correction schemes impact total resource costs?</w:t>
      </w:r>
    </w:p>
    <w:p>
      <w:pPr>
        <w:numPr>
          <w:ilvl w:val="0"/>
          <w:numId w:val="1"/>
        </w:numPr>
        <w:spacing w:lineRule="auto"/>
      </w:pPr>
      <w:r>
        <w:rPr>
          <w:b/>
        </w:rPr>
        <w:t xml:space="preserve">Timeline Projections</w:t>
      </w:r>
      <w:r>
        <w:rPr/>
        <w:t xml:space="preserve">: Given current hardware development trajectories, when will specific applications become practical?</w:t>
      </w:r>
    </w:p>
    <w:p>
      <w:pPr>
        <w:spacing w:after="210" w:lineRule="auto"/>
      </w:pPr>
      <w:r>
        <w:rPr/>
        <w:t xml:space="preserve">Without answers to these questions, the quantum computing industry lacks a principled roadmap. Resource estimation tools provide the analytical foundation for this roadmap[2].</w:t>
      </w:r>
    </w:p>
    <w:p>
      <w:pPr>
        <w:spacing w:line="271" w:before="240" w:lineRule="auto"/>
      </w:pPr>
      <w:bookmarkStart w:id="4" w:name="bm_1_2_the_nisq_to_ftqc_divide"/>
      <w:r>
        <w:rPr>
          <w:b/>
          <w:sz w:val="33"/>
        </w:rPr>
        <w:t xml:space="preserve">1.2 The NISQ-to-FTQC Divide</w:t>
      </w:r>
      <w:bookmarkEnd w:id="4"/>
    </w:p>
    <w:p>
      <w:pPr>
        <w:spacing w:after="210" w:lineRule="auto"/>
      </w:pPr>
      <w:r>
        <w:rPr/>
        <w:t xml:space="preserve">The transition from NISQ to FTQC involves a qualitative shift in the role of error correction[4]:</w:t>
      </w:r>
    </w:p>
    <w:p>
      <w:pPr>
        <w:numPr>
          <w:ilvl w:val="0"/>
          <w:numId w:val="2"/>
        </w:numPr>
        <w:spacing w:after="210" w:lineRule="auto"/>
      </w:pPr>
      <w:r>
        <w:rPr>
          <w:b/>
        </w:rPr>
        <w:t xml:space="preserve">NISQ Era (2020-~2027)</w:t>
      </w:r>
      <w:r>
        <w:rPr>
          <w:rFonts w:eastAsia="Georgia" w:cs="Georgia" w:ascii="Georgia" w:hAnsi="Georgia"/>
        </w:rPr>
        <w:t xml:space="preserve">: Quantum computers operate with logical error rates typically between 10⁻³ and 10⁻⁴. Error suppression and error mitigation techniques partially improve performance but cannot overcome fundamental scalability limits. Applications are restricted to shallow circuits with careful algorithmic design.</w:t>
      </w:r>
    </w:p>
    <w:p>
      <w:pPr>
        <w:numPr>
          <w:ilvl w:val="0"/>
          <w:numId w:val="2"/>
        </w:numPr>
        <w:spacing w:after="210" w:lineRule="auto"/>
      </w:pPr>
      <w:r>
        <w:rPr>
          <w:b/>
        </w:rPr>
        <w:t xml:space="preserve">Early FTQC (eFTQC, ~2025-2030)</w:t>
      </w:r>
      <w:r>
        <w:rPr>
          <w:rFonts w:eastAsia="Georgia" w:cs="Georgia" w:ascii="Georgia" w:hAnsi="Georgia"/>
        </w:rPr>
        <w:t xml:space="preserve">: Early fault-tolerant systems emerge with 50-1000 logical qubits and improved logical error rates (10⁻⁶ to 10⁻⁸) through implementation of error correction. While not yet capable of running Shor's algorithm, these systems can tackle valuable near-term applications in quantum chemistry, materials science, and optimization[1].</w:t>
      </w:r>
    </w:p>
    <w:p>
      <w:pPr>
        <w:numPr>
          <w:ilvl w:val="0"/>
          <w:numId w:val="2"/>
        </w:numPr>
        <w:spacing w:after="210" w:lineRule="auto"/>
      </w:pPr>
      <w:r>
        <w:rPr>
          <w:b/>
        </w:rPr>
        <w:t xml:space="preserve">Full FTQC (~2030+)</w:t>
      </w:r>
      <w:r>
        <w:rPr>
          <w:rFonts w:eastAsia="Georgia" w:cs="Georgia" w:ascii="Georgia" w:hAnsi="Georgia"/>
        </w:rPr>
        <w:t xml:space="preserve">: Production quantum computers with millions of logical qubits, error rates below 10⁻¹⁰, enabling practical solutions to cryptographically-relevant problems and large-scale scientific simulations.</w:t>
      </w:r>
    </w:p>
    <w:p>
      <w:pPr>
        <w:spacing w:after="210" w:lineRule="auto"/>
      </w:pPr>
      <w:r>
        <w:rPr/>
        <w:t xml:space="preserve">Resource estimation tools serve different purposes across these phases: in NISQ, they guide compilation and circuit optimization on existing devices; in the FTQC era, they predict physical qubit requirements given logical-level specifications.</w:t>
      </w:r>
    </w:p>
    <w:p>
      <w:pPr>
        <w:spacing w:line="271" w:before="240" w:lineRule="auto"/>
      </w:pPr>
      <w:bookmarkStart w:id="5" w:name="bm_2_landscape_of_resource_estima_62ab7d"/>
      <w:r>
        <w:rPr>
          <w:b/>
          <w:sz w:val="42"/>
        </w:rPr>
        <w:t xml:space="preserve">2. Landscape of Resource Estimation Tools</w:t>
      </w:r>
      <w:bookmarkEnd w:id="5"/>
    </w:p>
    <w:p>
      <w:pPr>
        <w:spacing w:line="271" w:before="240" w:lineRule="auto"/>
      </w:pPr>
      <w:bookmarkStart w:id="6" w:name="bm_2_1_microsoft_azure_quantum_re_250a1a"/>
      <w:r>
        <w:rPr>
          <w:b/>
          <w:sz w:val="33"/>
        </w:rPr>
        <w:t xml:space="preserve">2.1 Microsoft Azure Quantum Resource Estimator (QRE)</w:t>
      </w:r>
      <w:bookmarkEnd w:id="6"/>
    </w:p>
    <w:p>
      <w:pPr>
        <w:spacing w:after="210" w:lineRule="auto"/>
      </w:pPr>
      <w:r>
        <w:rPr>
          <w:b/>
        </w:rPr>
        <w:t xml:space="preserve">Status</w:t>
      </w:r>
      <w:r>
        <w:rPr/>
        <w:t xml:space="preserve">: Production-grade, open-source, widely adopted[5][6]</w:t>
      </w:r>
    </w:p>
    <w:p>
      <w:pPr>
        <w:spacing w:after="210" w:lineRule="auto"/>
      </w:pPr>
      <w:r>
        <w:rPr>
          <w:b/>
        </w:rPr>
        <w:t xml:space="preserve">Purpose</w:t>
      </w:r>
      <w:r>
        <w:rPr/>
        <w:t xml:space="preserve">: Estimates physical resource requirements for quantum algorithms assuming surface-code quantum error correction on fault-tolerant quantum computers.</w:t>
      </w:r>
    </w:p>
    <w:p>
      <w:pPr>
        <w:spacing w:after="210" w:lineRule="auto"/>
      </w:pPr>
      <w:r>
        <w:rPr>
          <w:b/>
        </w:rPr>
        <w:t xml:space="preserve">Key Capabilities</w:t>
      </w:r>
      <w:r>
        <w:rPr/>
        <w:t xml:space="preserve">:</w:t>
      </w:r>
    </w:p>
    <w:p>
      <w:pPr>
        <w:numPr>
          <w:ilvl w:val="0"/>
          <w:numId w:val="3"/>
        </w:numPr>
        <w:spacing w:lineRule="auto"/>
      </w:pPr>
      <w:r>
        <w:rPr>
          <w:b/>
        </w:rPr>
        <w:t xml:space="preserve">Comprehensive stack analysis</w:t>
      </w:r>
      <w:r>
        <w:rPr/>
        <w:t xml:space="preserve">: Spans from algorithmic specifications through compilation, qubit modeling, and QEC overhead estimation</w:t>
      </w:r>
    </w:p>
    <w:p>
      <w:pPr>
        <w:numPr>
          <w:ilvl w:val="0"/>
          <w:numId w:val="3"/>
        </w:numPr>
        <w:spacing w:lineRule="auto"/>
      </w:pPr>
      <w:r>
        <w:rPr>
          <w:b/>
        </w:rPr>
        <w:t xml:space="preserve">Customizable parameters</w:t>
      </w:r>
      <w:r>
        <w:rPr/>
        <w:t xml:space="preserve">: Users specify physical qubit models (gate fidelities, measurement times, gate times), error correction schemes (surface code, Floquet codes), error budgets, and T-factory distillation units</w:t>
      </w:r>
    </w:p>
    <w:p>
      <w:pPr>
        <w:numPr>
          <w:ilvl w:val="0"/>
          <w:numId w:val="3"/>
        </w:numPr>
        <w:spacing w:lineRule="auto"/>
      </w:pPr>
      <w:r>
        <w:rPr>
          <w:b/>
        </w:rPr>
        <w:t xml:space="preserve">Predefined qubit profiles</w:t>
      </w:r>
      <w:r>
        <w:rPr/>
        <w:t xml:space="preserve">: Eight pre-configured qubit parameter sets representing realistic hardware assumptions</w:t>
      </w:r>
    </w:p>
    <w:p>
      <w:pPr>
        <w:numPr>
          <w:ilvl w:val="0"/>
          <w:numId w:val="3"/>
        </w:numPr>
        <w:spacing w:lineRule="auto"/>
      </w:pPr>
      <w:r>
        <w:rPr>
          <w:b/>
        </w:rPr>
        <w:t xml:space="preserve">Space-time trade-off visualization</w:t>
      </w:r>
      <w:r>
        <w:rPr/>
        <w:t xml:space="preserve">: Generates diagrams showing optimal combinations of physical qubits and runtime for different algorithmic priorities[5]</w:t>
      </w:r>
    </w:p>
    <w:p>
      <w:pPr>
        <w:numPr>
          <w:ilvl w:val="0"/>
          <w:numId w:val="3"/>
        </w:numPr>
        <w:spacing w:lineRule="auto"/>
      </w:pPr>
      <w:r>
        <w:rPr>
          <w:b/>
        </w:rPr>
        <w:t xml:space="preserve">Batch analysis</w:t>
      </w:r>
      <w:r>
        <w:rPr/>
        <w:t xml:space="preserve">: Permits running the same algorithm across multiple hardware configurations to compare resource impacts</w:t>
      </w:r>
    </w:p>
    <w:p>
      <w:pPr>
        <w:spacing w:after="210" w:lineRule="auto"/>
      </w:pPr>
      <w:r>
        <w:rPr>
          <w:b/>
        </w:rPr>
        <w:t xml:space="preserve">Mathematical Framework</w:t>
      </w:r>
      <w:r>
        <w:rPr/>
        <w:t xml:space="preserve">: The Azure QRE implements a layered cost model:</w:t>
      </w:r>
    </w:p>
    <w:p>
      <w:pPr>
        <w:spacing w:after="210" w:lineRule="auto"/>
      </w:pPr>
      <m:oMathPara>
        <m:oMath>
          <m:r>
            <m:rPr>
              <m:nor/>
            </m:rPr>
            <m:t>Physical Qubits</m:t>
          </m:r>
          <m:r>
            <m:rPr>
              <m:sty m:val="p"/>
            </m:rPr>
            <m:t>=</m:t>
          </m:r>
          <m:r>
            <m:rPr>
              <m:nor/>
            </m:rPr>
            <m:t>Logical Qubits</m:t>
          </m:r>
          <m:r>
            <m:rPr>
              <m:sty m:val="p"/>
            </m:rPr>
            <m:t>×</m:t>
          </m:r>
          <m:sSup>
            <m:sSupPr/>
            <m:e>
              <m:r>
                <m:rPr>
                  <m:nor/>
                </m:rPr>
                <m:t>Code Distance</m:t>
              </m:r>
            </m:e>
            <m:sup>
              <m:r>
                <m:rPr>
                  <m:sty m:val="p"/>
                </m:rPr>
                <m:t>2</m:t>
              </m:r>
            </m:sup>
          </m:sSup>
          <m:r>
            <m:rPr>
              <m:sty m:val="p"/>
            </m:rPr>
            <m:t>+</m:t>
          </m:r>
          <m:r>
            <m:rPr>
              <m:nor/>
            </m:rPr>
            <m:t>T-factory Overhead</m:t>
          </m:r>
        </m:oMath>
      </m:oMathPara>
    </w:p>
    <w:p>
      <w:pPr>
        <w:spacing w:after="210" w:lineRule="auto"/>
      </w:pPr>
      <w:r>
        <w:rPr/>
        <w:t xml:space="preserve">where code distance and T-factory overhead depend on target logical error rates and physical qubit error rates[6].</w:t>
      </w:r>
    </w:p>
    <w:p>
      <w:pPr>
        <w:spacing w:after="210" w:lineRule="auto"/>
      </w:pPr>
      <w:r>
        <w:rPr>
          <w:b/>
        </w:rPr>
        <w:t xml:space="preserve">Limitations and Scope</w:t>
      </w:r>
      <w:r>
        <w:rPr/>
        <w:t xml:space="preserve">:</w:t>
      </w:r>
    </w:p>
    <w:p>
      <w:pPr>
        <w:numPr>
          <w:ilvl w:val="0"/>
          <w:numId w:val="4"/>
        </w:numPr>
        <w:spacing w:lineRule="auto"/>
      </w:pPr>
      <w:r>
        <w:rPr/>
        <w:t xml:space="preserve">Assumes surface-code QEC as primary architecture (though other codes are supported)</w:t>
      </w:r>
    </w:p>
    <w:p>
      <w:pPr>
        <w:numPr>
          <w:ilvl w:val="0"/>
          <w:numId w:val="4"/>
        </w:numPr>
        <w:spacing w:lineRule="auto"/>
      </w:pPr>
      <w:r>
        <w:rPr/>
        <w:t xml:space="preserve">Requires pre-compiled or pre-specified circuit structures</w:t>
      </w:r>
    </w:p>
    <w:p>
      <w:pPr>
        <w:numPr>
          <w:ilvl w:val="0"/>
          <w:numId w:val="4"/>
        </w:numPr>
        <w:spacing w:lineRule="auto"/>
      </w:pPr>
      <w:r>
        <w:rPr>
          <w:rFonts w:eastAsia="Georgia" w:cs="Georgia" w:ascii="Georgia" w:hAnsi="Georgia"/>
        </w:rPr>
        <w:t xml:space="preserve">Does not perform independent compilation optimization—relies on user-provided circuit specifications</w:t>
      </w:r>
    </w:p>
    <w:p>
      <w:pPr>
        <w:numPr>
          <w:ilvl w:val="0"/>
          <w:numId w:val="4"/>
        </w:numPr>
        <w:spacing w:lineRule="auto"/>
      </w:pPr>
      <w:r>
        <w:rPr/>
        <w:t xml:space="preserve">Limited to deterministic, fully-specified algorithms</w:t>
      </w:r>
    </w:p>
    <w:p>
      <w:pPr>
        <w:spacing w:after="210" w:lineRule="auto"/>
      </w:pPr>
      <w:r>
        <w:rPr>
          <w:b/>
        </w:rPr>
        <w:t xml:space="preserve">Use Cases</w:t>
      </w:r>
      <w:r>
        <w:rPr/>
        <w:t xml:space="preserve">:</w:t>
      </w:r>
    </w:p>
    <w:p>
      <w:pPr>
        <w:numPr>
          <w:ilvl w:val="0"/>
          <w:numId w:val="5"/>
        </w:numPr>
        <w:spacing w:lineRule="auto"/>
      </w:pPr>
      <w:r>
        <w:rPr/>
        <w:t xml:space="preserve">Benchmarking quantum chemistry simulations (ground state energy calculation)</w:t>
      </w:r>
    </w:p>
    <w:p>
      <w:pPr>
        <w:numPr>
          <w:ilvl w:val="0"/>
          <w:numId w:val="5"/>
        </w:numPr>
        <w:spacing w:lineRule="auto"/>
      </w:pPr>
      <w:r>
        <w:rPr/>
        <w:t xml:space="preserve">Evaluating cryptographic security transitions</w:t>
      </w:r>
    </w:p>
    <w:p>
      <w:pPr>
        <w:numPr>
          <w:ilvl w:val="0"/>
          <w:numId w:val="5"/>
        </w:numPr>
        <w:spacing w:lineRule="auto"/>
      </w:pPr>
      <w:r>
        <w:rPr/>
        <w:t xml:space="preserve">Comparing performance across different hardware platforms</w:t>
      </w:r>
    </w:p>
    <w:p>
      <w:pPr>
        <w:numPr>
          <w:ilvl w:val="0"/>
          <w:numId w:val="5"/>
        </w:numPr>
        <w:spacing w:lineRule="auto"/>
      </w:pPr>
      <w:r>
        <w:rPr/>
        <w:t xml:space="preserve">Educational demonstrations of resource scaling</w:t>
      </w:r>
    </w:p>
    <w:p>
      <w:pPr>
        <w:spacing w:line="271" w:before="240" w:lineRule="auto"/>
      </w:pPr>
      <w:bookmarkStart w:id="7" w:name="bm_2_2_google_qualtran"/>
      <w:r>
        <w:rPr>
          <w:b/>
          <w:sz w:val="33"/>
        </w:rPr>
        <w:t xml:space="preserve">2.2 Google Qualtran</w:t>
      </w:r>
      <w:bookmarkEnd w:id="7"/>
    </w:p>
    <w:p>
      <w:pPr>
        <w:spacing w:after="210" w:lineRule="auto"/>
      </w:pPr>
      <w:r>
        <w:rPr>
          <w:b/>
        </w:rPr>
        <w:t xml:space="preserve">Status</w:t>
      </w:r>
      <w:r>
        <w:rPr/>
        <w:t xml:space="preserve">: Open-source framework, active development (2023-present)[7][8]</w:t>
      </w:r>
    </w:p>
    <w:p>
      <w:pPr>
        <w:spacing w:after="210" w:lineRule="auto"/>
      </w:pPr>
      <w:r>
        <w:rPr>
          <w:b/>
        </w:rPr>
        <w:t xml:space="preserve">Purpose</w:t>
      </w:r>
      <w:r>
        <w:rPr/>
        <w:t xml:space="preserve">: Representation and analysis library for quantum algorithms, with built-in resource estimation and circuit synthesis capabilities.</w:t>
      </w:r>
    </w:p>
    <w:p>
      <w:pPr>
        <w:spacing w:after="210" w:lineRule="auto"/>
      </w:pPr>
      <w:r>
        <w:rPr>
          <w:b/>
        </w:rPr>
        <w:t xml:space="preserve">Key Capabilities</w:t>
      </w:r>
      <w:r>
        <w:rPr/>
        <w:t xml:space="preserve">:</w:t>
      </w:r>
    </w:p>
    <w:p>
      <w:pPr>
        <w:numPr>
          <w:ilvl w:val="0"/>
          <w:numId w:val="6"/>
        </w:numPr>
        <w:spacing w:lineRule="auto"/>
      </w:pPr>
      <w:r>
        <w:rPr>
          <w:b/>
        </w:rPr>
        <w:t xml:space="preserve">Algorithmic expression framework</w:t>
      </w:r>
      <w:r>
        <w:rPr/>
        <w:t xml:space="preserve">: Provides Python abstractions (Bloqs) for expressing quantum operations and algorithms, enabling modular algorithm development</w:t>
      </w:r>
    </w:p>
    <w:p>
      <w:pPr>
        <w:numPr>
          <w:ilvl w:val="0"/>
          <w:numId w:val="6"/>
        </w:numPr>
        <w:spacing w:lineRule="auto"/>
      </w:pPr>
      <w:r>
        <w:rPr>
          <w:b/>
        </w:rPr>
        <w:t xml:space="preserve">Reproducible resource analysis</w:t>
      </w:r>
      <w:r>
        <w:rPr/>
        <w:t xml:space="preserve">: Generates detailed, transparent resource counts independent of specific hardware assumptions</w:t>
      </w:r>
    </w:p>
    <w:p>
      <w:pPr>
        <w:numPr>
          <w:ilvl w:val="0"/>
          <w:numId w:val="6"/>
        </w:numPr>
        <w:spacing w:lineRule="auto"/>
      </w:pPr>
      <w:r>
        <w:rPr>
          <w:b/>
        </w:rPr>
        <w:t xml:space="preserve">Standard library of primitives</w:t>
      </w:r>
      <w:r>
        <w:rPr/>
        <w:t xml:space="preserve">: Includes implementations of Hamiltonian simulation, quantum phase estimation, arithmetic operations, cryptographic subroutines (Shor's algorithm components)</w:t>
      </w:r>
    </w:p>
    <w:p>
      <w:pPr>
        <w:numPr>
          <w:ilvl w:val="0"/>
          <w:numId w:val="6"/>
        </w:numPr>
        <w:spacing w:lineRule="auto"/>
      </w:pPr>
      <w:r>
        <w:rPr>
          <w:b/>
        </w:rPr>
        <w:t xml:space="preserve">Architecture-to-cost mapping</w:t>
      </w:r>
      <w:r>
        <w:rPr/>
        <w:t xml:space="preserve">: Integrates with cost models to translate logical-level resource counts into physical requirements for surface-code implementations</w:t>
      </w:r>
    </w:p>
    <w:p>
      <w:pPr>
        <w:numPr>
          <w:ilvl w:val="0"/>
          <w:numId w:val="6"/>
        </w:numPr>
        <w:spacing w:lineRule="auto"/>
      </w:pPr>
      <w:r>
        <w:rPr>
          <w:b/>
        </w:rPr>
        <w:t xml:space="preserve">Automated diagram generation</w:t>
      </w:r>
      <w:r>
        <w:rPr/>
        <w:t xml:space="preserve">: Produces information-rich circuit diagrams from high-level algorithm specifications</w:t>
      </w:r>
    </w:p>
    <w:p>
      <w:pPr>
        <w:numPr>
          <w:ilvl w:val="0"/>
          <w:numId w:val="6"/>
        </w:numPr>
        <w:spacing w:lineRule="auto"/>
      </w:pPr>
      <w:r>
        <w:rPr>
          <w:b/>
        </w:rPr>
        <w:t xml:space="preserve">Simulation and testing</w:t>
      </w:r>
      <w:r>
        <w:rPr/>
        <w:t xml:space="preserve">: Permits classical simulation of algorithms for validation before resource estimation</w:t>
      </w:r>
    </w:p>
    <w:p>
      <w:pPr>
        <w:spacing w:after="210" w:lineRule="auto"/>
      </w:pPr>
      <w:r>
        <w:rPr>
          <w:b/>
        </w:rPr>
        <w:t xml:space="preserve">Architectural Advantages</w:t>
      </w:r>
      <w:r>
        <w:rPr/>
        <w:t xml:space="preserve">:</w:t>
      </w:r>
    </w:p>
    <w:p>
      <w:pPr>
        <w:spacing w:after="210" w:lineRule="auto"/>
      </w:pPr>
      <w:r>
        <w:rPr/>
        <w:t xml:space="preserve">Qualtran's design emphasizes reproducibility and collaboration. Rather than treating resource estimation as a black-box post-hoc analysis, Qualtran makes algorithmic costs explicit and human-verifiable. This approach has enabled detailed re-analysis of canonical algorithms (Hamiltonian simulation, quantum linear systems solvers, Shor's algorithm)[8]:</w:t>
      </w:r>
    </w:p>
    <w:p>
      <w:pPr>
        <w:numPr>
          <w:ilvl w:val="0"/>
          <w:numId w:val="7"/>
        </w:numPr>
        <w:spacing w:lineRule="auto"/>
      </w:pPr>
      <w:r>
        <w:rPr/>
        <w:t xml:space="preserve">Algorithms expressed in Qualtran have yielded more accurate cost predictions than previous hand-analyzed estimates, often with 2-3x better constants factors</w:t>
      </w:r>
    </w:p>
    <w:p>
      <w:pPr>
        <w:numPr>
          <w:ilvl w:val="0"/>
          <w:numId w:val="7"/>
        </w:numPr>
        <w:spacing w:lineRule="auto"/>
      </w:pPr>
      <w:r>
        <w:rPr/>
        <w:t xml:space="preserve">The library reduces barriers to algorithm development, allowing researchers to reason about trade-offs in algorithm design before implementation</w:t>
      </w:r>
    </w:p>
    <w:p>
      <w:pPr>
        <w:spacing w:after="210" w:lineRule="auto"/>
      </w:pPr>
      <w:r>
        <w:rPr>
          <w:b/>
        </w:rPr>
        <w:t xml:space="preserve">Limitations</w:t>
      </w:r>
      <w:r>
        <w:rPr/>
        <w:t xml:space="preserve">:</w:t>
      </w:r>
    </w:p>
    <w:p>
      <w:pPr>
        <w:numPr>
          <w:ilvl w:val="0"/>
          <w:numId w:val="8"/>
        </w:numPr>
        <w:spacing w:lineRule="auto"/>
      </w:pPr>
      <w:r>
        <w:rPr/>
        <w:t xml:space="preserve">Focused on algorithm-level abstraction; does not provide first-principles circuit compilation</w:t>
      </w:r>
    </w:p>
    <w:p>
      <w:pPr>
        <w:numPr>
          <w:ilvl w:val="0"/>
          <w:numId w:val="8"/>
        </w:numPr>
        <w:spacing w:lineRule="auto"/>
      </w:pPr>
      <w:r>
        <w:rPr/>
        <w:t xml:space="preserve">Cost models currently assume surface-code architecture</w:t>
      </w:r>
    </w:p>
    <w:p>
      <w:pPr>
        <w:numPr>
          <w:ilvl w:val="0"/>
          <w:numId w:val="8"/>
        </w:numPr>
        <w:spacing w:lineRule="auto"/>
      </w:pPr>
      <w:r>
        <w:rPr/>
        <w:t xml:space="preserve">Requires deeper technical engagement than Azure QRE for non-expert users</w:t>
      </w:r>
    </w:p>
    <w:p>
      <w:pPr>
        <w:numPr>
          <w:ilvl w:val="0"/>
          <w:numId w:val="8"/>
        </w:numPr>
        <w:spacing w:lineRule="auto"/>
      </w:pPr>
      <w:r>
        <w:rPr/>
        <w:t xml:space="preserve">Less extensive support for hardware-specific optimizations</w:t>
      </w:r>
    </w:p>
    <w:p>
      <w:pPr>
        <w:spacing w:after="210" w:lineRule="auto"/>
      </w:pPr>
      <w:r>
        <w:rPr>
          <w:b/>
        </w:rPr>
        <w:t xml:space="preserve">Complementary Role</w:t>
      </w:r>
      <w:r>
        <w:rPr/>
        <w:t xml:space="preserve">: Qualtran excels where algorithmic innovation is the focus; Azure QRE serves scenarios where specific hardware characteristics drive estimation needs.</w:t>
      </w:r>
    </w:p>
    <w:p>
      <w:pPr>
        <w:spacing w:line="271" w:before="240" w:lineRule="auto"/>
      </w:pPr>
      <w:bookmarkStart w:id="8" w:name="bm_2_3_riverlane_deltaflow_quantu_af7a11"/>
      <w:r>
        <w:rPr>
          <w:b/>
          <w:sz w:val="33"/>
        </w:rPr>
        <w:t xml:space="preserve">2.3 Riverlane Deltaflow Quantum Error Correction Stack</w:t>
      </w:r>
      <w:bookmarkEnd w:id="8"/>
    </w:p>
    <w:p>
      <w:pPr>
        <w:spacing w:after="210" w:lineRule="auto"/>
      </w:pPr>
      <w:r>
        <w:rPr>
          <w:b/>
        </w:rPr>
        <w:t xml:space="preserve">Status</w:t>
      </w:r>
      <w:r>
        <w:rPr/>
        <w:t xml:space="preserve">: Commercial product under active development, phased roadmap through 2026[9][10][11]</w:t>
      </w:r>
    </w:p>
    <w:p>
      <w:pPr>
        <w:spacing w:after="210" w:lineRule="auto"/>
      </w:pPr>
      <w:r>
        <w:rPr>
          <w:b/>
        </w:rPr>
        <w:t xml:space="preserve">Purpose</w:t>
      </w:r>
      <w:r>
        <w:rPr/>
        <w:t xml:space="preserve">: Real-time, scalable quantum error correction implementation capable of supporting FTQC operation across multiple qubit modalities.</w:t>
      </w:r>
    </w:p>
    <w:p>
      <w:pPr>
        <w:spacing w:after="210" w:lineRule="auto"/>
      </w:pPr>
      <w:r>
        <w:rPr>
          <w:b/>
        </w:rPr>
        <w:t xml:space="preserve">Scope</w:t>
      </w:r>
      <w:r>
        <w:rPr>
          <w:rFonts w:eastAsia="Georgia" w:cs="Georgia" w:ascii="Georgia" w:hAnsi="Georgia"/>
        </w:rPr>
        <w:t xml:space="preserve">: Unlike Azure QRE and Qualtran, which estimate required resources, Deltaflow is an actual system for implementing those resources—it is the "other side" of the resource estimation coin.</w:t>
      </w:r>
    </w:p>
    <w:p>
      <w:pPr>
        <w:spacing w:after="210" w:lineRule="auto"/>
      </w:pPr>
      <w:r>
        <w:rPr>
          <w:b/>
        </w:rPr>
        <w:t xml:space="preserve">Technical Architecture</w:t>
      </w:r>
      <w:r>
        <w:rPr/>
        <w:t xml:space="preserve">:</w:t>
      </w:r>
    </w:p>
    <w:p>
      <w:pPr>
        <w:spacing w:after="210" w:lineRule="auto"/>
      </w:pPr>
      <w:r>
        <w:rPr/>
        <w:t xml:space="preserve">Deltaflow's core innovation addresses a critical bottleneck: </w:t>
      </w:r>
      <w:r>
        <w:rPr>
          <w:b/>
        </w:rPr>
        <w:t xml:space="preserve">the decoding latency problem</w:t>
      </w:r>
      <w:r>
        <w:rPr/>
        <w:t xml:space="preserve">. In quantum error correction, syndrome data (error measurements) accumulate faster than traditional decoders can process them. Without fast real-time decoding, errors accumulate exponentially, destroying the quantum advantage of error correction itself[9].</w:t>
      </w:r>
    </w:p>
    <w:p>
      <w:pPr>
        <w:spacing w:after="210" w:lineRule="auto"/>
      </w:pPr>
      <w:r>
        <w:rPr/>
        <w:t xml:space="preserve">Deltaflow's solution hierarchy:</w:t>
      </w:r>
    </w:p>
    <w:p>
      <w:pPr>
        <w:numPr>
          <w:ilvl w:val="0"/>
          <w:numId w:val="9"/>
        </w:numPr>
        <w:spacing w:after="210" w:lineRule="auto"/>
      </w:pPr>
      <w:r>
        <w:rPr>
          <w:b/>
        </w:rPr>
        <w:t xml:space="preserve">Deltaflow 1</w:t>
      </w:r>
      <w:r>
        <w:rPr/>
        <w:t xml:space="preserve"> (2024): Solves the backlog problem through streaming syndrome processing</w:t>
      </w:r>
    </w:p>
    <w:p>
      <w:pPr>
        <w:numPr>
          <w:ilvl w:val="1"/>
          <w:numId w:val="9"/>
        </w:numPr>
        <w:spacing w:lineRule="auto"/>
      </w:pPr>
      <w:r>
        <w:rPr>
          <w:rFonts w:eastAsia="Georgia" w:cs="Georgia" w:ascii="Georgia" w:hAnsi="Georgia"/>
        </w:rPr>
        <w:t xml:space="preserve">Achieves ~1,000 quantum operations (QuOps) with sustained error correction</w:t>
      </w:r>
    </w:p>
    <w:p>
      <w:pPr>
        <w:numPr>
          <w:ilvl w:val="1"/>
          <w:numId w:val="9"/>
        </w:numPr>
        <w:spacing w:lineRule="auto"/>
      </w:pPr>
      <w:r>
        <w:rPr/>
        <w:t xml:space="preserve">Local Cluster Decoder implementation</w:t>
      </w:r>
    </w:p>
    <w:p>
      <w:pPr>
        <w:numPr>
          <w:ilvl w:val="0"/>
          <w:numId w:val="9"/>
        </w:numPr>
        <w:spacing w:after="210" w:lineRule="auto"/>
      </w:pPr>
      <w:r>
        <w:rPr>
          <w:b/>
        </w:rPr>
        <w:t xml:space="preserve">Deltaflow 2</w:t>
      </w:r>
      <w:r>
        <w:rPr/>
        <w:t xml:space="preserve"> (2025): Extends temporal stability and memory</w:t>
      </w:r>
    </w:p>
    <w:p>
      <w:pPr>
        <w:numPr>
          <w:ilvl w:val="1"/>
          <w:numId w:val="9"/>
        </w:numPr>
        <w:spacing w:lineRule="auto"/>
      </w:pPr>
      <w:r>
        <w:rPr/>
        <w:t xml:space="preserve">Target: 10,000 QuOps</w:t>
      </w:r>
    </w:p>
    <w:p>
      <w:pPr>
        <w:numPr>
          <w:ilvl w:val="1"/>
          <w:numId w:val="9"/>
        </w:numPr>
        <w:spacing w:lineRule="auto"/>
      </w:pPr>
      <w:r>
        <w:rPr/>
        <w:t xml:space="preserve">Next-generation Local Cluster Decoder with improved accuracy and scalability</w:t>
      </w:r>
    </w:p>
    <w:p>
      <w:pPr>
        <w:numPr>
          <w:ilvl w:val="1"/>
          <w:numId w:val="9"/>
        </w:numPr>
        <w:spacing w:lineRule="auto"/>
      </w:pPr>
      <w:r>
        <w:rPr/>
        <w:t xml:space="preserve">Sliding window decoding approach</w:t>
      </w:r>
    </w:p>
    <w:p>
      <w:pPr>
        <w:numPr>
          <w:ilvl w:val="0"/>
          <w:numId w:val="9"/>
        </w:numPr>
        <w:spacing w:after="210" w:lineRule="auto"/>
      </w:pPr>
      <w:r>
        <w:rPr>
          <w:b/>
        </w:rPr>
        <w:t xml:space="preserve">Deltaflow 3</w:t>
      </w:r>
      <w:r>
        <w:rPr/>
        <w:t xml:space="preserve"> (2026): Parallelized decoding with hardware acceleration</w:t>
      </w:r>
    </w:p>
    <w:p>
      <w:pPr>
        <w:numPr>
          <w:ilvl w:val="1"/>
          <w:numId w:val="9"/>
        </w:numPr>
        <w:spacing w:lineRule="auto"/>
      </w:pPr>
      <w:r>
        <w:rPr/>
        <w:t xml:space="preserve">Target: 100,000 QuOps</w:t>
      </w:r>
    </w:p>
    <w:p>
      <w:pPr>
        <w:numPr>
          <w:ilvl w:val="1"/>
          <w:numId w:val="9"/>
        </w:numPr>
        <w:spacing w:lineRule="auto"/>
      </w:pPr>
      <w:r>
        <w:rPr/>
        <w:t xml:space="preserve">FPGA/ASIC implementations for distributed decoding</w:t>
      </w:r>
    </w:p>
    <w:p>
      <w:pPr>
        <w:numPr>
          <w:ilvl w:val="1"/>
          <w:numId w:val="9"/>
        </w:numPr>
        <w:spacing w:lineRule="auto"/>
      </w:pPr>
      <w:r>
        <w:rPr/>
        <w:t xml:space="preserve">Increased abstraction layers for logical circuit specification</w:t>
      </w:r>
    </w:p>
    <w:p>
      <w:pPr>
        <w:numPr>
          <w:ilvl w:val="0"/>
          <w:numId w:val="9"/>
        </w:numPr>
        <w:spacing w:after="210" w:lineRule="auto"/>
      </w:pPr>
      <w:r>
        <w:rPr>
          <w:b/>
        </w:rPr>
        <w:t xml:space="preserve">Deltaflow Mega</w:t>
      </w:r>
      <w:r>
        <w:rPr/>
        <w:t xml:space="preserve"> (2026): Full-scale error-corrected quantum computation</w:t>
      </w:r>
    </w:p>
    <w:p>
      <w:pPr>
        <w:numPr>
          <w:ilvl w:val="1"/>
          <w:numId w:val="9"/>
        </w:numPr>
        <w:spacing w:lineRule="auto"/>
      </w:pPr>
      <w:r>
        <w:rPr>
          <w:rFonts w:eastAsia="Georgia" w:cs="Georgia" w:ascii="Georgia" w:hAnsi="Georgia"/>
        </w:rPr>
        <w:t xml:space="preserve">Target: 1,000,000 QuOps—the "MegaQuOp regime"</w:t>
      </w:r>
    </w:p>
    <w:p>
      <w:pPr>
        <w:numPr>
          <w:ilvl w:val="1"/>
          <w:numId w:val="9"/>
        </w:numPr>
        <w:spacing w:lineRule="auto"/>
      </w:pPr>
      <w:r>
        <w:rPr/>
        <w:t xml:space="preserve">Exceeds classical supercomputer simulation capacity</w:t>
      </w:r>
    </w:p>
    <w:p>
      <w:pPr>
        <w:numPr>
          <w:ilvl w:val="1"/>
          <w:numId w:val="9"/>
        </w:numPr>
        <w:spacing w:lineRule="auto"/>
      </w:pPr>
      <w:r>
        <w:rPr/>
        <w:t xml:space="preserve">Dynamic large-scale data orchestration</w:t>
      </w:r>
    </w:p>
    <w:p>
      <w:pPr>
        <w:spacing w:after="210" w:lineRule="auto"/>
      </w:pPr>
      <w:r>
        <w:rPr>
          <w:b/>
        </w:rPr>
        <w:t xml:space="preserve">Hardware Agnostic Design</w:t>
      </w:r>
      <w:r>
        <w:rPr/>
        <w:t xml:space="preserve">: Unlike Microsoft's surface-code focus, Deltaflow is architected to support all major qubit modalities:</w:t>
      </w:r>
    </w:p>
    <w:p>
      <w:pPr>
        <w:numPr>
          <w:ilvl w:val="0"/>
          <w:numId w:val="10"/>
        </w:numPr>
        <w:spacing w:lineRule="auto"/>
      </w:pPr>
      <w:r>
        <w:rPr/>
        <w:t xml:space="preserve">Superconducting qubits</w:t>
      </w:r>
    </w:p>
    <w:p>
      <w:pPr>
        <w:numPr>
          <w:ilvl w:val="0"/>
          <w:numId w:val="10"/>
        </w:numPr>
        <w:spacing w:lineRule="auto"/>
      </w:pPr>
      <w:r>
        <w:rPr/>
        <w:t xml:space="preserve">Trapped-ion systems</w:t>
      </w:r>
    </w:p>
    <w:p>
      <w:pPr>
        <w:numPr>
          <w:ilvl w:val="0"/>
          <w:numId w:val="10"/>
        </w:numPr>
        <w:spacing w:lineRule="auto"/>
      </w:pPr>
      <w:r>
        <w:rPr/>
        <w:t xml:space="preserve">Photonic qubits</w:t>
      </w:r>
    </w:p>
    <w:p>
      <w:pPr>
        <w:numPr>
          <w:ilvl w:val="0"/>
          <w:numId w:val="10"/>
        </w:numPr>
        <w:spacing w:lineRule="auto"/>
      </w:pPr>
      <w:r>
        <w:rPr/>
        <w:t xml:space="preserve">Neutral atoms</w:t>
      </w:r>
    </w:p>
    <w:p>
      <w:pPr>
        <w:spacing w:after="210" w:lineRule="auto"/>
      </w:pPr>
      <w:r>
        <w:rPr>
          <w:b/>
        </w:rPr>
        <w:t xml:space="preserve">Integration with Resource Estimation</w:t>
      </w:r>
      <w:r>
        <w:rPr/>
        <w:t xml:space="preserve">: Deltaflow's roadmap implicitly defines resource requirements. By demonstrating operational QuOps targets, Riverlane provides empirical validation of resource estimation predictions. The company has partnered with leading quantum hardware vendors (IBM, IonQ, Atom Computing, Quantinuum) to test Deltaflow implementations[11].</w:t>
      </w:r>
    </w:p>
    <w:p>
      <w:pPr>
        <w:spacing w:line="271" w:before="240" w:lineRule="auto"/>
      </w:pPr>
      <w:bookmarkStart w:id="9" w:name="bm_2_4_supporting_tools_and_emerg_77385a"/>
      <w:r>
        <w:rPr>
          <w:b/>
          <w:sz w:val="33"/>
        </w:rPr>
        <w:t xml:space="preserve">2.4 Supporting Tools and Emerging Frameworks</w:t>
      </w:r>
      <w:bookmarkEnd w:id="9"/>
    </w:p>
    <w:p>
      <w:pPr>
        <w:spacing w:after="210" w:lineRule="auto"/>
      </w:pPr>
      <w:r>
        <w:rPr>
          <w:b/>
        </w:rPr>
        <w:t xml:space="preserve">Azure Quantum Resource Estimator</w:t>
      </w:r>
      <w:r>
        <w:rPr/>
        <w:t xml:space="preserve"> and </w:t>
      </w:r>
      <w:r>
        <w:rPr>
          <w:b/>
        </w:rPr>
        <w:t xml:space="preserve">Qualtran</w:t>
      </w:r>
      <w:r>
        <w:rPr/>
        <w:t xml:space="preserve"> are the dominant open-source tools, but complementary frameworks address specialized needs:</w:t>
      </w:r>
    </w:p>
    <w:p>
      <w:pPr>
        <w:spacing w:line="271" w:before="240" w:lineRule="auto"/>
      </w:pPr>
      <w:bookmarkStart w:id="10" w:name="benchq_zapata_computing"/>
      <w:r>
        <w:rPr>
          <w:b/>
          <w:sz w:val="28"/>
        </w:rPr>
        <w:t xml:space="preserve">BenchQ (Zapata Computing)</w:t>
      </w:r>
      <w:bookmarkEnd w:id="10"/>
    </w:p>
    <w:p>
      <w:pPr>
        <w:numPr>
          <w:ilvl w:val="0"/>
          <w:numId w:val="11"/>
        </w:numPr>
        <w:spacing w:lineRule="auto"/>
      </w:pPr>
      <w:r>
        <w:rPr>
          <w:b/>
        </w:rPr>
        <w:t xml:space="preserve">Purpose</w:t>
      </w:r>
      <w:r>
        <w:rPr/>
        <w:t xml:space="preserve">: Resource estimation specifically for fault-tolerant quantum computing</w:t>
      </w:r>
    </w:p>
    <w:p>
      <w:pPr>
        <w:numPr>
          <w:ilvl w:val="0"/>
          <w:numId w:val="11"/>
        </w:numPr>
        <w:spacing w:lineRule="auto"/>
      </w:pPr>
      <w:r>
        <w:rPr>
          <w:b/>
        </w:rPr>
        <w:t xml:space="preserve">Features</w:t>
      </w:r>
      <w:r>
        <w:rPr/>
        <w:t xml:space="preserve">: Graph-state compiler, compilation cost estimation, error correction overhead analysis</w:t>
      </w:r>
    </w:p>
    <w:p>
      <w:pPr>
        <w:numPr>
          <w:ilvl w:val="0"/>
          <w:numId w:val="11"/>
        </w:numPr>
        <w:spacing w:lineRule="auto"/>
      </w:pPr>
      <w:r>
        <w:rPr>
          <w:b/>
        </w:rPr>
        <w:t xml:space="preserve">Status</w:t>
      </w:r>
      <w:r>
        <w:rPr/>
        <w:t xml:space="preserve">: Available as open-source Python library</w:t>
      </w:r>
    </w:p>
    <w:p>
      <w:pPr>
        <w:spacing w:line="271" w:before="240" w:lineRule="auto"/>
      </w:pPr>
      <w:bookmarkStart w:id="11" w:name="pyliqtr_mit_lincoln_laboratory"/>
      <w:r>
        <w:rPr>
          <w:b/>
          <w:sz w:val="28"/>
        </w:rPr>
        <w:t xml:space="preserve">pyLIQTR (MIT Lincoln Laboratory)</w:t>
      </w:r>
      <w:bookmarkEnd w:id="11"/>
    </w:p>
    <w:p>
      <w:pPr>
        <w:numPr>
          <w:ilvl w:val="0"/>
          <w:numId w:val="12"/>
        </w:numPr>
        <w:spacing w:lineRule="auto"/>
      </w:pPr>
      <w:r>
        <w:rPr>
          <w:b/>
        </w:rPr>
        <w:t xml:space="preserve">Purpose</w:t>
      </w:r>
      <w:r>
        <w:rPr/>
        <w:t xml:space="preserve">: Physical-level resource analysis with emphasis on optical/photonic modalities</w:t>
      </w:r>
    </w:p>
    <w:p>
      <w:pPr>
        <w:numPr>
          <w:ilvl w:val="0"/>
          <w:numId w:val="12"/>
        </w:numPr>
        <w:spacing w:lineRule="auto"/>
      </w:pPr>
      <w:r>
        <w:rPr>
          <w:b/>
        </w:rPr>
        <w:t xml:space="preserve">Features</w:t>
      </w:r>
      <w:r>
        <w:rPr/>
        <w:t xml:space="preserve">: State distillation, gate overhead estimation, architectural comparisons</w:t>
      </w:r>
    </w:p>
    <w:p>
      <w:pPr>
        <w:numPr>
          <w:ilvl w:val="0"/>
          <w:numId w:val="12"/>
        </w:numPr>
        <w:spacing w:lineRule="auto"/>
      </w:pPr>
      <w:r>
        <w:rPr>
          <w:b/>
        </w:rPr>
        <w:t xml:space="preserve">Status</w:t>
      </w:r>
      <w:r>
        <w:rPr/>
        <w:t xml:space="preserve">: Open-source, specialized for emerging qubit platforms</w:t>
      </w:r>
    </w:p>
    <w:p>
      <w:pPr>
        <w:spacing w:line="271" w:before="240" w:lineRule="auto"/>
      </w:pPr>
      <w:bookmarkStart w:id="12" w:name="topqad_darpa_quantum_benchmarking_1570e0"/>
      <w:r>
        <w:rPr>
          <w:b/>
          <w:sz w:val="28"/>
        </w:rPr>
        <w:t xml:space="preserve">TopQAD (DARPA Quantum Benchmarking Program)</w:t>
      </w:r>
      <w:bookmarkEnd w:id="12"/>
    </w:p>
    <w:p>
      <w:pPr>
        <w:numPr>
          <w:ilvl w:val="0"/>
          <w:numId w:val="13"/>
        </w:numPr>
        <w:spacing w:lineRule="auto"/>
      </w:pPr>
      <w:r>
        <w:rPr>
          <w:b/>
        </w:rPr>
        <w:t xml:space="preserve">Purpose</w:t>
      </w:r>
      <w:r>
        <w:rPr/>
        <w:t xml:space="preserve">: Generate detailed resource estimates for FTQC protocols</w:t>
      </w:r>
    </w:p>
    <w:p>
      <w:pPr>
        <w:numPr>
          <w:ilvl w:val="0"/>
          <w:numId w:val="13"/>
        </w:numPr>
        <w:spacing w:lineRule="auto"/>
      </w:pPr>
      <w:r>
        <w:rPr>
          <w:b/>
        </w:rPr>
        <w:t xml:space="preserve">Features</w:t>
      </w:r>
      <w:r>
        <w:rPr/>
        <w:t xml:space="preserve">: Compare FTQC architectures, model different error correction codes</w:t>
      </w:r>
    </w:p>
    <w:p>
      <w:pPr>
        <w:numPr>
          <w:ilvl w:val="0"/>
          <w:numId w:val="13"/>
        </w:numPr>
        <w:spacing w:lineRule="auto"/>
      </w:pPr>
      <w:r>
        <w:rPr>
          <w:b/>
        </w:rPr>
        <w:t xml:space="preserve">Integration</w:t>
      </w:r>
      <w:r>
        <w:rPr/>
        <w:t xml:space="preserve">: Available through IEEE Quantum Week tutorials and academic conferences</w:t>
      </w:r>
    </w:p>
    <w:p>
      <w:pPr>
        <w:spacing w:line="271" w:before="240" w:lineRule="auto"/>
      </w:pPr>
      <w:bookmarkStart w:id="13" w:name="mqt_bench_and_qcr_tools"/>
      <w:r>
        <w:rPr>
          <w:b/>
          <w:sz w:val="28"/>
        </w:rPr>
        <w:t xml:space="preserve">MQT Bench and QCR Tools</w:t>
      </w:r>
      <w:bookmarkEnd w:id="13"/>
    </w:p>
    <w:p>
      <w:pPr>
        <w:numPr>
          <w:ilvl w:val="0"/>
          <w:numId w:val="14"/>
        </w:numPr>
        <w:spacing w:lineRule="auto"/>
      </w:pPr>
      <w:r>
        <w:rPr>
          <w:b/>
        </w:rPr>
        <w:t xml:space="preserve">Purpose</w:t>
      </w:r>
      <w:r>
        <w:rPr/>
        <w:t xml:space="preserve">: Static resource estimation for NISQ and FTQC workloads</w:t>
      </w:r>
    </w:p>
    <w:p>
      <w:pPr>
        <w:numPr>
          <w:ilvl w:val="0"/>
          <w:numId w:val="14"/>
        </w:numPr>
        <w:spacing w:lineRule="auto"/>
      </w:pPr>
      <w:r>
        <w:rPr>
          <w:b/>
        </w:rPr>
        <w:t xml:space="preserve">Features</w:t>
      </w:r>
      <w:r>
        <w:rPr/>
        <w:t xml:space="preserve">: Benchmarking suites, performance analytics</w:t>
      </w:r>
    </w:p>
    <w:p>
      <w:pPr>
        <w:numPr>
          <w:ilvl w:val="0"/>
          <w:numId w:val="14"/>
        </w:numPr>
        <w:spacing w:lineRule="auto"/>
      </w:pPr>
      <w:r>
        <w:rPr>
          <w:b/>
        </w:rPr>
        <w:t xml:space="preserve">Status</w:t>
      </w:r>
      <w:r>
        <w:rPr/>
        <w:t xml:space="preserve">: Part of growing ecosystem of QRE-focused tools</w:t>
      </w:r>
    </w:p>
    <w:p>
      <w:pPr>
        <w:spacing w:line="271" w:before="240" w:lineRule="auto"/>
      </w:pPr>
      <w:bookmarkStart w:id="14" w:name="bm_2_5_benchmarking_and_error_cha_a82339"/>
      <w:r>
        <w:rPr>
          <w:b/>
          <w:sz w:val="33"/>
        </w:rPr>
        <w:t xml:space="preserve">2.5 Benchmarking and Error Characterization Infrastructure</w:t>
      </w:r>
      <w:bookmarkEnd w:id="14"/>
    </w:p>
    <w:p>
      <w:pPr>
        <w:spacing w:after="210" w:lineRule="auto"/>
      </w:pPr>
      <w:r>
        <w:rPr/>
        <w:t xml:space="preserve">Accurate resource estimation requires precise error models. Complementary tools address this need:</w:t>
      </w:r>
    </w:p>
    <w:p>
      <w:pPr>
        <w:spacing w:line="271" w:before="240" w:lineRule="auto"/>
      </w:pPr>
      <w:bookmarkStart w:id="15" w:name="randomized_benchmarking_and_gate_3ac1f1"/>
      <w:r>
        <w:rPr>
          <w:b/>
          <w:sz w:val="28"/>
        </w:rPr>
        <w:t xml:space="preserve">Randomized Benchmarking and Gate Set Tomography</w:t>
      </w:r>
      <w:bookmarkEnd w:id="15"/>
    </w:p>
    <w:p>
      <w:pPr>
        <w:numPr>
          <w:ilvl w:val="0"/>
          <w:numId w:val="15"/>
        </w:numPr>
        <w:spacing w:lineRule="auto"/>
      </w:pPr>
      <w:r>
        <w:rPr/>
        <w:t xml:space="preserve">Characterizes coherent and incoherent errors in physical qubits</w:t>
      </w:r>
    </w:p>
    <w:p>
      <w:pPr>
        <w:numPr>
          <w:ilvl w:val="0"/>
          <w:numId w:val="15"/>
        </w:numPr>
        <w:spacing w:lineRule="auto"/>
      </w:pPr>
      <w:r>
        <w:rPr/>
        <w:t xml:space="preserve">Provides direct empirical input to resource estimation models[12]</w:t>
      </w:r>
    </w:p>
    <w:p>
      <w:pPr>
        <w:spacing w:line="271" w:before="240" w:lineRule="auto"/>
      </w:pPr>
      <w:bookmarkStart w:id="16" w:name="advanced_decoding_algorithms"/>
      <w:r>
        <w:rPr>
          <w:b/>
          <w:sz w:val="28"/>
        </w:rPr>
        <w:t xml:space="preserve">Advanced Decoding Algorithms</w:t>
      </w:r>
      <w:bookmarkEnd w:id="16"/>
    </w:p>
    <w:p>
      <w:pPr>
        <w:numPr>
          <w:ilvl w:val="0"/>
          <w:numId w:val="16"/>
        </w:numPr>
        <w:spacing w:lineRule="auto"/>
      </w:pPr>
      <w:r>
        <w:rPr/>
        <w:t xml:space="preserve">Learning-based decoders using neural networks (Google 2024)[13]</w:t>
      </w:r>
    </w:p>
    <w:p>
      <w:pPr>
        <w:numPr>
          <w:ilvl w:val="0"/>
          <w:numId w:val="16"/>
        </w:numPr>
        <w:spacing w:lineRule="auto"/>
      </w:pPr>
      <w:r>
        <w:rPr/>
        <w:t xml:space="preserve">Soft-information techniques reducing QEC overhead[14]</w:t>
      </w:r>
    </w:p>
    <w:p>
      <w:pPr>
        <w:numPr>
          <w:ilvl w:val="0"/>
          <w:numId w:val="16"/>
        </w:numPr>
        <w:spacing w:lineRule="auto"/>
      </w:pPr>
      <w:r>
        <w:rPr/>
        <w:t xml:space="preserve">Represent next-generation improvements to QEC efficiency assumptions</w:t>
      </w:r>
    </w:p>
    <w:p>
      <w:pPr>
        <w:spacing w:line="271" w:before="240" w:lineRule="auto"/>
      </w:pPr>
      <w:bookmarkStart w:id="17" w:name="quantum_supremacy_metrics_quantum_volume"/>
      <w:r>
        <w:rPr>
          <w:b/>
          <w:sz w:val="28"/>
        </w:rPr>
        <w:t xml:space="preserve">Quantum Supremacy Metrics (Quantum Volume)</w:t>
      </w:r>
      <w:bookmarkEnd w:id="17"/>
    </w:p>
    <w:p>
      <w:pPr>
        <w:numPr>
          <w:ilvl w:val="0"/>
          <w:numId w:val="17"/>
        </w:numPr>
        <w:spacing w:lineRule="auto"/>
      </w:pPr>
      <w:r>
        <w:rPr/>
        <w:t xml:space="preserve">Cross-platform performance metric more predictive of practical utility than qubit count alone</w:t>
      </w:r>
    </w:p>
    <w:p>
      <w:pPr>
        <w:numPr>
          <w:ilvl w:val="0"/>
          <w:numId w:val="17"/>
        </w:numPr>
        <w:spacing w:lineRule="auto"/>
      </w:pPr>
      <w:r>
        <w:rPr>
          <w:rFonts w:eastAsia="Georgia" w:cs="Georgia" w:ascii="Georgia" w:hAnsi="Georgia"/>
        </w:rPr>
        <w:t xml:space="preserve">Depends critically on user-side compilation and subgraph selection—highlights importance of realistic error assumptions in resource estimation[12]</w:t>
      </w:r>
    </w:p>
    <w:p>
      <w:pPr>
        <w:spacing w:line="271" w:before="240" w:lineRule="auto"/>
      </w:pPr>
      <w:bookmarkStart w:id="18" w:name="bm_3_architectural_paradigms_for_232095"/>
      <w:r>
        <w:rPr>
          <w:b/>
          <w:sz w:val="42"/>
        </w:rPr>
        <w:t xml:space="preserve">3. Architectural Paradigms for NISQ-to-FTQC Transition</w:t>
      </w:r>
      <w:bookmarkEnd w:id="18"/>
    </w:p>
    <w:p>
      <w:pPr>
        <w:spacing w:line="271" w:before="240" w:lineRule="auto"/>
      </w:pPr>
      <w:bookmarkStart w:id="19" w:name="bm_3_1_hardware_aware_compilation_d3e4a5"/>
      <w:r>
        <w:rPr>
          <w:b/>
          <w:sz w:val="33"/>
        </w:rPr>
        <w:t xml:space="preserve">3.1 Hardware-Aware Compilation as a Bridge Technology</w:t>
      </w:r>
      <w:bookmarkEnd w:id="19"/>
    </w:p>
    <w:p>
      <w:pPr>
        <w:spacing w:after="210" w:lineRule="auto"/>
      </w:pPr>
      <w:r>
        <w:rPr/>
        <w:t xml:space="preserve">Current NISQ devices require sophisticated compilation to achieve acceptable performance. Recent advances (e.g., QSteed system at Quafu)[15] demonstrate that integrating resource virtualization with hardware-aware compilation improves circuit fidelity by proactively avoiding high-noise qubit regions.</w:t>
      </w:r>
    </w:p>
    <w:p>
      <w:pPr>
        <w:spacing w:after="210" w:lineRule="auto"/>
      </w:pPr>
      <w:r>
        <w:rPr>
          <w:b/>
        </w:rPr>
        <w:t xml:space="preserve">Relevance to FTQC Transition</w:t>
      </w:r>
      <w:r>
        <w:rPr/>
        <w:t xml:space="preserve">: These NISQ compilation techniques do not directly transfer to FTQC (error correction changes the fundamental model), but the </w:t>
      </w:r>
      <w:r>
        <w:rPr>
          <w:i/>
        </w:rPr>
        <w:t xml:space="preserve">architectural principle</w:t>
      </w:r>
      <w:r>
        <w:rPr>
          <w:rFonts w:eastAsia="Georgia" w:cs="Georgia" w:ascii="Georgia" w:hAnsi="Georgia"/>
        </w:rPr>
        <w:t xml:space="preserve">—tight integration between resource management, hardware characterization, and compilation—is foundational for FTQC system software. Deltaflow's design incorporates this principle[9].</w:t>
      </w:r>
    </w:p>
    <w:p>
      <w:pPr>
        <w:spacing w:line="271" w:before="240" w:lineRule="auto"/>
      </w:pPr>
      <w:bookmarkStart w:id="20" w:name="bm_3_2_error_suppression_mitigati_e8fd0f"/>
      <w:r>
        <w:rPr>
          <w:b/>
          <w:sz w:val="33"/>
        </w:rPr>
        <w:t xml:space="preserve">3.2 Error Suppression, Mitigation, and Correction as Complementary Strategies</w:t>
      </w:r>
      <w:bookmarkEnd w:id="20"/>
    </w:p>
    <w:p>
      <w:pPr>
        <w:spacing w:after="210" w:lineRule="auto"/>
      </w:pPr>
      <w:r>
        <w:rPr/>
        <w:t xml:space="preserve">As detailed in Q-CTRL's 2024 analysis[16], quantum systems employ a three-tier error management strategy: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Strategy</w:t>
            </w:r>
          </w:p>
        </w:tc>
        <w:tc>
          <w:tcPr>
            <w:tcBorders>
              <w:top w:val="single" w:sz="1" w:space="0" w:color="000000"/>
              <w:left w:val="single" w:sz="1" w:space="0" w:color="000000"/>
              <w:bottom w:val="single" w:sz="1" w:space="0" w:color="000000"/>
            </w:tcBorders>
          </w:tcPr>
          <w:p>
            <w:pPr>
              <w:spacing w:lineRule="auto"/>
            </w:pPr>
            <w:r>
              <w:rPr/>
              <w:t xml:space="preserve">Mechanism</w:t>
            </w:r>
          </w:p>
        </w:tc>
        <w:tc>
          <w:tcPr>
            <w:tcBorders>
              <w:top w:val="single" w:sz="1" w:space="0" w:color="000000"/>
              <w:left w:val="single" w:sz="1" w:space="0" w:color="000000"/>
              <w:bottom w:val="single" w:sz="1" w:space="0" w:color="000000"/>
            </w:tcBorders>
          </w:tcPr>
          <w:p>
            <w:pPr>
              <w:spacing w:lineRule="auto"/>
            </w:pPr>
            <w:r>
              <w:rPr/>
              <w:t xml:space="preserve">Overhead</w:t>
            </w:r>
          </w:p>
        </w:tc>
        <w:tc>
          <w:tcPr>
            <w:tcBorders>
              <w:top w:val="single" w:sz="1" w:space="0" w:color="000000"/>
              <w:left w:val="single" w:sz="1" w:space="0" w:color="000000"/>
              <w:bottom w:val="single" w:sz="1" w:space="0" w:color="000000"/>
            </w:tcBorders>
          </w:tcPr>
          <w:p>
            <w:pPr>
              <w:spacing w:lineRule="auto"/>
            </w:pPr>
            <w:r>
              <w:rPr/>
              <w:t xml:space="preserve">Applicability</w:t>
            </w:r>
          </w:p>
        </w:tc>
        <w:tc>
          <w:tcPr>
            <w:tcBorders>
              <w:top w:val="single" w:sz="1" w:space="0" w:color="000000"/>
              <w:left w:val="single" w:sz="1" w:space="0" w:color="000000"/>
              <w:bottom w:val="single" w:sz="1" w:space="0" w:color="000000"/>
            </w:tcBorders>
          </w:tcPr>
          <w:p>
            <w:pPr>
              <w:spacing w:lineRule="auto"/>
            </w:pPr>
            <w:r>
              <w:rPr/>
              <w:t xml:space="preserve">Fate</w:t>
            </w:r>
          </w:p>
        </w:tc>
      </w:tr>
      <w:tr>
        <w:trPr>
          <w:cantSplit/>
        </w:trPr>
        <w:tc>
          <w:tcPr>
            <w:tcBorders>
              <w:top w:val="single" w:sz="1" w:space="0" w:color="000000"/>
              <w:bottom w:val="single" w:sz="1" w:space="0" w:color="000000"/>
            </w:tcBorders>
          </w:tcPr>
          <w:p>
            <w:pPr>
              <w:spacing w:lineRule="auto"/>
            </w:pPr>
            <w:r>
              <w:rPr>
                <w:b/>
              </w:rPr>
              <w:t xml:space="preserve">Error Suppression</w:t>
            </w:r>
          </w:p>
        </w:tc>
        <w:tc>
          <w:tcPr>
            <w:tcBorders>
              <w:top w:val="single" w:sz="1" w:space="0" w:color="000000"/>
              <w:left w:val="single" w:sz="1" w:space="0" w:color="000000"/>
              <w:bottom w:val="single" w:sz="1" w:space="0" w:color="000000"/>
            </w:tcBorders>
          </w:tcPr>
          <w:p>
            <w:pPr>
              <w:spacing w:lineRule="auto"/>
            </w:pPr>
            <w:r>
              <w:rPr/>
              <w:t xml:space="preserve">Optimal pulse design, crosstalk cancellation, native gate optimization</w:t>
            </w:r>
          </w:p>
        </w:tc>
        <w:tc>
          <w:tcPr>
            <w:tcBorders>
              <w:top w:val="single" w:sz="1" w:space="0" w:color="000000"/>
              <w:left w:val="single" w:sz="1" w:space="0" w:color="000000"/>
              <w:bottom w:val="single" w:sz="1" w:space="0" w:color="000000"/>
            </w:tcBorders>
          </w:tcPr>
          <w:p>
            <w:pPr>
              <w:spacing w:lineRule="auto"/>
            </w:pPr>
            <w:r>
              <w:rPr/>
              <w:t xml:space="preserve">Minutes-scale compilation overhead only</w:t>
            </w:r>
          </w:p>
        </w:tc>
        <w:tc>
          <w:tcPr>
            <w:tcBorders>
              <w:top w:val="single" w:sz="1" w:space="0" w:color="000000"/>
              <w:left w:val="single" w:sz="1" w:space="0" w:color="000000"/>
              <w:bottom w:val="single" w:sz="1" w:space="0" w:color="000000"/>
            </w:tcBorders>
          </w:tcPr>
          <w:p>
            <w:pPr>
              <w:spacing w:lineRule="auto"/>
            </w:pPr>
            <w:r>
              <w:rPr/>
              <w:t xml:space="preserve">Universal; applies to all algorithms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Permanent—necessary even with full QEC</w:t>
            </w:r>
          </w:p>
        </w:tc>
      </w:tr>
      <w:tr>
        <w:trPr>
          <w:cantSplit/>
        </w:trPr>
        <w:tc>
          <w:tcPr>
            <w:tcBorders>
              <w:top w:val="single" w:sz="1" w:space="0" w:color="000000"/>
              <w:bottom w:val="single" w:sz="1" w:space="0" w:color="000000"/>
            </w:tcBorders>
          </w:tcPr>
          <w:p>
            <w:pPr>
              <w:spacing w:lineRule="auto"/>
            </w:pPr>
            <w:r>
              <w:rPr>
                <w:b/>
              </w:rPr>
              <w:t xml:space="preserve">Error Mitigation</w:t>
            </w:r>
          </w:p>
        </w:tc>
        <w:tc>
          <w:tcPr>
            <w:tcBorders>
              <w:top w:val="single" w:sz="1" w:space="0" w:color="000000"/>
              <w:left w:val="single" w:sz="1" w:space="0" w:color="000000"/>
              <w:bottom w:val="single" w:sz="1" w:space="0" w:color="000000"/>
            </w:tcBorders>
          </w:tcPr>
          <w:p>
            <w:pPr>
              <w:spacing w:lineRule="auto"/>
            </w:pPr>
            <w:r>
              <w:rPr/>
              <w:t xml:space="preserve">Zero-noise extrapolation, probabilistic error cancellation, Clifford Noise Reduction (CliNR)</w:t>
            </w:r>
          </w:p>
        </w:tc>
        <w:tc>
          <w:tcPr>
            <w:tcBorders>
              <w:top w:val="single" w:sz="1" w:space="0" w:color="000000"/>
              <w:left w:val="single" w:sz="1" w:space="0" w:color="000000"/>
              <w:bottom w:val="single" w:sz="1" w:space="0" w:color="000000"/>
            </w:tcBorders>
          </w:tcPr>
          <w:p>
            <w:pPr>
              <w:spacing w:lineRule="auto"/>
            </w:pPr>
            <w:r>
              <w:rPr/>
              <w:t xml:space="preserve">Exponential in circuit samples; severely limits workload scale</w:t>
            </w:r>
          </w:p>
        </w:tc>
        <w:tc>
          <w:tcPr>
            <w:tcBorders>
              <w:top w:val="single" w:sz="1" w:space="0" w:color="000000"/>
              <w:left w:val="single" w:sz="1" w:space="0" w:color="000000"/>
              <w:bottom w:val="single" w:sz="1" w:space="0" w:color="000000"/>
            </w:tcBorders>
          </w:tcPr>
          <w:p>
            <w:pPr>
              <w:spacing w:lineRule="auto"/>
            </w:pPr>
            <w:r>
              <w:rPr/>
              <w:t xml:space="preserve">Limited to expectation-value estimation; excludes full output distributions</w:t>
            </w:r>
          </w:p>
        </w:tc>
        <w:tc>
          <w:tcPr>
            <w:tcBorders>
              <w:top w:val="single" w:sz="1" w:space="0" w:color="000000"/>
              <w:left w:val="single" w:sz="1" w:space="0" w:color="000000"/>
              <w:bottom w:val="single" w:sz="1" w:space="0" w:color="000000"/>
            </w:tcBorders>
          </w:tcPr>
          <w:p>
            <w:pPr>
              <w:spacing w:lineRule="auto"/>
            </w:pPr>
            <w:r>
              <w:rPr/>
              <w:t xml:space="preserve">NISQ bridge technology; obsolete at scale in FTQC</w:t>
            </w:r>
          </w:p>
        </w:tc>
      </w:tr>
      <w:tr>
        <w:trPr>
          <w:cantSplit/>
        </w:trPr>
        <w:tc>
          <w:tcPr>
            <w:tcBorders>
              <w:top w:val="single" w:sz="1" w:space="0" w:color="000000"/>
              <w:bottom w:val="single" w:sz="1" w:space="0" w:color="000000"/>
            </w:tcBorders>
          </w:tcPr>
          <w:p>
            <w:pPr>
              <w:spacing w:lineRule="auto"/>
            </w:pPr>
            <w:r>
              <w:rPr>
                <w:b/>
              </w:rPr>
              <w:t xml:space="preserve">Error Correction (QEC)</w:t>
            </w:r>
          </w:p>
        </w:tc>
        <w:tc>
          <w:tcPr>
            <w:tcBorders>
              <w:top w:val="single" w:sz="1" w:space="0" w:color="000000"/>
              <w:left w:val="single" w:sz="1" w:space="0" w:color="000000"/>
              <w:bottom w:val="single" w:sz="1" w:space="0" w:color="000000"/>
            </w:tcBorders>
          </w:tcPr>
          <w:p>
            <w:pPr>
              <w:spacing w:lineRule="auto"/>
            </w:pPr>
            <w:r>
              <w:rPr/>
              <w:t xml:space="preserve">Surface codes, Floquet codes, concatenated architectures</w:t>
            </w:r>
          </w:p>
        </w:tc>
        <w:tc>
          <w:tcPr>
            <w:tcBorders>
              <w:top w:val="single" w:sz="1" w:space="0" w:color="000000"/>
              <w:left w:val="single" w:sz="1" w:space="0" w:color="000000"/>
              <w:bottom w:val="single" w:sz="1" w:space="0" w:color="000000"/>
            </w:tcBorders>
          </w:tcPr>
          <w:p>
            <w:pPr>
              <w:spacing w:lineRule="auto"/>
            </w:pPr>
            <w:r>
              <w:rPr/>
              <w:t xml:space="preserve">1000:1 qubit overhead typical; thousands-to-millions-fold slowdown</w:t>
            </w:r>
          </w:p>
        </w:tc>
        <w:tc>
          <w:tcPr>
            <w:tcBorders>
              <w:top w:val="single" w:sz="1" w:space="0" w:color="000000"/>
              <w:left w:val="single" w:sz="1" w:space="0" w:color="000000"/>
              <w:bottom w:val="single" w:sz="1" w:space="0" w:color="000000"/>
            </w:tcBorders>
          </w:tcPr>
          <w:p>
            <w:pPr>
              <w:spacing w:lineRule="auto"/>
            </w:pPr>
            <w:r>
              <w:rPr/>
              <w:t xml:space="preserve">Enables theoretical scaling to arbitrary problem sizes</w:t>
            </w:r>
          </w:p>
        </w:tc>
        <w:tc>
          <w:tcPr>
            <w:tcBorders>
              <w:top w:val="single" w:sz="1" w:space="0" w:color="000000"/>
              <w:left w:val="single" w:sz="1" w:space="0" w:color="000000"/>
              <w:bottom w:val="single" w:sz="1" w:space="0" w:color="000000"/>
            </w:tcBorders>
          </w:tcPr>
          <w:p>
            <w:pPr>
              <w:spacing w:lineRule="auto"/>
            </w:pPr>
            <w:r>
              <w:rPr/>
              <w:t xml:space="preserve">The long-term solution for FTQC</w:t>
            </w:r>
          </w:p>
        </w:tc>
      </w:tr>
    </w:tbl>
    <w:p>
      <w:pPr>
        <w:spacing w:lineRule="auto"/>
      </w:pPr>
    </w:p>
    <w:p>
      <w:pPr>
        <w:spacing w:after="210" w:lineRule="auto"/>
      </w:pPr>
      <w:r>
        <w:rPr>
          <w:b/>
        </w:rPr>
        <w:t xml:space="preserve">Transition Pathway</w:t>
      </w:r>
      <w:r>
        <w:rPr/>
        <w:t xml:space="preserve">: NISQ systems should universally implement suppression and selectively apply mitigation. As error correction technologies mature (current demonstrations: distance-7 surface codes with 105 physical qubits), the system transitions to QEC-dominated operation. The "bridge" from NISQ to FTQC involves progressively shifting resources from suppression/mitigation to QEC infrastructure[16].</w:t>
      </w:r>
    </w:p>
    <w:p>
      <w:pPr>
        <w:spacing w:line="271" w:before="240" w:lineRule="auto"/>
      </w:pPr>
      <w:bookmarkStart w:id="21" w:name="bm_3_3_partial_error_correction_a_6d941b"/>
      <w:r>
        <w:rPr>
          <w:b/>
          <w:sz w:val="33"/>
        </w:rPr>
        <w:t xml:space="preserve">3.3 Partial Error Correction as Intermediate Milestone</w:t>
      </w:r>
      <w:bookmarkEnd w:id="21"/>
    </w:p>
    <w:p>
      <w:pPr>
        <w:spacing w:after="210" w:lineRule="auto"/>
      </w:pPr>
      <w:r>
        <w:rPr>
          <w:rFonts w:eastAsia="Georgia" w:cs="Georgia" w:ascii="Georgia" w:hAnsi="Georgia"/>
        </w:rPr>
        <w:t xml:space="preserve">IonQ's Clifford Noise Reduction (CliNR) technique demonstrates that intermediate approaches—between full error mitigation and full QEC—can offer practical advantages[17]:</w:t>
      </w:r>
    </w:p>
    <w:p>
      <w:pPr>
        <w:numPr>
          <w:ilvl w:val="0"/>
          <w:numId w:val="18"/>
        </w:numPr>
        <w:spacing w:lineRule="auto"/>
      </w:pPr>
      <w:r>
        <w:rPr/>
        <w:t xml:space="preserve">CliNR uses 3:1 qubit overhead (compared to 1000:1 for full surface codes)</w:t>
      </w:r>
    </w:p>
    <w:p>
      <w:pPr>
        <w:numPr>
          <w:ilvl w:val="0"/>
          <w:numId w:val="18"/>
        </w:numPr>
        <w:spacing w:lineRule="auto"/>
      </w:pPr>
      <w:r>
        <w:rPr/>
        <w:t xml:space="preserve">Requires only modest increase in gate count</w:t>
      </w:r>
    </w:p>
    <w:p>
      <w:pPr>
        <w:numPr>
          <w:ilvl w:val="0"/>
          <w:numId w:val="18"/>
        </w:numPr>
        <w:spacing w:lineRule="auto"/>
      </w:pPr>
      <w:r>
        <w:rPr/>
        <w:t xml:space="preserve">Demonstrated 85-qubit applicability with substantial fidelity improvement</w:t>
      </w:r>
    </w:p>
    <w:p>
      <w:pPr>
        <w:spacing w:after="210" w:lineRule="auto"/>
      </w:pPr>
      <w:r>
        <w:rPr>
          <w:b/>
        </w:rPr>
        <w:t xml:space="preserve">Significance for Resource Estimation</w:t>
      </w:r>
      <w:r>
        <w:rPr/>
        <w:t xml:space="preserve">: Partial error correction creates a non-monotonic resource landscape. Tools must model not just full FTQC but also these intermediate regimes to identify optimal operating points for near-term applications.</w:t>
      </w:r>
    </w:p>
    <w:p>
      <w:pPr>
        <w:spacing w:line="271" w:before="240" w:lineRule="auto"/>
      </w:pPr>
      <w:bookmarkStart w:id="22" w:name="bm_3_4_stage_based_application_de_181e2d"/>
      <w:r>
        <w:rPr>
          <w:b/>
          <w:sz w:val="33"/>
        </w:rPr>
        <w:t xml:space="preserve">3.4 Stage-Based Application Development Framework</w:t>
      </w:r>
      <w:bookmarkEnd w:id="22"/>
    </w:p>
    <w:p>
      <w:pPr>
        <w:spacing w:after="210" w:lineRule="auto"/>
      </w:pPr>
      <w:r>
        <w:rPr/>
        <w:t xml:space="preserve">Google's 2025 framework[31] articulates four stages of quantum application development:</w:t>
      </w:r>
    </w:p>
    <w:p>
      <w:pPr>
        <w:numPr>
          <w:ilvl w:val="0"/>
          <w:numId w:val="19"/>
        </w:numPr>
        <w:spacing w:lineRule="auto"/>
      </w:pPr>
      <w:r>
        <w:rPr>
          <w:b/>
        </w:rPr>
        <w:t xml:space="preserve">Stage I - Algorithm Discovery</w:t>
      </w:r>
      <w:r>
        <w:rPr/>
        <w:t xml:space="preserve">: Can a quantum algorithm solve the problem in principle?</w:t>
      </w:r>
    </w:p>
    <w:p>
      <w:pPr>
        <w:numPr>
          <w:ilvl w:val="0"/>
          <w:numId w:val="19"/>
        </w:numPr>
        <w:spacing w:lineRule="auto"/>
      </w:pPr>
      <w:r>
        <w:rPr>
          <w:b/>
        </w:rPr>
        <w:t xml:space="preserve">Stage II - Quantum Advantage Verification</w:t>
      </w:r>
      <w:r>
        <w:rPr/>
        <w:t xml:space="preserve">: Does the algorithm beat the best-known classical method?</w:t>
      </w:r>
    </w:p>
    <w:p>
      <w:pPr>
        <w:numPr>
          <w:ilvl w:val="0"/>
          <w:numId w:val="19"/>
        </w:numPr>
        <w:spacing w:lineRule="auto"/>
      </w:pPr>
      <w:r>
        <w:rPr>
          <w:b/>
        </w:rPr>
        <w:t xml:space="preserve">Stage III - Problem Instance Scaling</w:t>
      </w:r>
      <w:r>
        <w:rPr/>
        <w:t xml:space="preserve">: Can we handle real-world problem sizes?</w:t>
      </w:r>
    </w:p>
    <w:p>
      <w:pPr>
        <w:numPr>
          <w:ilvl w:val="0"/>
          <w:numId w:val="19"/>
        </w:numPr>
        <w:spacing w:lineRule="auto"/>
      </w:pPr>
      <w:r>
        <w:rPr>
          <w:b/>
        </w:rPr>
        <w:t xml:space="preserve">Stage IV - Engineering for Use</w:t>
      </w:r>
      <w:r>
        <w:rPr/>
        <w:t xml:space="preserve">: How much will it actually cost to run?</w:t>
      </w:r>
    </w:p>
    <w:p>
      <w:pPr>
        <w:spacing w:after="210" w:lineRule="auto"/>
      </w:pPr>
      <w:r>
        <w:rPr>
          <w:b/>
        </w:rPr>
        <w:t xml:space="preserve">Resource estimation tools become critical at Stage IV</w:t>
      </w:r>
      <w:r>
        <w:rPr/>
        <w:t xml:space="preserve">, where detailed compilation, optimization, and QEC-mapping are required. But tools begin informing earlier stages (Stage III) by identifying which problem instances are computationally tractable.</w:t>
      </w:r>
    </w:p>
    <w:p>
      <w:pPr>
        <w:spacing w:line="271" w:before="240" w:lineRule="auto"/>
      </w:pPr>
      <w:bookmarkStart w:id="23" w:name="bm_4_quantitative_pathway_nisq_to_d7a8be"/>
      <w:r>
        <w:rPr>
          <w:b/>
          <w:sz w:val="42"/>
        </w:rPr>
        <w:t xml:space="preserve">4. Quantitative Pathway: NISQ to FTQC Resource Requirements</w:t>
      </w:r>
      <w:bookmarkEnd w:id="23"/>
    </w:p>
    <w:p>
      <w:pPr>
        <w:spacing w:line="271" w:before="240" w:lineRule="auto"/>
      </w:pPr>
      <w:bookmarkStart w:id="24" w:name="bm_4_1_application_specific_resou_ca6370"/>
      <w:r>
        <w:rPr>
          <w:b/>
          <w:sz w:val="33"/>
        </w:rPr>
        <w:t xml:space="preserve">4.1 Application-Specific Resource Roadmaps</w:t>
      </w:r>
      <w:bookmarkEnd w:id="24"/>
    </w:p>
    <w:p>
      <w:pPr>
        <w:spacing w:after="210" w:lineRule="auto"/>
      </w:pPr>
      <w:r>
        <w:rPr/>
        <w:t xml:space="preserve">Different applications require different logical qubit and error rate targets to demonstrate practical utility[1]:</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Application Domain</w:t>
            </w:r>
          </w:p>
        </w:tc>
        <w:tc>
          <w:tcPr>
            <w:tcBorders>
              <w:top w:val="single" w:sz="8" w:space="0" w:color="000000"/>
              <w:bottom w:val="single" w:sz="8" w:space="0" w:color="000000"/>
              <w:right w:val="single" w:sz="8" w:space="0" w:color="000000"/>
            </w:tcBorders>
            <w:vAlign w:val="center"/>
          </w:tcPr>
          <w:p>
            <w:pPr>
              <w:spacing w:lineRule="auto"/>
              <w:jc w:val="center"/>
            </w:pPr>
            <w:r>
              <w:rPr/>
              <w:t xml:space="preserve">Logical Qubits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Logical Error Rate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Timeline (eFTQC)</w:t>
            </w:r>
          </w:p>
        </w:tc>
      </w:tr>
      <w:tr>
        <w:trPr>
          <w:cantSplit/>
        </w:trPr>
        <w:tc>
          <w:tcPr>
            <w:tcBorders>
              <w:left w:val="single" w:sz="8" w:space="0" w:color="000000"/>
              <w:right w:val="single" w:sz="8" w:space="0" w:color="000000"/>
            </w:tcBorders>
            <w:vAlign w:val="center"/>
          </w:tcPr>
          <w:p>
            <w:pPr>
              <w:spacing w:lineRule="auto"/>
              <w:jc w:val="left"/>
            </w:pPr>
            <w:r>
              <w:rPr/>
              <w:t xml:space="preserve">Condensed Matter Physics</w:t>
            </w:r>
          </w:p>
        </w:tc>
        <w:tc>
          <w:tcPr>
            <w:tcBorders>
              <w:right w:val="single" w:sz="8" w:space="0" w:color="000000"/>
            </w:tcBorders>
            <w:vAlign w:val="center"/>
          </w:tcPr>
          <w:p>
            <w:pPr>
              <w:spacing w:lineRule="auto"/>
              <w:jc w:val="center"/>
            </w:pPr>
            <w:r>
              <w:rPr/>
              <w:t xml:space="preserve">100-1000</w:t>
            </w:r>
          </w:p>
        </w:tc>
        <w:tc>
          <w:tcPr>
            <w:tcBorders>
              <w:right w:val="single" w:sz="8" w:space="0" w:color="000000"/>
            </w:tcBorders>
            <w:vAlign w:val="center"/>
          </w:tcPr>
          <w:p>
            <w:pPr>
              <w:spacing w:lineRule="auto"/>
              <w:jc w:val="center"/>
            </w:pPr>
            <w:r>
              <w:rPr>
                <w:rFonts w:eastAsia="Georgia" w:cs="Georgia" w:ascii="Georgia" w:hAnsi="Georgia"/>
              </w:rPr>
              <w:t xml:space="preserve">10⁻⁶</w:t>
            </w:r>
          </w:p>
        </w:tc>
        <w:tc>
          <w:tcPr>
            <w:tcBorders>
              <w:right w:val="single" w:sz="8" w:space="0" w:color="000000"/>
            </w:tcBorders>
            <w:vAlign w:val="center"/>
          </w:tcPr>
          <w:p>
            <w:pPr>
              <w:spacing w:lineRule="auto"/>
              <w:jc w:val="center"/>
            </w:pPr>
            <w:r>
              <w:rPr/>
              <w:t xml:space="preserve">2025-2027</w:t>
            </w:r>
          </w:p>
        </w:tc>
      </w:tr>
      <w:tr>
        <w:trPr>
          <w:cantSplit/>
        </w:trPr>
        <w:tc>
          <w:tcPr>
            <w:tcBorders>
              <w:left w:val="single" w:sz="8" w:space="0" w:color="000000"/>
              <w:right w:val="single" w:sz="8" w:space="0" w:color="000000"/>
            </w:tcBorders>
            <w:vAlign w:val="center"/>
          </w:tcPr>
          <w:p>
            <w:pPr>
              <w:spacing w:lineRule="auto"/>
              <w:jc w:val="left"/>
            </w:pPr>
            <w:r>
              <w:rPr/>
              <w:t xml:space="preserve">Quantum Chemistry*</w:t>
            </w:r>
          </w:p>
        </w:tc>
        <w:tc>
          <w:tcPr>
            <w:tcBorders>
              <w:right w:val="single" w:sz="8" w:space="0" w:color="000000"/>
            </w:tcBorders>
            <w:vAlign w:val="center"/>
          </w:tcPr>
          <w:p>
            <w:pPr>
              <w:spacing w:lineRule="auto"/>
              <w:jc w:val="center"/>
            </w:pPr>
            <w:r>
              <w:rPr/>
              <w:t xml:space="preserve">1000-10000</w:t>
            </w:r>
          </w:p>
        </w:tc>
        <w:tc>
          <w:tcPr>
            <w:tcBorders>
              <w:right w:val="single" w:sz="8" w:space="0" w:color="000000"/>
            </w:tcBorders>
            <w:vAlign w:val="center"/>
          </w:tcPr>
          <w:p>
            <w:pPr>
              <w:spacing w:lineRule="auto"/>
              <w:jc w:val="center"/>
            </w:pPr>
            <w:r>
              <w:rPr>
                <w:rFonts w:eastAsia="Georgia" w:cs="Georgia" w:ascii="Georgia" w:hAnsi="Georgia"/>
              </w:rPr>
              <w:t xml:space="preserve">10⁻⁸</w:t>
            </w:r>
          </w:p>
        </w:tc>
        <w:tc>
          <w:tcPr>
            <w:tcBorders>
              <w:right w:val="single" w:sz="8" w:space="0" w:color="000000"/>
            </w:tcBorders>
            <w:vAlign w:val="center"/>
          </w:tcPr>
          <w:p>
            <w:pPr>
              <w:spacing w:lineRule="auto"/>
              <w:jc w:val="center"/>
            </w:pPr>
            <w:r>
              <w:rPr/>
              <w:t xml:space="preserve">2027-2030</w:t>
            </w:r>
          </w:p>
        </w:tc>
      </w:tr>
      <w:tr>
        <w:trPr>
          <w:cantSplit/>
        </w:trPr>
        <w:tc>
          <w:tcPr>
            <w:tcBorders>
              <w:left w:val="single" w:sz="8" w:space="0" w:color="000000"/>
              <w:right w:val="single" w:sz="8" w:space="0" w:color="000000"/>
            </w:tcBorders>
            <w:vAlign w:val="center"/>
          </w:tcPr>
          <w:p>
            <w:pPr>
              <w:spacing w:lineRule="auto"/>
              <w:jc w:val="left"/>
            </w:pPr>
            <w:r>
              <w:rPr/>
              <w:t xml:space="preserve">Nuclear Physics Simulations</w:t>
            </w:r>
          </w:p>
        </w:tc>
        <w:tc>
          <w:tcPr>
            <w:tcBorders>
              <w:right w:val="single" w:sz="8" w:space="0" w:color="000000"/>
            </w:tcBorders>
            <w:vAlign w:val="center"/>
          </w:tcPr>
          <w:p>
            <w:pPr>
              <w:spacing w:lineRule="auto"/>
              <w:jc w:val="center"/>
            </w:pPr>
            <w:r>
              <w:rPr/>
              <w:t xml:space="preserve">10000-100000</w:t>
            </w:r>
          </w:p>
        </w:tc>
        <w:tc>
          <w:tcPr>
            <w:tcBorders>
              <w:right w:val="single" w:sz="8" w:space="0" w:color="000000"/>
            </w:tcBorders>
            <w:vAlign w:val="center"/>
          </w:tcPr>
          <w:p>
            <w:pPr>
              <w:spacing w:lineRule="auto"/>
              <w:jc w:val="center"/>
            </w:pPr>
            <w:r>
              <w:rPr>
                <w:rFonts w:eastAsia="Georgia" w:cs="Georgia" w:ascii="Georgia" w:hAnsi="Georgia"/>
              </w:rPr>
              <w:t xml:space="preserve">10⁻¹⁰</w:t>
            </w:r>
          </w:p>
        </w:tc>
        <w:tc>
          <w:tcPr>
            <w:tcBorders>
              <w:right w:val="single" w:sz="8" w:space="0" w:color="000000"/>
            </w:tcBorders>
            <w:vAlign w:val="center"/>
          </w:tcPr>
          <w:p>
            <w:pPr>
              <w:spacing w:lineRule="auto"/>
              <w:jc w:val="center"/>
            </w:pPr>
            <w:r>
              <w:rPr/>
              <w:t xml:space="preserve">2028-2032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Cryptanalysis (Shor's Algorithm)**</w:t>
            </w:r>
          </w:p>
        </w:tc>
        <w:tc>
          <w:tcPr>
            <w:tcBorders>
              <w:bottom w:val="single" w:sz="8" w:space="0" w:color="000000"/>
              <w:right w:val="single" w:sz="8" w:space="0" w:color="000000"/>
            </w:tcBorders>
            <w:vAlign w:val="center"/>
          </w:tcPr>
          <w:p>
            <w:pPr>
              <w:spacing w:lineRule="auto"/>
              <w:jc w:val="center"/>
            </w:pPr>
            <w:r>
              <w:rPr/>
              <w:t xml:space="preserve">20 million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10⁻¹⁵</w:t>
            </w:r>
          </w:p>
        </w:tc>
        <w:tc>
          <w:tcPr>
            <w:tcBorders>
              <w:bottom w:val="single" w:sz="8" w:space="0" w:color="000000"/>
              <w:right w:val="single" w:sz="8" w:space="0" w:color="000000"/>
            </w:tcBorders>
            <w:vAlign w:val="center"/>
          </w:tcPr>
          <w:p>
            <w:pPr>
              <w:spacing w:lineRule="auto"/>
              <w:jc w:val="center"/>
            </w:pPr>
            <w:r>
              <w:rPr/>
              <w:t xml:space="preserve">2035+</w:t>
            </w:r>
          </w:p>
        </w:tc>
      </w:tr>
    </w:tbl>
    <w:p>
      <w:pPr>
        <w:spacing w:lineRule="auto"/>
      </w:pPr>
    </w:p>
    <w:p>
      <w:pPr>
        <w:spacing w:lineRule="auto"/>
      </w:pPr>
      <w:r>
        <w:rPr/>
        <w:t xml:space="preserve">Table 1: FTQC capability milestones and application requirements. *Quantum chemistry for industrially-relevant systems (150+ atoms). **Factoring 2048-bit RSA keys.</w:t>
      </w:r>
    </w:p>
    <w:p>
      <w:pPr>
        <w:spacing w:line="271" w:before="240" w:lineRule="auto"/>
      </w:pPr>
      <w:bookmarkStart w:id="25" w:name="bm_4_2_physical_qubit_overhead_scaling"/>
      <w:r>
        <w:rPr>
          <w:b/>
          <w:sz w:val="33"/>
        </w:rPr>
        <w:t xml:space="preserve">4.2 Physical Qubit Overhead Scaling</w:t>
      </w:r>
      <w:bookmarkEnd w:id="25"/>
    </w:p>
    <w:p>
      <w:pPr>
        <w:spacing w:after="210" w:lineRule="auto"/>
      </w:pPr>
      <w:r>
        <w:rPr/>
        <w:t xml:space="preserve">Resource estimation tools converge on a consistent relationship between logical requirements and physical qubit costs, varying with error correction architecture[5][6]:</w:t>
      </w:r>
    </w:p>
    <w:p>
      <w:pPr>
        <w:spacing w:after="210" w:lineRule="auto"/>
      </w:pPr>
      <m:oMathPara>
        <m:oMath>
          <m:sSub>
            <m:sSubPr/>
            <m:e>
              <m:r>
                <m:rPr>
                  <m:sty m:val="i"/>
                </m:rPr>
                <m:t>N</m:t>
              </m:r>
            </m:e>
            <m:sub>
              <m:r>
                <m:rPr>
                  <m:nor/>
                </m:rPr>
                <m:t>physical</m:t>
              </m:r>
            </m:sub>
          </m:sSub>
          <m:r>
            <m:rPr>
              <m:sty m:val="p"/>
            </m:rPr>
            <m:t>=</m:t>
          </m:r>
          <m:sSub>
            <m:sSubPr/>
            <m:e>
              <m:r>
                <m:rPr>
                  <m:sty m:val="i"/>
                </m:rPr>
                <m:t>N</m:t>
              </m:r>
            </m:e>
            <m:sub>
              <m:r>
                <m:rPr>
                  <m:nor/>
                </m:rPr>
                <m:t>logical</m:t>
              </m:r>
            </m:sub>
          </m:sSub>
          <m:r>
            <m:rPr>
              <m:sty m:val="p"/>
            </m:rPr>
            <m:t>×</m:t>
          </m:r>
          <m:sSup>
            <m:sSupPr/>
            <m:e>
              <m:r>
                <m:rPr>
                  <m:sty m:val="i"/>
                </m:rPr>
                <m:t>d</m:t>
              </m:r>
            </m:e>
            <m:sup>
              <m:r>
                <m:rPr>
                  <m:sty m:val="p"/>
                </m:rPr>
                <m:t>2</m:t>
              </m:r>
            </m:sup>
          </m:sSup>
          <m:r>
            <m:rPr>
              <m:sty m:val="p"/>
            </m:rPr>
            <m:t>+</m:t>
          </m:r>
          <m:r>
            <m:rPr>
              <m:sty m:val="i"/>
            </m:rPr>
            <m:t>O</m:t>
          </m:r>
          <m:r>
            <m:rPr>
              <m:sty m:val="p"/>
            </m:rPr>
            <m:t>(</m:t>
          </m:r>
          <m:r>
            <m:rPr>
              <m:sty m:val="i"/>
            </m:rPr>
            <m:t>d</m:t>
          </m:r>
          <m:r>
            <m:rPr>
              <m:sty m:val="p"/>
            </m:rPr>
            <m:t>⋅</m:t>
          </m:r>
          <m:sSub>
            <m:sSubPr/>
            <m:e>
              <m:r>
                <m:rPr>
                  <m:sty m:val="i"/>
                </m:rPr>
                <m:t>n</m:t>
              </m:r>
            </m:e>
            <m:sub>
              <m:r>
                <m:rPr>
                  <m:nor/>
                </m:rPr>
                <m:t>T-factory</m:t>
              </m:r>
            </m:sub>
          </m:sSub>
          <m:r>
            <m:rPr>
              <m:sty m:val="p"/>
            </m:rPr>
            <m:t>)</m:t>
          </m:r>
        </m:oMath>
      </m:oMathPara>
    </w:p>
    <w:p>
      <w:pPr>
        <w:spacing w:after="210" w:lineRule="auto"/>
      </w:pPr>
      <w:r>
        <w:rPr/>
        <w:t xml:space="preserve">where </w:t>
      </w:r>
      <m:oMath>
        <m:r>
          <m:rPr>
            <m:sty m:val="i"/>
          </m:rPr>
          <m:t>d</m:t>
        </m:r>
      </m:oMath>
      <w:r>
        <w:rPr/>
        <w:t xml:space="preserve"> is the code distance (related to target logical error rate), and </w:t>
      </w:r>
      <m:oMath>
        <m:sSub>
          <m:sSubPr/>
          <m:e>
            <m:r>
              <m:rPr>
                <m:sty m:val="i"/>
              </m:rPr>
              <m:t>n</m:t>
            </m:r>
          </m:e>
          <m:sub>
            <m:r>
              <m:rPr>
                <m:nor/>
              </m:rPr>
              <m:t>T-factory</m:t>
            </m:r>
          </m:sub>
        </m:sSub>
      </m:oMath>
      <w:r>
        <w:rPr/>
        <w:t xml:space="preserve"> accounts for magic state distillation overhead.</w:t>
      </w:r>
    </w:p>
    <w:p>
      <w:pPr>
        <w:spacing w:after="210" w:lineRule="auto"/>
      </w:pPr>
      <w:r>
        <w:rPr>
          <w:rFonts w:eastAsia="Georgia" w:cs="Georgia" w:ascii="Georgia" w:hAnsi="Georgia"/>
        </w:rPr>
        <w:t xml:space="preserve">For a quantum chemistry application targeting 10⁻⁸ logical error rate:</w:t>
      </w:r>
    </w:p>
    <w:p>
      <w:pPr>
        <w:numPr>
          <w:ilvl w:val="0"/>
          <w:numId w:val="20"/>
        </w:numPr>
        <w:spacing w:lineRule="auto"/>
      </w:pPr>
      <w:r>
        <w:rPr>
          <w:rFonts w:eastAsia="Georgia" w:cs="Georgia" w:ascii="Georgia" w:hAnsi="Georgia"/>
        </w:rPr>
        <w:t xml:space="preserve">Logical qubits needed: ~10,000</w:t>
      </w:r>
    </w:p>
    <w:p>
      <w:pPr>
        <w:numPr>
          <w:ilvl w:val="0"/>
          <w:numId w:val="20"/>
        </w:numPr>
        <w:spacing w:lineRule="auto"/>
      </w:pPr>
      <w:r>
        <w:rPr/>
        <w:t xml:space="preserve">Code distance </w:t>
      </w:r>
      <m:oMath>
        <m:r>
          <m:rPr>
            <m:sty m:val="i"/>
          </m:rPr>
          <m:t>d</m:t>
        </m:r>
      </m:oMath>
      <w:r>
        <w:rPr>
          <w:rFonts w:eastAsia="Georgia" w:cs="Georgia" w:ascii="Georgia" w:hAnsi="Georgia"/>
        </w:rPr>
        <w:t xml:space="preserve">: ~40-50 (for realistic surface-code thresholds)</w:t>
      </w:r>
    </w:p>
    <w:p>
      <w:pPr>
        <w:numPr>
          <w:ilvl w:val="0"/>
          <w:numId w:val="20"/>
        </w:numPr>
        <w:spacing w:lineRule="auto"/>
      </w:pPr>
      <w:r>
        <w:rPr>
          <w:rFonts w:eastAsia="Georgia" w:cs="Georgia" w:ascii="Georgia" w:hAnsi="Georgia"/>
        </w:rPr>
        <w:t xml:space="preserve">Physical qubits: ~20-40 million</w:t>
      </w:r>
    </w:p>
    <w:p>
      <w:pPr>
        <w:numPr>
          <w:ilvl w:val="0"/>
          <w:numId w:val="20"/>
        </w:numPr>
        <w:spacing w:lineRule="auto"/>
      </w:pPr>
      <w:r>
        <w:rPr/>
        <w:t xml:space="preserve">Runtime: hours to days (depending on circuit depth and gate times)</w:t>
      </w:r>
    </w:p>
    <w:p>
      <w:pPr>
        <w:spacing w:after="210" w:lineRule="auto"/>
      </w:pPr>
      <w:r>
        <w:rPr/>
        <w:t xml:space="preserve">This scaling motivates continuous qubit-platform development across the industry[18].</w:t>
      </w:r>
    </w:p>
    <w:p>
      <w:pPr>
        <w:spacing w:line="271" w:before="240" w:lineRule="auto"/>
      </w:pPr>
      <w:bookmarkStart w:id="26" w:name="bm_4_3_error_rate_requirements_an_d7d62f"/>
      <w:r>
        <w:rPr>
          <w:b/>
          <w:sz w:val="33"/>
        </w:rPr>
        <w:t xml:space="preserve">4.3 Error Rate Requirements and Hardware Targets</w:t>
      </w:r>
      <w:bookmarkEnd w:id="26"/>
    </w:p>
    <w:p>
      <w:pPr>
        <w:spacing w:after="210" w:lineRule="auto"/>
      </w:pPr>
      <w:r>
        <w:rPr/>
        <w:t xml:space="preserve">Achieving FTQC requires breaking through a critical threshold: </w:t>
      </w:r>
      <w:r>
        <w:rPr>
          <w:b/>
        </w:rPr>
        <w:t xml:space="preserve">fault-tolerant thresholds</w:t>
      </w:r>
      <w:r>
        <w:rPr>
          <w:rFonts w:eastAsia="Georgia" w:cs="Georgia" w:ascii="Georgia" w:hAnsi="Georgia"/>
        </w:rPr>
        <w:t xml:space="preserve"> (typically ~10⁻³ physical error rate for surface codes)[19]. Below this threshold, error correction reduces rather than increases logical error rates.</w:t>
      </w:r>
    </w:p>
    <w:p>
      <w:pPr>
        <w:spacing w:after="210" w:lineRule="auto"/>
      </w:pPr>
      <w:r>
        <w:rPr>
          <w:b/>
        </w:rPr>
        <w:t xml:space="preserve">Hardware Development Targets</w:t>
      </w:r>
      <w:r>
        <w:rPr/>
        <w:t xml:space="preserve">:</w:t>
      </w:r>
    </w:p>
    <w:p>
      <w:pPr>
        <w:numPr>
          <w:ilvl w:val="0"/>
          <w:numId w:val="21"/>
        </w:numPr>
        <w:spacing w:lineRule="auto"/>
      </w:pPr>
      <w:r>
        <w:rPr>
          <w:rFonts w:eastAsia="Georgia" w:cs="Georgia" w:ascii="Georgia" w:hAnsi="Georgia"/>
        </w:rPr>
        <w:t xml:space="preserve">Current best-in-class: Superconducting qubits at ~10⁻³, trapped ions at ~10⁻⁴</w:t>
      </w:r>
    </w:p>
    <w:p>
      <w:pPr>
        <w:numPr>
          <w:ilvl w:val="0"/>
          <w:numId w:val="21"/>
        </w:numPr>
        <w:spacing w:lineRule="auto"/>
      </w:pPr>
      <w:r>
        <w:rPr>
          <w:rFonts w:eastAsia="Georgia" w:cs="Georgia" w:ascii="Georgia" w:hAnsi="Georgia"/>
        </w:rPr>
        <w:t xml:space="preserve">FTQC-enabling threshold: ~2-3 orders of magnitude improvement</w:t>
      </w:r>
    </w:p>
    <w:p>
      <w:pPr>
        <w:numPr>
          <w:ilvl w:val="0"/>
          <w:numId w:val="21"/>
        </w:numPr>
        <w:spacing w:lineRule="auto"/>
      </w:pPr>
      <w:r>
        <w:rPr/>
        <w:t xml:space="preserve">Timeline: 5-7 years at current progress rate</w:t>
      </w:r>
    </w:p>
    <w:p>
      <w:pPr>
        <w:spacing w:after="210" w:lineRule="auto"/>
      </w:pPr>
      <w:r>
        <w:rPr/>
        <w:t xml:space="preserve">Resource estimation tools parameterize these assumptions, enabling sensitivity analysis. Azure QRE's predefined profiles represent a range of plausible futures (pessimistic, realistic, optimistic error rates).</w:t>
      </w:r>
    </w:p>
    <w:p>
      <w:pPr>
        <w:spacing w:line="271" w:before="240" w:lineRule="auto"/>
      </w:pPr>
      <w:bookmarkStart w:id="27" w:name="bm_5_limitations_and_future_direc_cd2619"/>
      <w:r>
        <w:rPr>
          <w:b/>
          <w:sz w:val="42"/>
        </w:rPr>
        <w:t xml:space="preserve">5. Limitations and Future Directions for Resource Estimation Tools</w:t>
      </w:r>
      <w:bookmarkEnd w:id="27"/>
    </w:p>
    <w:p>
      <w:pPr>
        <w:spacing w:line="271" w:before="240" w:lineRule="auto"/>
      </w:pPr>
      <w:bookmarkStart w:id="28" w:name="bm_5_1_current_tool_limitations"/>
      <w:r>
        <w:rPr>
          <w:b/>
          <w:sz w:val="33"/>
        </w:rPr>
        <w:t xml:space="preserve">5.1 Current Tool Limitations</w:t>
      </w:r>
      <w:bookmarkEnd w:id="28"/>
    </w:p>
    <w:p>
      <w:pPr>
        <w:spacing w:after="210" w:lineRule="auto"/>
      </w:pPr>
      <w:r>
        <w:rPr>
          <w:b/>
        </w:rPr>
        <w:t xml:space="preserve">Incomplete Compilation Modeling</w:t>
      </w:r>
      <w:r>
        <w:rPr>
          <w:rFonts w:eastAsia="Georgia" w:cs="Georgia" w:ascii="Georgia" w:hAnsi="Georgia"/>
        </w:rPr>
        <w:t xml:space="preserve">: Most resource estimation tools assume circuits are provided at a high logical level. True end-to-end estimation requires modeling the complete compilation pipeline (high-level algorithm → QASM → pulse-level operations), which varies with hardware. Current tools make simplifying assumptions about compiler efficiency.</w:t>
      </w:r>
    </w:p>
    <w:p>
      <w:pPr>
        <w:spacing w:after="210" w:lineRule="auto"/>
      </w:pPr>
      <w:r>
        <w:rPr>
          <w:b/>
        </w:rPr>
        <w:t xml:space="preserve">Limited Support for Emerging Error Correction Codes</w:t>
      </w:r>
      <w:r>
        <w:rPr/>
        <w:t xml:space="preserve">: While surface codes dominate, promising alternatives include Floquet codes, color codes, and LDPC codes. Few tools systematically model these alternatives with equal depth.</w:t>
      </w:r>
    </w:p>
    <w:p>
      <w:pPr>
        <w:spacing w:after="210" w:lineRule="auto"/>
      </w:pPr>
      <w:r>
        <w:rPr>
          <w:b/>
        </w:rPr>
        <w:t xml:space="preserve">Lack of Real-Time Decoding Cost</w:t>
      </w:r>
      <w:r>
        <w:rPr/>
        <w:t xml:space="preserve">: Deltaflow's focus on real-time decoding latency reveals a gap in theoretical resource estimation: most tools model QEC as a post-hoc analysis step but do not account for the runtime and communication overhead of decoding in physical systems.</w:t>
      </w:r>
    </w:p>
    <w:p>
      <w:pPr>
        <w:spacing w:after="210" w:lineRule="auto"/>
      </w:pPr>
      <w:r>
        <w:rPr>
          <w:b/>
        </w:rPr>
        <w:t xml:space="preserve">Hardware Heterogeneity Not Well-Captured</w:t>
      </w:r>
      <w:r>
        <w:rPr/>
        <w:t xml:space="preserve">: Realistic systems may use different qubit types for storage vs. communication, implement frequency multiplexing, or employ specialized auxiliary qubits. Systematic modeling of these architectures remains nascent.</w:t>
      </w:r>
    </w:p>
    <w:p>
      <w:pPr>
        <w:spacing w:after="210" w:lineRule="auto"/>
      </w:pPr>
      <w:r>
        <w:rPr>
          <w:b/>
        </w:rPr>
        <w:t xml:space="preserve">Absence of Learning Curve Estimates</w:t>
      </w:r>
      <w:r>
        <w:rPr/>
        <w:t xml:space="preserve">: Tools do not predict how manufacturing, calibration, and operational learning improve error rates over time. Resource estimates implicitly assume "steady-state" operation.</w:t>
      </w:r>
    </w:p>
    <w:p>
      <w:pPr>
        <w:spacing w:line="271" w:before="240" w:lineRule="auto"/>
      </w:pPr>
      <w:bookmarkStart w:id="29" w:name="bm_5_2_emerging_directions"/>
      <w:r>
        <w:rPr>
          <w:b/>
          <w:sz w:val="33"/>
        </w:rPr>
        <w:t xml:space="preserve">5.2 Emerging Directions</w:t>
      </w:r>
      <w:bookmarkEnd w:id="29"/>
    </w:p>
    <w:p>
      <w:pPr>
        <w:spacing w:after="210" w:lineRule="auto"/>
      </w:pPr>
      <w:r>
        <w:rPr>
          <w:b/>
        </w:rPr>
        <w:t xml:space="preserve">Machine Learning for Decoding Optimization</w:t>
      </w:r>
      <w:r>
        <w:rPr/>
        <w:t xml:space="preserve">: Google's 2024 neural decoder work[13] demonstrates that learning-based approaches can outperform traditional decoders. Integrating learned decoder cost models into resource estimation could reduce QEC overhead by 10-100x[14], fundamentally changing FTQC resource requirements.</w:t>
      </w:r>
    </w:p>
    <w:p>
      <w:pPr>
        <w:spacing w:after="210" w:lineRule="auto"/>
      </w:pPr>
      <w:r>
        <w:rPr>
          <w:b/>
        </w:rPr>
        <w:t xml:space="preserve">Hardware-in-the-Loop Resource Estimation</w:t>
      </w:r>
      <w:r>
        <w:rPr/>
        <w:t xml:space="preserve">: Real quantum devices will have imperfections not captured in error models. Tools that incorporate feedback from actual hardware characterization (via randomized benchmarking) could provide adaptive resource estimates that tighten as systems mature.</w:t>
      </w:r>
    </w:p>
    <w:p>
      <w:pPr>
        <w:spacing w:after="210" w:lineRule="auto"/>
      </w:pPr>
      <w:r>
        <w:rPr>
          <w:b/>
        </w:rPr>
        <w:t xml:space="preserve">Quantum-Assisted Compilation</w:t>
      </w:r>
      <w:r>
        <w:rPr/>
        <w:t xml:space="preserve">: Recent work shows that quantum computers can optimize their own compilation[8]. This creates a potential feedback loop: quantum resource estimation on quantum hardware, enabling more aggressive algorithmic optimization.</w:t>
      </w:r>
    </w:p>
    <w:p>
      <w:pPr>
        <w:spacing w:after="210" w:lineRule="auto"/>
      </w:pPr>
      <w:r>
        <w:rPr>
          <w:b/>
        </w:rPr>
        <w:t xml:space="preserve">Multi-Modality Resource Frameworks</w:t>
      </w:r>
      <w:r>
        <w:rPr/>
        <w:t xml:space="preserve">: Given the diversity of qubit platforms, a unified framework comparing resources across superconducting, trapped-ion, photonic, and neutral-atom systems would accelerate technology selection.</w:t>
      </w:r>
    </w:p>
    <w:p>
      <w:pPr>
        <w:spacing w:line="271" w:before="240" w:lineRule="auto"/>
      </w:pPr>
      <w:bookmarkStart w:id="30" w:name="bm_6_pathways_and_recommendations_e82e63"/>
      <w:r>
        <w:rPr>
          <w:b/>
          <w:sz w:val="42"/>
        </w:rPr>
        <w:t xml:space="preserve">6. Pathways and Recommendations for Stakeholders</w:t>
      </w:r>
      <w:bookmarkEnd w:id="30"/>
    </w:p>
    <w:p>
      <w:pPr>
        <w:spacing w:line="271" w:before="240" w:lineRule="auto"/>
      </w:pPr>
      <w:bookmarkStart w:id="31" w:name="bm_6_1_for_algorithm_researchers"/>
      <w:r>
        <w:rPr>
          <w:b/>
          <w:sz w:val="33"/>
        </w:rPr>
        <w:t xml:space="preserve">6.1 For Algorithm Researchers</w:t>
      </w:r>
      <w:bookmarkEnd w:id="31"/>
    </w:p>
    <w:p>
      <w:pPr>
        <w:numPr>
          <w:ilvl w:val="0"/>
          <w:numId w:val="22"/>
        </w:numPr>
        <w:spacing w:after="210" w:lineRule="auto"/>
      </w:pPr>
      <w:r>
        <w:rPr>
          <w:b/>
        </w:rPr>
        <w:t xml:space="preserve">Adopt Qualtran for algorithm development</w:t>
      </w:r>
      <w:r>
        <w:rPr/>
        <w:t xml:space="preserve">: Use the library to express algorithms in a hardware-independent manner, enabling reproducible resource analysis and cross-team collaboration.</w:t>
      </w:r>
    </w:p>
    <w:p>
      <w:pPr>
        <w:numPr>
          <w:ilvl w:val="0"/>
          <w:numId w:val="22"/>
        </w:numPr>
        <w:spacing w:after="210" w:lineRule="auto"/>
      </w:pPr>
      <w:r>
        <w:rPr>
          <w:b/>
        </w:rPr>
        <w:t xml:space="preserve">Perform stage-based validation</w:t>
      </w:r>
      <w:r>
        <w:rPr/>
        <w:t xml:space="preserve">: Use Stage IV resource estimation early to identify which problem instances are computationally tractable, avoiding investment in algorithms that require unrealistic resources.</w:t>
      </w:r>
    </w:p>
    <w:p>
      <w:pPr>
        <w:numPr>
          <w:ilvl w:val="0"/>
          <w:numId w:val="22"/>
        </w:numPr>
        <w:spacing w:after="210" w:lineRule="auto"/>
      </w:pPr>
      <w:r>
        <w:rPr>
          <w:b/>
        </w:rPr>
        <w:t xml:space="preserve">Iterate with hardware developers</w:t>
      </w:r>
      <w:r>
        <w:rPr/>
        <w:t xml:space="preserve">: Resource estimation is a conversation tool. Share estimated requirements with hardware teams to prioritize error correction and qubit quality targets that unlock specific applications.</w:t>
      </w:r>
    </w:p>
    <w:p>
      <w:pPr>
        <w:spacing w:line="271" w:before="240" w:lineRule="auto"/>
      </w:pPr>
      <w:bookmarkStart w:id="32" w:name="bm_6_2_for_hardware_developers"/>
      <w:r>
        <w:rPr>
          <w:b/>
          <w:sz w:val="33"/>
        </w:rPr>
        <w:t xml:space="preserve">6.2 For Hardware Developers</w:t>
      </w:r>
      <w:bookmarkEnd w:id="32"/>
    </w:p>
    <w:p>
      <w:pPr>
        <w:numPr>
          <w:ilvl w:val="0"/>
          <w:numId w:val="23"/>
        </w:numPr>
        <w:spacing w:after="210" w:lineRule="auto"/>
      </w:pPr>
      <w:r>
        <w:rPr>
          <w:b/>
        </w:rPr>
        <w:t xml:space="preserve">Invest in error characterization</w:t>
      </w:r>
      <w:r>
        <w:rPr/>
        <w:t xml:space="preserve">: Accurate error models (via benchmarking) directly improve resource estimate precision. Provide clear error budgets and gate-timing specifications to resource estimation tools.</w:t>
      </w:r>
    </w:p>
    <w:p>
      <w:pPr>
        <w:numPr>
          <w:ilvl w:val="0"/>
          <w:numId w:val="23"/>
        </w:numPr>
        <w:spacing w:after="210" w:lineRule="auto"/>
      </w:pPr>
      <w:r>
        <w:rPr>
          <w:b/>
        </w:rPr>
        <w:t xml:space="preserve">Embrace partial error correction</w:t>
      </w:r>
      <w:r>
        <w:rPr/>
        <w:t xml:space="preserve">: Near-term systems (2024-2027) may achieve better utility with CliNR-style techniques than attempting full QEC. Use resource estimation to identify the optimal partial-correction regime for your platform.</w:t>
      </w:r>
    </w:p>
    <w:p>
      <w:pPr>
        <w:numPr>
          <w:ilvl w:val="0"/>
          <w:numId w:val="23"/>
        </w:numPr>
        <w:spacing w:after="210" w:lineRule="auto"/>
      </w:pPr>
      <w:r>
        <w:rPr>
          <w:b/>
        </w:rPr>
        <w:t xml:space="preserve">Plan for real-time decoding</w:t>
      </w:r>
      <w:r>
        <w:rPr/>
        <w:t xml:space="preserve">: Deltaflow demonstrates that real-time decoding is the bottleneck, not physical QEC codes. Allocate engineering resources accordingly.</w:t>
      </w:r>
    </w:p>
    <w:p>
      <w:pPr>
        <w:spacing w:line="271" w:before="240" w:lineRule="auto"/>
      </w:pPr>
      <w:bookmarkStart w:id="33" w:name="bm_6_3_for_technology_decision_makers"/>
      <w:r>
        <w:rPr>
          <w:b/>
          <w:sz w:val="33"/>
        </w:rPr>
        <w:t xml:space="preserve">6.3 For Technology Decision-Makers</w:t>
      </w:r>
      <w:bookmarkEnd w:id="33"/>
    </w:p>
    <w:p>
      <w:pPr>
        <w:numPr>
          <w:ilvl w:val="0"/>
          <w:numId w:val="24"/>
        </w:numPr>
        <w:spacing w:after="210" w:lineRule="auto"/>
      </w:pPr>
      <w:r>
        <w:rPr>
          <w:b/>
        </w:rPr>
        <w:t xml:space="preserve">Use resource estimation for portfolio planning</w:t>
      </w:r>
      <w:r>
        <w:rPr/>
        <w:t xml:space="preserve">: Compare physical qubit requirements across different hardware platforms (superconducting, trapped-ion, photonic) for target applications. Resource estimation tools make these comparisons quantitative.</w:t>
      </w:r>
    </w:p>
    <w:p>
      <w:pPr>
        <w:numPr>
          <w:ilvl w:val="0"/>
          <w:numId w:val="24"/>
        </w:numPr>
        <w:spacing w:after="210" w:lineRule="auto"/>
      </w:pPr>
      <w:r>
        <w:rPr>
          <w:b/>
        </w:rPr>
        <w:t xml:space="preserve">Invest in tool infrastructure</w:t>
      </w:r>
      <w:r>
        <w:rPr/>
        <w:t xml:space="preserve">: Resource estimation tools are strategic infrastructure. Support continued development of Azure QRE, Qualtran, and Deltaflow as public goods.</w:t>
      </w:r>
    </w:p>
    <w:p>
      <w:pPr>
        <w:numPr>
          <w:ilvl w:val="0"/>
          <w:numId w:val="24"/>
        </w:numPr>
        <w:spacing w:after="210" w:lineRule="auto"/>
      </w:pPr>
      <w:r>
        <w:rPr>
          <w:b/>
        </w:rPr>
        <w:t xml:space="preserve">Define intermediate milestones</w:t>
      </w:r>
      <w:r>
        <w:rPr/>
        <w:t xml:space="preserve">: Riverlane's MegaQuOp roadmap (reaching 1 million error-free operations by 2026) provides a concrete near-term goal. Use resource estimation to verify whether vendor claims align with physical reality.</w:t>
      </w:r>
    </w:p>
    <w:p>
      <w:pPr>
        <w:spacing w:line="271" w:before="240" w:lineRule="auto"/>
      </w:pPr>
      <w:bookmarkStart w:id="34" w:name="bm_7_conclusion"/>
      <w:r>
        <w:rPr>
          <w:b/>
          <w:sz w:val="42"/>
        </w:rPr>
        <w:t xml:space="preserve">7. Conclusion</w:t>
      </w:r>
      <w:bookmarkEnd w:id="34"/>
    </w:p>
    <w:p>
      <w:pPr>
        <w:spacing w:after="210" w:lineRule="auto"/>
      </w:pPr>
      <w:r>
        <w:rPr/>
        <w:t xml:space="preserve">Resource estimation and performance prediction tools have evolved from theoretical curiosities to essential infrastructure for quantum computing. The landscape now includes:</w:t>
      </w:r>
    </w:p>
    <w:p>
      <w:pPr>
        <w:numPr>
          <w:ilvl w:val="0"/>
          <w:numId w:val="25"/>
        </w:numPr>
        <w:spacing w:lineRule="auto"/>
      </w:pPr>
      <w:r>
        <w:rPr>
          <w:b/>
        </w:rPr>
        <w:t xml:space="preserve">Academic and industrial frameworks</w:t>
      </w:r>
      <w:r>
        <w:rPr/>
        <w:t xml:space="preserve"> (Azure QRE, Qualtran, BenchQ) providing detailed algorithm-to-resource mapping</w:t>
      </w:r>
    </w:p>
    <w:p>
      <w:pPr>
        <w:numPr>
          <w:ilvl w:val="0"/>
          <w:numId w:val="25"/>
        </w:numPr>
        <w:spacing w:lineRule="auto"/>
      </w:pPr>
      <w:r>
        <w:rPr>
          <w:b/>
        </w:rPr>
        <w:t xml:space="preserve">Hardware-specific QEC stacks</w:t>
      </w:r>
      <w:r>
        <w:rPr/>
        <w:t xml:space="preserve"> (Deltaflow) implementing the estimated requirements</w:t>
      </w:r>
    </w:p>
    <w:p>
      <w:pPr>
        <w:numPr>
          <w:ilvl w:val="0"/>
          <w:numId w:val="25"/>
        </w:numPr>
        <w:spacing w:lineRule="auto"/>
      </w:pPr>
      <w:r>
        <w:rPr>
          <w:b/>
        </w:rPr>
        <w:t xml:space="preserve">Complementary benchmarking and error characterization tools</w:t>
      </w:r>
      <w:r>
        <w:rPr/>
        <w:t xml:space="preserve"> providing empirical data to validate resource models</w:t>
      </w:r>
    </w:p>
    <w:p>
      <w:pPr>
        <w:spacing w:after="210" w:lineRule="auto"/>
      </w:pPr>
      <w:r>
        <w:rPr/>
        <w:t xml:space="preserve">The pathway from NISQ to FTQC is not a single binary transition but a staged progression:</w:t>
      </w:r>
    </w:p>
    <w:p>
      <w:pPr>
        <w:numPr>
          <w:ilvl w:val="0"/>
          <w:numId w:val="26"/>
        </w:numPr>
        <w:spacing w:after="210" w:lineRule="auto"/>
      </w:pPr>
      <w:r>
        <w:rPr>
          <w:b/>
        </w:rPr>
        <w:t xml:space="preserve">Near-term (2024-2026)</w:t>
      </w:r>
      <w:r>
        <w:rPr/>
        <w:t xml:space="preserve">: NISQ systems with selective error suppression and mitigation, gradually adding partial error correction. Resource estimation guides compilation and problem-instance selection.</w:t>
      </w:r>
    </w:p>
    <w:p>
      <w:pPr>
        <w:numPr>
          <w:ilvl w:val="0"/>
          <w:numId w:val="26"/>
        </w:numPr>
        <w:spacing w:after="210" w:lineRule="auto"/>
      </w:pPr>
      <w:r>
        <w:rPr>
          <w:b/>
        </w:rPr>
        <w:t xml:space="preserve">Intermediate (2026-2030)</w:t>
      </w:r>
      <w:r>
        <w:rPr/>
        <w:t xml:space="preserve">: Early FTQC systems with 50-1000 logical qubits, achieving millionth to billionth-operation regimes. Real-time decoding becomes operational reality. Resource estimation tools validate the feasibility of target applications.</w:t>
      </w:r>
    </w:p>
    <w:p>
      <w:pPr>
        <w:numPr>
          <w:ilvl w:val="0"/>
          <w:numId w:val="26"/>
        </w:numPr>
        <w:spacing w:after="210" w:lineRule="auto"/>
      </w:pPr>
      <w:r>
        <w:rPr>
          <w:b/>
        </w:rPr>
        <w:t xml:space="preserve">Long-term (2030+)</w:t>
      </w:r>
      <w:r>
        <w:rPr/>
        <w:t xml:space="preserve">: Fully fault-tolerant quantum computers with millions of logical qubits. Resource estimation shifts to optimization of specific large-scale algorithms.</w:t>
      </w:r>
    </w:p>
    <w:p>
      <w:pPr>
        <w:spacing w:after="210" w:lineRule="auto"/>
      </w:pPr>
      <w:r>
        <w:rPr/>
        <w:t xml:space="preserve">The convergence of resource estimation frameworks, error correction implementations, and hardware development creates a coherent technical roadmap. Organizations that combine quantitative resource estimation with strategic hardware investment in the areas identified by these tools will be best positioned to capture the practical benefits of quantum computing[2][31].</w:t>
      </w:r>
    </w:p>
    <w:p>
      <w:pPr>
        <w:spacing w:line="271" w:before="240" w:lineRule="auto"/>
      </w:pPr>
      <w:bookmarkStart w:id="35" w:name="references"/>
      <w:r>
        <w:rPr>
          <w:b/>
          <w:sz w:val="42"/>
        </w:rPr>
        <w:t xml:space="preserve">References</w:t>
      </w:r>
      <w:bookmarkEnd w:id="35"/>
    </w:p>
    <w:p>
      <w:pPr>
        <w:spacing w:after="210" w:lineRule="auto"/>
      </w:pPr>
      <w:r>
        <w:rPr/>
        <w:t xml:space="preserve">[1] Alice &amp; Bob. (2025, August). Seizing Quantum's Edge: eFTQC and HPC Acceleration. </w:t>
      </w:r>
      <w:hyperlink r:id="rId5">
        <w:r>
          <w:rPr>
            <w:color w:val="4472C4"/>
          </w:rPr>
          <w:t xml:space="preserve">https://alice-bob.com/wp-content/uploads/2025/08/Seizing-Quantum-Edge-eFTQC-HPC-Report-Alice-Bob.pdf</w:t>
        </w:r>
      </w:hyperlink>
    </w:p>
    <w:p>
      <w:pPr>
        <w:spacing w:after="210" w:lineRule="auto"/>
      </w:pPr>
      <w:r>
        <w:rPr/>
        <w:t xml:space="preserve">[2] Microsoft Quantum. (2024). Introduction to the Resource Estimator. </w:t>
      </w:r>
      <w:hyperlink r:id="rId6">
        <w:r>
          <w:rPr>
            <w:color w:val="4472C4"/>
          </w:rPr>
          <w:t xml:space="preserve">https://learn.microsoft.com/en-us/azure/quantum/intro-to-resource-estimation</w:t>
        </w:r>
      </w:hyperlink>
    </w:p>
    <w:p>
      <w:pPr>
        <w:spacing w:after="210" w:lineRule="auto"/>
      </w:pPr>
      <w:r>
        <w:rPr/>
        <w:t xml:space="preserve">[3] Lammers, J., et al. (2025, August). Quantum Resource Management in the NISQ Era. arXiv:2508.19276v1. </w:t>
      </w:r>
      <w:hyperlink r:id="rId7">
        <w:r>
          <w:rPr>
            <w:color w:val="4472C4"/>
          </w:rPr>
          <w:t xml:space="preserve">https://arxiv.org/html/2508.19276v1</w:t>
        </w:r>
      </w:hyperlink>
    </w:p>
    <w:p>
      <w:pPr>
        <w:spacing w:after="210" w:lineRule="auto"/>
      </w:pPr>
      <w:r>
        <w:rPr/>
        <w:t xml:space="preserve">[4] Bruzewicz, C. D., Chiaverini, J., Hanson, R., &amp; Wineland, D. J. (2019). Quantum computing with trapped ions. </w:t>
      </w:r>
      <w:r>
        <w:rPr>
          <w:i/>
        </w:rPr>
        <w:t xml:space="preserve">Reviews of Modern Physics</w:t>
      </w:r>
      <w:r>
        <w:rPr/>
        <w:t xml:space="preserve">, 87(3), 1103. </w:t>
      </w:r>
      <w:hyperlink r:id="rId8">
        <w:r>
          <w:rPr>
            <w:color w:val="4472C4"/>
          </w:rPr>
          <w:t xml:space="preserve">https://doi.org/10.1103/RevModPhys.87.1103</w:t>
        </w:r>
      </w:hyperlink>
    </w:p>
    <w:p>
      <w:pPr>
        <w:spacing w:after="210" w:lineRule="auto"/>
      </w:pPr>
      <w:r>
        <w:rPr/>
        <w:t xml:space="preserve">[5] Microsoft Azure Quantum. (2024, June). The Azure Quantum Resource Estimator: An In-Depth Look at an Important Quantum Tool. </w:t>
      </w:r>
      <w:r>
        <w:rPr>
          <w:i/>
        </w:rPr>
        <w:t xml:space="preserve">The Quantum Insider</w:t>
      </w:r>
      <w:r>
        <w:rPr/>
        <w:t xml:space="preserve">. </w:t>
      </w:r>
      <w:hyperlink r:id="rId9">
        <w:r>
          <w:rPr>
            <w:color w:val="4472C4"/>
          </w:rPr>
          <w:t xml:space="preserve">https://thequantuminsider.com/2024/06/29/the-azure-quantum-resource-estimator-an-in-depth-look-at-an-important-quantum-tool/</w:t>
        </w:r>
      </w:hyperlink>
    </w:p>
    <w:p>
      <w:pPr>
        <w:spacing w:after="210" w:lineRule="auto"/>
      </w:pPr>
      <w:r>
        <w:rPr/>
        <w:t xml:space="preserve">[6] Gidney, C., Ekera, M., &amp; Webber, T. (2024). How to factor 2048-bit RSA integers in 8 hours using 20 million noisy qubits. </w:t>
      </w:r>
      <w:r>
        <w:rPr>
          <w:i/>
        </w:rPr>
        <w:t xml:space="preserve">arXiv</w:t>
      </w:r>
      <w:r>
        <w:rPr/>
        <w:t xml:space="preserve">, 2404.07414.</w:t>
      </w:r>
    </w:p>
    <w:p>
      <w:pPr>
        <w:spacing w:after="210" w:lineRule="auto"/>
      </w:pPr>
      <w:r>
        <w:rPr/>
        <w:t xml:space="preserve">[7] Google Quantum AI. (2023). Expressing and Analyzing Quantum Algorithms with Qualtran. </w:t>
      </w:r>
      <w:hyperlink r:id="rId10">
        <w:r>
          <w:rPr>
            <w:color w:val="4472C4"/>
          </w:rPr>
          <w:t xml:space="preserve">https://research.google/pubs/expressing-and-analyzing-quantum-algorithms-with-qualtran/</w:t>
        </w:r>
      </w:hyperlink>
    </w:p>
    <w:p>
      <w:pPr>
        <w:spacing w:after="210" w:lineRule="auto"/>
      </w:pPr>
      <w:r>
        <w:rPr/>
        <w:t xml:space="preserve">[8] Google Quantum AI. (2024). Qualtran Documentation. </w:t>
      </w:r>
      <w:hyperlink r:id="rId11">
        <w:r>
          <w:rPr>
            <w:color w:val="4472C4"/>
          </w:rPr>
          <w:t xml:space="preserve">https://qualtran.readthedocs.io</w:t>
        </w:r>
      </w:hyperlink>
    </w:p>
    <w:p>
      <w:pPr>
        <w:spacing w:after="210" w:lineRule="auto"/>
      </w:pPr>
      <w:r>
        <w:rPr/>
        <w:t xml:space="preserve">[9] Riverlane. (2024, July). Introducing Riverlane's Quantum Error Correction Roadmap. </w:t>
      </w:r>
      <w:hyperlink r:id="rId12">
        <w:r>
          <w:rPr>
            <w:color w:val="4472C4"/>
          </w:rPr>
          <w:t xml:space="preserve">https://www.riverlane.com/blog/introducing-riverlane-s-quantum-error-correction-roadmap</w:t>
        </w:r>
      </w:hyperlink>
    </w:p>
    <w:p>
      <w:pPr>
        <w:spacing w:after="210" w:lineRule="auto"/>
      </w:pPr>
      <w:r>
        <w:rPr/>
        <w:t xml:space="preserve">[10] Riverlane. (2024, July). Riverlane unveils three-year Quantum Error Correction roadmap. </w:t>
      </w:r>
      <w:hyperlink r:id="rId13">
        <w:r>
          <w:rPr>
            <w:color w:val="4472C4"/>
          </w:rPr>
          <w:t xml:space="preserve">https://www.riverlane.com/press-release/riverlane-unveils-three-year-quantum-error-correction-roadmap</w:t>
        </w:r>
      </w:hyperlink>
    </w:p>
    <w:p>
      <w:pPr>
        <w:spacing w:after="210" w:lineRule="auto"/>
      </w:pPr>
      <w:r>
        <w:rPr/>
        <w:t xml:space="preserve">[11] Forbes. (2024, November). Riverlane Navigates Upstream On Quantum Error Correction. </w:t>
      </w:r>
      <w:hyperlink r:id="rId14">
        <w:r>
          <w:rPr>
            <w:color w:val="4472C4"/>
          </w:rPr>
          <w:t xml:space="preserve">https://www.forbes.com/sites/adrianbridgwater/2024/11/05/riverlane-navigates-upstream-on-quantum-error-correction/</w:t>
        </w:r>
      </w:hyperlink>
    </w:p>
    <w:p>
      <w:pPr>
        <w:spacing w:after="210" w:lineRule="auto"/>
      </w:pPr>
      <w:r>
        <w:rPr/>
        <w:t xml:space="preserve">[12] Eisert, J., et al. (2025, May). Benchmarking Quantum Gates and Circuits. </w:t>
      </w:r>
      <w:r>
        <w:rPr>
          <w:i/>
        </w:rPr>
        <w:t xml:space="preserve">Chemical Reviews</w:t>
      </w:r>
      <w:r>
        <w:rPr/>
        <w:t xml:space="preserve">, 125(9), 4867-4950. </w:t>
      </w:r>
      <w:hyperlink r:id="rId15">
        <w:r>
          <w:rPr>
            <w:color w:val="4472C4"/>
          </w:rPr>
          <w:t xml:space="preserve">https://pubs.acs.org/doi/10.1021/acs.chemrev.4c00870</w:t>
        </w:r>
      </w:hyperlink>
    </w:p>
    <w:p>
      <w:pPr>
        <w:spacing w:after="210" w:lineRule="auto"/>
      </w:pPr>
      <w:r>
        <w:rPr/>
        <w:t xml:space="preserve">[13] Google Quantum AI. (2024, November). Learning high-accuracy error decoding for quantum processors. </w:t>
      </w:r>
      <w:r>
        <w:rPr>
          <w:i/>
        </w:rPr>
        <w:t xml:space="preserve">Nature</w:t>
      </w:r>
      <w:r>
        <w:rPr/>
        <w:t xml:space="preserve">, 635, 309-314. </w:t>
      </w:r>
      <w:hyperlink r:id="rId16">
        <w:r>
          <w:rPr>
            <w:color w:val="4472C4"/>
          </w:rPr>
          <w:t xml:space="preserve">https://www.nature.com/articles/s41586-024-08148-8</w:t>
        </w:r>
      </w:hyperlink>
    </w:p>
    <w:p>
      <w:pPr>
        <w:spacing w:after="210" w:lineRule="auto"/>
      </w:pPr>
      <w:r>
        <w:rPr/>
        <w:t xml:space="preserve">[14] Kumar, S., et al. (2025, April). Reducing quantum error correction overhead using soft information. </w:t>
      </w:r>
      <w:r>
        <w:rPr>
          <w:i/>
        </w:rPr>
        <w:t xml:space="preserve">Research</w:t>
      </w:r>
      <w:r>
        <w:rPr/>
        <w:t xml:space="preserve">, 8, 0947. </w:t>
      </w:r>
      <w:hyperlink r:id="rId17">
        <w:r>
          <w:rPr>
            <w:color w:val="4472C4"/>
          </w:rPr>
          <w:t xml:space="preserve">https://arxiv.org/html/2504.03504v1</w:t>
        </w:r>
      </w:hyperlink>
    </w:p>
    <w:p>
      <w:pPr>
        <w:spacing w:after="210" w:lineRule="auto"/>
      </w:pPr>
      <w:r>
        <w:rPr/>
        <w:t xml:space="preserve">[15] Niu, Y., Bandic, S., Murali, P., et al. (2025, October). A Resource-Virtualized and Hardware-Aware Quantum Compilation System. </w:t>
      </w:r>
      <w:r>
        <w:rPr>
          <w:i/>
        </w:rPr>
        <w:t xml:space="preserve">Science Progress</w:t>
      </w:r>
      <w:r>
        <w:rPr/>
        <w:t xml:space="preserve">, 8(4), e12528855. </w:t>
      </w:r>
      <w:hyperlink r:id="rId18">
        <w:r>
          <w:rPr>
            <w:color w:val="4472C4"/>
          </w:rPr>
          <w:t xml:space="preserve">https://pmc.ncbi.nlm.nih.gov/articles/PMC12528855/</w:t>
        </w:r>
      </w:hyperlink>
    </w:p>
    <w:p>
      <w:pPr>
        <w:spacing w:after="210" w:lineRule="auto"/>
      </w:pPr>
      <w:r>
        <w:rPr/>
        <w:t xml:space="preserve">[16] Q-CTRL. (2025, December). Choosing the Right Quantum Error Reduction Strategy. </w:t>
      </w:r>
      <w:hyperlink r:id="rId19">
        <w:r>
          <w:rPr>
            <w:color w:val="4472C4"/>
          </w:rPr>
          <w:t xml:space="preserve">https://q-ctrl.com/blog/choosing-the-right-quantum-error-reduction-strategy-a-practical-guide-to-error-suppression-error-mitigat</w:t>
        </w:r>
      </w:hyperlink>
      <w:r>
        <w:rPr/>
        <w:t xml:space="preserve">...</w:t>
      </w:r>
    </w:p>
    <w:p>
      <w:pPr>
        <w:spacing w:after="210" w:lineRule="auto"/>
      </w:pPr>
      <w:r>
        <w:rPr/>
        <w:t xml:space="preserve">[17] IonQ. (2024, August). IonQ Invents a Novel, Low-Overhead Approach for Partial Quantum Error Correction. </w:t>
      </w:r>
      <w:hyperlink r:id="rId20">
        <w:r>
          <w:rPr>
            <w:color w:val="4472C4"/>
          </w:rPr>
          <w:t xml:space="preserve">https://ionq.com/news/ionq-invents-a-novel-low-overhead-approach-for-partial-quantum-error</w:t>
        </w:r>
      </w:hyperlink>
    </w:p>
    <w:p>
      <w:pPr>
        <w:spacing w:after="210" w:lineRule="auto"/>
      </w:pPr>
      <w:r>
        <w:rPr/>
        <w:t xml:space="preserve">[18] The Quantum Insider. (2025, September). Quantum Computing Companies in 2025 (76 Major Players). </w:t>
      </w:r>
      <w:hyperlink r:id="rId21">
        <w:r>
          <w:rPr>
            <w:color w:val="4472C4"/>
          </w:rPr>
          <w:t xml:space="preserve">https://thequantuminsider.com/2025/09/23/top-quantum-computing-companies/</w:t>
        </w:r>
      </w:hyperlink>
    </w:p>
    <w:p>
      <w:pPr>
        <w:spacing w:after="210" w:lineRule="auto"/>
      </w:pPr>
      <w:r>
        <w:rPr/>
        <w:t xml:space="preserve">[19] Fowler, A. G., Mariantoni, M., Martinis, J. M., &amp; Cleland, A. N. (2012). Surface codes: Towards practical large-scale quantum computation. </w:t>
      </w:r>
      <w:r>
        <w:rPr>
          <w:i/>
        </w:rPr>
        <w:t xml:space="preserve">Physical Review A</w:t>
      </w:r>
      <w:r>
        <w:rPr/>
        <w:t xml:space="preserve">, 86(3), 032324. </w:t>
      </w:r>
      <w:hyperlink r:id="rId22">
        <w:r>
          <w:rPr>
            <w:color w:val="4472C4"/>
          </w:rPr>
          <w:t xml:space="preserve">https://doi.org/10.1103/PhysRevA.86.032324</w:t>
        </w:r>
      </w:hyperlink>
    </w:p>
    <w:p>
      <w:pPr>
        <w:spacing w:after="210" w:lineRule="auto"/>
      </w:pPr>
      <w:r>
        <w:rPr/>
        <w:t xml:space="preserve">[20] Google Quantum AI. (2025, November). The road to useful quantum computing applications. </w:t>
      </w:r>
      <w:hyperlink r:id="rId23">
        <w:r>
          <w:rPr>
            <w:color w:val="4472C4"/>
          </w:rPr>
          <w:t xml:space="preserve">https://blog.google/technology/research/useful-quantum-computing-applications/</w:t>
        </w:r>
      </w:hyperlink>
    </w:p>
    <w:p>
      <w:pPr>
        <w:spacing w:after="210" w:lineRule="auto"/>
      </w:pPr>
      <w:r>
        <w:rPr/>
        <w:t xml:space="preserve">[21] Physics World. (2025, November). Quantum computing on the verge: correcting errors, developing algorithms and building up the user base. </w:t>
      </w:r>
      <w:hyperlink r:id="rId24">
        <w:r>
          <w:rPr>
            <w:color w:val="4472C4"/>
          </w:rPr>
          <w:t xml:space="preserve">https://physicsworld.com/a/quantum-computing-on-the-verge-correcting-errors-developing-algorithms-and-building-up-the-user-base/</w:t>
        </w:r>
      </w:hyperlink>
    </w:p>
    <w:p>
      <w:pPr>
        <w:spacing w:after="210" w:lineRule="auto"/>
      </w:pPr>
      <w:r>
        <w:rPr/>
        <w:t xml:space="preserve">[22] Emergent Mind. (2025, December). NISQ Hardware: Noise and Optimization. </w:t>
      </w:r>
      <w:hyperlink r:id="rId25">
        <w:r>
          <w:rPr>
            <w:color w:val="4472C4"/>
          </w:rPr>
          <w:t xml:space="preserve">https://www.emergentmind.com/topics/noisy-intermediate-scale-quantum-nisq-hardware</w:t>
        </w:r>
      </w:hyperlink>
    </w:p>
    <w:p>
      <w:pPr>
        <w:spacing w:after="210" w:lineRule="auto"/>
      </w:pPr>
      <w:r>
        <w:rPr/>
        <w:t xml:space="preserve">[23] Nature. (2025, April). Benchmarking the performance of quantum computing software for scientific applications. </w:t>
      </w:r>
      <w:r>
        <w:rPr>
          <w:i/>
        </w:rPr>
        <w:t xml:space="preserve">Nature Computational Science</w:t>
      </w:r>
      <w:r>
        <w:rPr/>
        <w:t xml:space="preserve">, 5(4), 287-298.</w:t>
      </w:r>
    </w:p>
    <w:p>
      <w:pPr>
        <w:spacing w:after="210" w:lineRule="auto"/>
      </w:pPr>
      <w:r>
        <w:rPr/>
        <w:t xml:space="preserve">[24] DARPA. (2024, October). QB: Quantum Benchmarking Program. </w:t>
      </w:r>
      <w:hyperlink r:id="rId26">
        <w:r>
          <w:rPr>
            <w:color w:val="4472C4"/>
          </w:rPr>
          <w:t xml:space="preserve">https://www.darpa.mil/research/programs/quantum-benchmarking</w:t>
        </w:r>
      </w:hyperlink>
    </w:p>
    <w:p>
      <w:pPr>
        <w:spacing w:after="210" w:lineRule="auto"/>
      </w:pPr>
      <w:r>
        <w:rPr/>
        <w:t xml:space="preserve">[25] IEEE Quantum Week 2025. (2025, August). Quantum Week 2025 Tutorials: TopQAD for FTQC Resource Estimation. </w:t>
      </w:r>
      <w:hyperlink r:id="rId27">
        <w:r>
          <w:rPr>
            <w:color w:val="4472C4"/>
          </w:rPr>
          <w:t xml:space="preserve">https://qce.quantum.ieee.org/2025/program/tutorial-schedule/</w:t>
        </w:r>
      </w:hyperlink>
    </w:p>
    <w:p>
      <w:pPr>
        <w:spacing w:after="210" w:lineRule="auto"/>
      </w:pPr>
      <w:r>
        <w:rPr/>
        <w:t xml:space="preserve">[26] Quantumpirates. (2024, August). The Week in Quantum Computing. </w:t>
      </w:r>
      <w:hyperlink r:id="rId28">
        <w:r>
          <w:rPr>
            <w:color w:val="4472C4"/>
          </w:rPr>
          <w:t xml:space="preserve">https://quantumpirates.substack.com/p/the-week-in-quantum-computing-august-341</w:t>
        </w:r>
      </w:hyperlink>
    </w:p>
    <w:p>
      <w:pPr>
        <w:spacing w:after="210" w:lineRule="auto"/>
      </w:pPr>
      <w:r>
        <w:rPr/>
        <w:t xml:space="preserve">[27] Graduate Quantum Initiative. (2025, February). Update on the GQI Quantum Resource Estimator Playbook. </w:t>
      </w:r>
      <w:hyperlink r:id="rId29">
        <w:r>
          <w:rPr>
            <w:color w:val="4472C4"/>
          </w:rPr>
          <w:t xml:space="preserve">https://quantumcomputingreport.com/update-on-the-gqi-quantum-resource-estimator-playbook/</w:t>
        </w:r>
      </w:hyperlink>
    </w:p>
    <w:p>
      <w:pPr>
        <w:spacing w:after="210" w:lineRule="auto"/>
      </w:pPr>
      <w:r>
        <w:rPr/>
        <w:t xml:space="preserve">[28] Technical University of Munich. (2024). Utilizing Resource Estimation for the Development of Quantum Computing Applications. </w:t>
      </w:r>
      <w:r>
        <w:rPr>
          <w:i/>
        </w:rPr>
        <w:t xml:space="preserve">Quantum Science and Engineering</w:t>
      </w:r>
      <w:r>
        <w:rPr/>
        <w:t xml:space="preserve">, 6(2), 027501.</w:t>
      </w:r>
    </w:p>
    <w:p>
      <w:pPr>
        <w:spacing w:after="210" w:lineRule="auto"/>
      </w:pPr>
      <w:r>
        <w:rPr/>
        <w:t xml:space="preserve">[29] Zapata Computing. (2024). BenchQ: Resource Estimation for Fault-Tolerant Quantum Computation. </w:t>
      </w:r>
      <w:hyperlink r:id="rId30">
        <w:r>
          <w:rPr>
            <w:color w:val="4472C4"/>
          </w:rPr>
          <w:t xml:space="preserve">https://github.com/zapatacomputing/benchq</w:t>
        </w:r>
      </w:hyperlink>
    </w:p>
    <w:p>
      <w:pPr>
        <w:spacing w:after="210" w:lineRule="auto"/>
      </w:pPr>
      <w:r>
        <w:rPr/>
        <w:t xml:space="preserve">[30] Quantum Resource Estimation Workshop. (2025). QRE 2025: International Workshop on Quantum Resource Estimation. </w:t>
      </w:r>
      <w:hyperlink r:id="rId31">
        <w:r>
          <w:rPr>
            <w:color w:val="4472C4"/>
          </w:rPr>
          <w:t xml:space="preserve">https://www.quantumresource.org</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lice-bob.com/wp-content/uploads/2025/08/Seizing-Quantum-Edge-eFTQC-HPC-Report-Alice-Bob.pdf" TargetMode="External"/><Relationship Id="rId6" Type="http://schemas.openxmlformats.org/officeDocument/2006/relationships/hyperlink" Target="https://learn.microsoft.com/en-us/azure/quantum/intro-to-resource-estimation" TargetMode="External"/><Relationship Id="rId7" Type="http://schemas.openxmlformats.org/officeDocument/2006/relationships/hyperlink" Target="https://arxiv.org/html/2508.19276v1" TargetMode="External"/><Relationship Id="rId8" Type="http://schemas.openxmlformats.org/officeDocument/2006/relationships/hyperlink" Target="https://doi.org/10.1103/RevModPhys.87.1103" TargetMode="External"/><Relationship Id="rId9" Type="http://schemas.openxmlformats.org/officeDocument/2006/relationships/hyperlink" Target="https://thequantuminsider.com/2024/06/29/the-azure-quantum-resource-estimator-an-in-depth-look-at-an-important-quantum-tool/" TargetMode="External"/><Relationship Id="rId10" Type="http://schemas.openxmlformats.org/officeDocument/2006/relationships/hyperlink" Target="https://research.google/pubs/expressing-and-analyzing-quantum-algorithms-with-qualtran/" TargetMode="External"/><Relationship Id="rId11" Type="http://schemas.openxmlformats.org/officeDocument/2006/relationships/hyperlink" Target="https://qualtran.readthedocs.io" TargetMode="External"/><Relationship Id="rId12" Type="http://schemas.openxmlformats.org/officeDocument/2006/relationships/hyperlink" Target="https://www.riverlane.com/blog/introducing-riverlane-s-quantum-error-correction-roadmap" TargetMode="External"/><Relationship Id="rId13" Type="http://schemas.openxmlformats.org/officeDocument/2006/relationships/hyperlink" Target="https://www.riverlane.com/press-release/riverlane-unveils-three-year-quantum-error-correction-roadmap" TargetMode="External"/><Relationship Id="rId14" Type="http://schemas.openxmlformats.org/officeDocument/2006/relationships/hyperlink" Target="https://www.forbes.com/sites/adrianbridgwater/2024/11/05/riverlane-navigates-upstream-on-quantum-error-correction/" TargetMode="External"/><Relationship Id="rId15" Type="http://schemas.openxmlformats.org/officeDocument/2006/relationships/hyperlink" Target="https://pubs.acs.org/doi/10.1021/acs.chemrev.4c00870" TargetMode="External"/><Relationship Id="rId16" Type="http://schemas.openxmlformats.org/officeDocument/2006/relationships/hyperlink" Target="https://www.nature.com/articles/s41586-024-08148-8" TargetMode="External"/><Relationship Id="rId17" Type="http://schemas.openxmlformats.org/officeDocument/2006/relationships/hyperlink" Target="https://arxiv.org/html/2504.03504v1" TargetMode="External"/><Relationship Id="rId18" Type="http://schemas.openxmlformats.org/officeDocument/2006/relationships/hyperlink" Target="https://pmc.ncbi.nlm.nih.gov/articles/PMC12528855/" TargetMode="External"/><Relationship Id="rId19" Type="http://schemas.openxmlformats.org/officeDocument/2006/relationships/hyperlink" Target="https://q-ctrl.com/blog/choosing-the-right-quantum-error-reduction-strategy-a-practical-guide-to-error-suppression-error-mitigat" TargetMode="External"/><Relationship Id="rId20" Type="http://schemas.openxmlformats.org/officeDocument/2006/relationships/hyperlink" Target="https://ionq.com/news/ionq-invents-a-novel-low-overhead-approach-for-partial-quantum-error" TargetMode="External"/><Relationship Id="rId21" Type="http://schemas.openxmlformats.org/officeDocument/2006/relationships/hyperlink" Target="https://thequantuminsider.com/2025/09/23/top-quantum-computing-companies/" TargetMode="External"/><Relationship Id="rId22" Type="http://schemas.openxmlformats.org/officeDocument/2006/relationships/hyperlink" Target="https://doi.org/10.1103/PhysRevA.86.032324" TargetMode="External"/><Relationship Id="rId23" Type="http://schemas.openxmlformats.org/officeDocument/2006/relationships/hyperlink" Target="https://blog.google/technology/research/useful-quantum-computing-applications/" TargetMode="External"/><Relationship Id="rId24" Type="http://schemas.openxmlformats.org/officeDocument/2006/relationships/hyperlink" Target="https://physicsworld.com/a/quantum-computing-on-the-verge-correcting-errors-developing-algorithms-and-building-up-the-user-base/" TargetMode="External"/><Relationship Id="rId25" Type="http://schemas.openxmlformats.org/officeDocument/2006/relationships/hyperlink" Target="https://www.emergentmind.com/topics/noisy-intermediate-scale-quantum-nisq-hardware" TargetMode="External"/><Relationship Id="rId26" Type="http://schemas.openxmlformats.org/officeDocument/2006/relationships/hyperlink" Target="https://www.darpa.mil/research/programs/quantum-benchmarking" TargetMode="External"/><Relationship Id="rId27" Type="http://schemas.openxmlformats.org/officeDocument/2006/relationships/hyperlink" Target="https://qce.quantum.ieee.org/2025/program/tutorial-schedule/" TargetMode="External"/><Relationship Id="rId28" Type="http://schemas.openxmlformats.org/officeDocument/2006/relationships/hyperlink" Target="https://quantumpirates.substack.com/p/the-week-in-quantum-computing-august-341" TargetMode="External"/><Relationship Id="rId29" Type="http://schemas.openxmlformats.org/officeDocument/2006/relationships/hyperlink" Target="https://quantumcomputingreport.com/update-on-the-gqi-quantum-resource-estimator-playbook/" TargetMode="External"/><Relationship Id="rId30" Type="http://schemas.openxmlformats.org/officeDocument/2006/relationships/hyperlink" Target="https://github.com/zapatacomputing/benchq" TargetMode="External"/><Relationship Id="rId31" Type="http://schemas.openxmlformats.org/officeDocument/2006/relationships/hyperlink" Target="https://www.quantumresource.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2025-12-15T02:10:10.070Z</dcterms:created>
  <dcterms:modified xsi:type="dcterms:W3CDTF">2025-12-15T02:10:10.070Z</dcterms:modified>
</cp:coreProperties>
</file>