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The Accidental Audit</w:t>
      </w:r>
    </w:p>
    <w:p>
      <w:pPr>
        <w:spacing w:after="120"/>
      </w:pPr>
      <w:r>
        <w:rPr>
          <w:rFonts w:ascii="Georgia" w:cs="Georgia" w:eastAsia="Georgia" w:hAnsi="Georgia"/>
          <w:i/>
          <w:iCs/>
          <w:color w:val="1565C0"/>
          <w:sz w:val="26"/>
          <w:szCs w:val="26"/>
        </w:rPr>
        <w:t xml:space="preserve">Nobody designed the audit trail. The architecture produced it.</w:t>
      </w:r>
    </w:p>
    <w:p>
      <w:pPr>
        <w:pBdr>
          <w:bottom w:val="single" w:color="1A7A6D" w:sz="4" w:space="1"/>
        </w:pBdr>
        <w:spacing w:after="600"/>
      </w:pPr>
    </w:p>
    <w:p>
      <w:pPr>
        <w:spacing w:after="0" w:before="0" w:line="340"/>
        <w:jc w:val="left"/>
      </w:pPr>
      <w:r>
        <w:rPr>
          <w:rFonts w:ascii="Georgia" w:cs="Georgia" w:eastAsia="Georgia" w:hAnsi="Georgia"/>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The side effect</w:t>
      </w:r>
    </w:p>
    <w:p>
      <w:pPr>
        <w:spacing w:after="240" w:before="0" w:line="340"/>
        <w:jc w:val="left"/>
      </w:pPr>
      <w:r>
        <w:rPr>
          <w:rFonts w:ascii="Georgia" w:cs="Georgia" w:eastAsia="Georgia" w:hAnsi="Georgia"/>
          <w:color w:val="3A3A3A"/>
          <w:sz w:val="24"/>
          <w:szCs w:val="24"/>
        </w:rPr>
        <w:t xml:space="preserve">Every audit system you have ever encountered is something someone decided to build. Someone wrote a requirements document. Someone chose a logging framework. Someone configured retention policies. Someone mapped compliance controls to log entries. And then someone hoped that every path through the system actually hit the logging layer — that no developer forgot to instrument a new endpoint, that no edge case bypassed the audit hook, that no emergency code change skipped the review that would have caught the gap.</w:t>
      </w:r>
    </w:p>
    <w:p>
      <w:pPr>
        <w:spacing w:after="240" w:before="0" w:line="340"/>
        <w:jc w:val="left"/>
      </w:pPr>
      <w:r>
        <w:rPr>
          <w:rFonts w:ascii="Georgia" w:cs="Georgia" w:eastAsia="Georgia" w:hAnsi="Georgia"/>
          <w:color w:val="3A3A3A"/>
          <w:sz w:val="24"/>
          <w:szCs w:val="24"/>
        </w:rPr>
        <w:t xml:space="preserve">The ZKT audit trail was not designed. It was not a feature request. It was not in a requirements document. It is a side effect of the architecture.</w:t>
      </w:r>
    </w:p>
    <w:p>
      <w:pPr>
        <w:spacing w:after="240" w:before="0" w:line="340"/>
        <w:jc w:val="left"/>
      </w:pPr>
      <w:r>
        <w:rPr>
          <w:rFonts w:ascii="Georgia" w:cs="Georgia" w:eastAsia="Georgia" w:hAnsi="Georgia"/>
          <w:color w:val="3A3A3A"/>
          <w:sz w:val="24"/>
          <w:szCs w:val="24"/>
        </w:rPr>
        <w:t xml:space="preserve">Every interaction with your secrets passes through the vault manager. There is no other path. There is no REST API that bypasses it. There is no direct database query that skips it. There is no emergency override that routes around it. The vault manager is the single point of control, and the vault manager processes every event through the same pipeline: receive, validate against the contract, route to the handler, execute, respond. Every step in that pipeline produces a record. The audit trail is not a step in the pipeline. The audit trail is the pipeline.</w:t>
      </w:r>
    </w:p>
    <w:p>
      <w:pPr>
        <w:spacing w:after="240" w:before="0" w:line="340"/>
        <w:jc w:val="left"/>
      </w:pPr>
      <w:r>
        <w:rPr>
          <w:rFonts w:ascii="Georgia" w:cs="Georgia" w:eastAsia="Georgia" w:hAnsi="Georgia"/>
          <w:color w:val="3A3A3A"/>
          <w:sz w:val="24"/>
          <w:szCs w:val="24"/>
        </w:rPr>
        <w:t xml:space="preserve">This means the audit trail is complete by construction. Not complete because someone was diligent. Not complete because a compliance team verified it. Complete because the architecture makes it impossible for an interaction to happen without being recorded. You cannot interact with the vault without producing an audit entry, the same way you cannot walk through a door without displacing air.</w:t>
      </w:r>
    </w:p>
    <w:p>
      <w:pPr>
        <w:pBdr>
          <w:left w:val="single" w:color="1A7A6D" w:sz="12" w:space="12"/>
        </w:pBdr>
        <w:spacing w:before="280" w:after="280"/>
        <w:ind w:left="480" w:right="480"/>
      </w:pPr>
      <w:r>
        <w:rPr>
          <w:rFonts w:ascii="Georgia" w:cs="Georgia" w:eastAsia="Georgia" w:hAnsi="Georgia"/>
          <w:i/>
          <w:iCs/>
          <w:color w:val="7D6B5D"/>
          <w:sz w:val="26"/>
          <w:szCs w:val="26"/>
        </w:rPr>
        <w:t xml:space="preserve">Nobody designed the audit trail. The architecture produced it. Every interaction passes through the vault manager. Every interaction is recorded. The trail is complete because no path exists that avoids it.</w:t>
      </w:r>
    </w:p>
    <w:p>
      <w:pPr>
        <w:spacing w:before="500" w:after="200"/>
      </w:pPr>
      <w:r>
        <w:rPr>
          <w:rFonts w:ascii="Georgia" w:cs="Georgia" w:eastAsia="Georgia" w:hAnsi="Georgia"/>
          <w:b/>
          <w:bCs/>
          <w:color w:val="2C3E50"/>
          <w:sz w:val="32"/>
          <w:szCs w:val="32"/>
        </w:rPr>
        <w:t xml:space="preserve">What gets logged</w:t>
      </w:r>
    </w:p>
    <w:p>
      <w:pPr>
        <w:spacing w:after="240" w:before="0" w:line="340"/>
        <w:jc w:val="left"/>
      </w:pPr>
      <w:r>
        <w:rPr>
          <w:rFonts w:ascii="Georgia" w:cs="Georgia" w:eastAsia="Georgia" w:hAnsi="Georgia"/>
          <w:color w:val="3A3A3A"/>
          <w:sz w:val="24"/>
          <w:szCs w:val="24"/>
        </w:rPr>
        <w:t xml:space="preserve">Every audit entry is a complete record of a decision. Not just what happened — what was asked, by whom, under what terms, and what the vault decided.</w:t>
      </w:r>
    </w:p>
    <w:p>
      <w:pPr>
        <w:spacing w:before="360" w:after="160"/>
      </w:pPr>
      <w:r>
        <w:rPr>
          <w:rFonts w:ascii="Georgia" w:cs="Georgia" w:eastAsia="Georgia" w:hAnsi="Georgia"/>
          <w:b/>
          <w:bCs/>
          <w:color w:val="1565C0"/>
          <w:sz w:val="27"/>
          <w:szCs w:val="27"/>
        </w:rPr>
        <w:t xml:space="preserve">The anatomy of an entry</w:t>
      </w:r>
    </w:p>
    <w:p>
      <w:pPr>
        <w:shd w:fill="FDF8F0" w:val="clear"/>
        <w:spacing w:before="160" w:after="160" w:line="300"/>
        <w:ind w:left="360" w:right="360"/>
      </w:pPr>
      <w:r>
        <w:rPr>
          <w:rFonts w:ascii="Arial" w:cs="Arial" w:eastAsia="Arial" w:hAnsi="Arial"/>
          <w:b/>
          <w:bCs/>
          <w:color w:val="3A3A3A"/>
          <w:sz w:val="21"/>
          <w:szCs w:val="21"/>
        </w:rPr>
        <w:t xml:space="preserve">Who asked: </w:t>
      </w:r>
      <w:r>
        <w:rPr>
          <w:rFonts w:ascii="Arial" w:cs="Arial" w:eastAsia="Arial" w:hAnsi="Arial"/>
          <w:color w:val="3A3A3A"/>
          <w:sz w:val="21"/>
          <w:szCs w:val="21"/>
        </w:rPr>
        <w:t xml:space="preserve">The connection that originated the request. Acme Retail, connection ID abc-123. Your employer’s vault. A friend’s vault. The identity of the requester is always recorded.</w:t>
      </w:r>
    </w:p>
    <w:p>
      <w:pPr>
        <w:shd w:fill="FDF8F0" w:val="clear"/>
        <w:spacing w:before="160" w:after="160" w:line="300"/>
        <w:ind w:left="360" w:right="360"/>
      </w:pPr>
      <w:r>
        <w:rPr>
          <w:rFonts w:ascii="Arial" w:cs="Arial" w:eastAsia="Arial" w:hAnsi="Arial"/>
          <w:b/>
          <w:bCs/>
          <w:color w:val="3A3A3A"/>
          <w:sz w:val="21"/>
          <w:szCs w:val="21"/>
        </w:rPr>
        <w:t xml:space="preserve">What they asked for: </w:t>
      </w:r>
      <w:r>
        <w:rPr>
          <w:rFonts w:ascii="Arial" w:cs="Arial" w:eastAsia="Arial" w:hAnsi="Arial"/>
          <w:color w:val="3A3A3A"/>
          <w:sz w:val="21"/>
          <w:szCs w:val="21"/>
        </w:rPr>
        <w:t xml:space="preserve">The event type and the specific data or action requested. A data request for your shipping address. A signing request for a document hash. An authentication challenge. A payment authorization.</w:t>
      </w:r>
    </w:p>
    <w:p>
      <w:pPr>
        <w:shd w:fill="FDF8F0" w:val="clear"/>
        <w:spacing w:before="160" w:after="160" w:line="300"/>
        <w:ind w:left="360" w:right="360"/>
      </w:pPr>
      <w:r>
        <w:rPr>
          <w:rFonts w:ascii="Arial" w:cs="Arial" w:eastAsia="Arial" w:hAnsi="Arial"/>
          <w:b/>
          <w:bCs/>
          <w:color w:val="3A3A3A"/>
          <w:sz w:val="21"/>
          <w:szCs w:val="21"/>
        </w:rPr>
        <w:t xml:space="preserve">Under what terms: </w:t>
      </w:r>
      <w:r>
        <w:rPr>
          <w:rFonts w:ascii="Arial" w:cs="Arial" w:eastAsia="Arial" w:hAnsi="Arial"/>
          <w:color w:val="3A3A3A"/>
          <w:sz w:val="21"/>
          <w:szCs w:val="21"/>
        </w:rPr>
        <w:t xml:space="preserve">The contract version in effect at the time of the request. This anchors the entry to a specific set of agreed terms. If you later wonder “why did my vault allow that?” the contract version tells you exactly what rules were in force.</w:t>
      </w:r>
    </w:p>
    <w:p>
      <w:pPr>
        <w:shd w:fill="FDF8F0" w:val="clear"/>
        <w:spacing w:before="160" w:after="160" w:line="300"/>
        <w:ind w:left="360" w:right="360"/>
      </w:pPr>
      <w:r>
        <w:rPr>
          <w:rFonts w:ascii="Arial" w:cs="Arial" w:eastAsia="Arial" w:hAnsi="Arial"/>
          <w:b/>
          <w:bCs/>
          <w:color w:val="3A3A3A"/>
          <w:sz w:val="21"/>
          <w:szCs w:val="21"/>
        </w:rPr>
        <w:t xml:space="preserve">When: </w:t>
      </w:r>
      <w:r>
        <w:rPr>
          <w:rFonts w:ascii="Arial" w:cs="Arial" w:eastAsia="Arial" w:hAnsi="Arial"/>
          <w:color w:val="3A3A3A"/>
          <w:sz w:val="21"/>
          <w:szCs w:val="21"/>
        </w:rPr>
        <w:t xml:space="preserve">The timestamp of the request and the timestamp of the response. For consent fields, the timestamp of your approval or denial.</w:t>
      </w:r>
    </w:p>
    <w:p>
      <w:pPr>
        <w:shd w:fill="FDF8F0" w:val="clear"/>
        <w:spacing w:before="160" w:after="160" w:line="300"/>
        <w:ind w:left="360" w:right="360"/>
      </w:pPr>
      <w:r>
        <w:rPr>
          <w:rFonts w:ascii="Arial" w:cs="Arial" w:eastAsia="Arial" w:hAnsi="Arial"/>
          <w:b/>
          <w:bCs/>
          <w:color w:val="3A3A3A"/>
          <w:sz w:val="21"/>
          <w:szCs w:val="21"/>
        </w:rPr>
        <w:t xml:space="preserve">What happened: </w:t>
      </w:r>
      <w:r>
        <w:rPr>
          <w:rFonts w:ascii="Arial" w:cs="Arial" w:eastAsia="Arial" w:hAnsi="Arial"/>
          <w:color w:val="3A3A3A"/>
          <w:sz w:val="21"/>
          <w:szCs w:val="21"/>
        </w:rPr>
        <w:t xml:space="preserve">The result. Approved: the data was served or the action was performed. Denied: the request was blocked, with the reason. Pending: the request is waiting for your consent. Expired: the request timed out before you responded.</w:t>
      </w:r>
    </w:p>
    <w:p>
      <w:pPr>
        <w:shd w:fill="FDF8F0" w:val="clear"/>
        <w:spacing w:before="160" w:after="160" w:line="300"/>
        <w:ind w:left="360" w:right="360"/>
      </w:pPr>
      <w:r>
        <w:rPr>
          <w:rFonts w:ascii="Arial" w:cs="Arial" w:eastAsia="Arial" w:hAnsi="Arial"/>
          <w:b/>
          <w:bCs/>
          <w:color w:val="3A3A3A"/>
          <w:sz w:val="21"/>
          <w:szCs w:val="21"/>
        </w:rPr>
        <w:t xml:space="preserve">Why it was denied: </w:t>
      </w:r>
      <w:r>
        <w:rPr>
          <w:rFonts w:ascii="Arial" w:cs="Arial" w:eastAsia="Arial" w:hAnsi="Arial"/>
          <w:color w:val="3A3A3A"/>
          <w:sz w:val="21"/>
          <w:szCs w:val="21"/>
        </w:rPr>
        <w:t xml:space="preserve">If the request was blocked, the reason is recorded. Field not in contract. Retention expired. Rate limit exceeded. Contract version pending acceptance. Consent denied by user. The denial reason is as important as the approval — it is the evidence that enforcement actually works.</w:t>
      </w:r>
    </w:p>
    <w:p>
      <w:pPr>
        <w:spacing w:before="360" w:after="160"/>
      </w:pPr>
      <w:r>
        <w:rPr>
          <w:rFonts w:ascii="Georgia" w:cs="Georgia" w:eastAsia="Georgia" w:hAnsi="Georgia"/>
          <w:b/>
          <w:bCs/>
          <w:color w:val="1565C0"/>
          <w:sz w:val="27"/>
          <w:szCs w:val="27"/>
        </w:rPr>
        <w:t xml:space="preserve">Denials matter as much as approvals</w:t>
      </w:r>
    </w:p>
    <w:p>
      <w:pPr>
        <w:spacing w:after="240" w:before="0" w:line="340"/>
        <w:jc w:val="left"/>
      </w:pPr>
      <w:r>
        <w:rPr>
          <w:rFonts w:ascii="Georgia" w:cs="Georgia" w:eastAsia="Georgia" w:hAnsi="Georgia"/>
          <w:color w:val="3A3A3A"/>
          <w:sz w:val="24"/>
          <w:szCs w:val="24"/>
        </w:rPr>
        <w:t xml:space="preserve">Most audit systems focus on what happened. The ZKT audit trail gives equal weight to what did not happen and why. A denied request is a record that enforcement worked. A rate limit violation is evidence that the contract’s boundaries were tested and held. A field request outside the contract terms is proof that the vault blocked an unauthorized access attempt before any data was exposed.</w:t>
      </w:r>
    </w:p>
    <w:p>
      <w:pPr>
        <w:spacing w:after="240" w:before="0" w:line="340"/>
        <w:jc w:val="left"/>
      </w:pPr>
      <w:r>
        <w:rPr>
          <w:rFonts w:ascii="Georgia" w:cs="Georgia" w:eastAsia="Georgia" w:hAnsi="Georgia"/>
          <w:color w:val="3A3A3A"/>
          <w:sz w:val="24"/>
          <w:szCs w:val="24"/>
        </w:rPr>
        <w:t xml:space="preserve">This changes the nature of auditing. You are not looking for gaps in a log. You are looking at a complete record of every attempt — successful and unsuccessful — and the vault’s decision for each one. The trail does not just tell you what the service accessed. It tells you what the service tried to access and was stopped from accessing. That is a fundamentally different kind of visibility.</w:t>
      </w:r>
    </w:p>
    <w:p>
      <w:pPr>
        <w:spacing w:after="240" w:before="0" w:line="340"/>
        <w:jc w:val="left"/>
      </w:pPr>
      <w:r>
        <w:rPr>
          <w:rFonts w:ascii="Georgia" w:cs="Georgia" w:eastAsia="Georgia" w:hAnsi="Georgia"/>
          <w:color w:val="3A3A3A"/>
          <w:sz w:val="24"/>
          <w:szCs w:val="24"/>
        </w:rPr>
        <w:t xml:space="preserve">The trail is cryptographically enforced. Entries cannot be modified, reordered, or deleted without detection. The record your vault keeps is tamper-evident — not because a policy says so, but because the cryptographic structure makes it so. The audit trail has the same integrity guarantees as the secrets it records access to.</w:t>
      </w:r>
    </w:p>
    <w:p>
      <w:pPr>
        <w:pBdr>
          <w:left w:val="single" w:color="1A7A6D" w:sz="12" w:space="12"/>
        </w:pBdr>
        <w:spacing w:before="280" w:after="280"/>
        <w:ind w:left="480" w:right="480"/>
      </w:pPr>
      <w:r>
        <w:rPr>
          <w:rFonts w:ascii="Georgia" w:cs="Georgia" w:eastAsia="Georgia" w:hAnsi="Georgia"/>
          <w:i/>
          <w:iCs/>
          <w:color w:val="7D6B5D"/>
          <w:sz w:val="26"/>
          <w:szCs w:val="26"/>
        </w:rPr>
        <w:t xml:space="preserve">Every entry records who asked, what they asked for, under what contract, when, and what the vault decided. Approvals and denials both. The trail is cryptographically enforced and tamper-evident. It is a complete record of every decision the vault has ever made on your behalf.</w:t>
      </w:r>
    </w:p>
    <w:p>
      <w:pPr>
        <w:spacing w:before="500" w:after="200"/>
      </w:pPr>
      <w:r>
        <w:rPr>
          <w:rFonts w:ascii="Georgia" w:cs="Georgia" w:eastAsia="Georgia" w:hAnsi="Georgia"/>
          <w:b/>
          <w:bCs/>
          <w:color w:val="2C3E50"/>
          <w:sz w:val="32"/>
          <w:szCs w:val="32"/>
        </w:rPr>
        <w:t xml:space="preserve">The trail across connection types</w:t>
      </w:r>
    </w:p>
    <w:p>
      <w:pPr>
        <w:spacing w:after="240" w:before="0" w:line="340"/>
        <w:jc w:val="left"/>
      </w:pPr>
      <w:r>
        <w:rPr>
          <w:rFonts w:ascii="Georgia" w:cs="Georgia" w:eastAsia="Georgia" w:hAnsi="Georgia"/>
          <w:color w:val="3A3A3A"/>
          <w:sz w:val="24"/>
          <w:szCs w:val="24"/>
        </w:rPr>
        <w:t xml:space="preserve">Different connections produce different audit patterns. The trail tells the story of each relationship, and the stories look different depending on the kind of connection.</w:t>
      </w:r>
    </w:p>
    <w:p>
      <w:pPr>
        <w:spacing w:before="360" w:after="160"/>
      </w:pPr>
      <w:r>
        <w:rPr>
          <w:rFonts w:ascii="Georgia" w:cs="Georgia" w:eastAsia="Georgia" w:hAnsi="Georgia"/>
          <w:b/>
          <w:bCs/>
          <w:color w:val="1565C0"/>
          <w:sz w:val="27"/>
          <w:szCs w:val="27"/>
        </w:rPr>
        <w:t xml:space="preserve">A retailer</w:t>
      </w:r>
    </w:p>
    <w:p>
      <w:pPr>
        <w:spacing w:after="240" w:before="0" w:line="340"/>
        <w:jc w:val="left"/>
      </w:pPr>
      <w:r>
        <w:rPr>
          <w:rFonts w:ascii="Georgia" w:cs="Georgia" w:eastAsia="Georgia" w:hAnsi="Georgia"/>
          <w:color w:val="3A3A3A"/>
          <w:sz w:val="24"/>
          <w:szCs w:val="24"/>
        </w:rPr>
        <w:t xml:space="preserve">A retailer hitting on-demand fields produces a steady, predictable pattern: shipping address requested at checkout, payment credential requested at checkout, loyalty credential checked periodically. The entries are regular and routine. If you look at the trail for this connection, you see a heartbeat — consistent, expected, unremarkable. That regularity is itself useful. If the pattern suddenly changes — the retailer starts requesting your email three times a day when it used to be once a month — the trail makes the change visible.</w:t>
      </w:r>
    </w:p>
    <w:p>
      <w:pPr>
        <w:spacing w:before="360" w:after="160"/>
      </w:pPr>
      <w:r>
        <w:rPr>
          <w:rFonts w:ascii="Georgia" w:cs="Georgia" w:eastAsia="Georgia" w:hAnsi="Georgia"/>
          <w:b/>
          <w:bCs/>
          <w:color w:val="1565C0"/>
          <w:sz w:val="27"/>
          <w:szCs w:val="27"/>
        </w:rPr>
        <w:t xml:space="preserve">A consent field</w:t>
      </w:r>
    </w:p>
    <w:p>
      <w:pPr>
        <w:spacing w:after="240" w:before="0" w:line="340"/>
        <w:jc w:val="left"/>
      </w:pPr>
      <w:r>
        <w:rPr>
          <w:rFonts w:ascii="Georgia" w:cs="Georgia" w:eastAsia="Georgia" w:hAnsi="Georgia"/>
          <w:color w:val="3A3A3A"/>
          <w:sz w:val="24"/>
          <w:szCs w:val="24"/>
        </w:rPr>
        <w:t xml:space="preserve">A consent field produces a two-part entry. First, the request: Acme Retail is requesting your date of birth for age verification. The request is logged with a status of pending. Then, your decision: approved at this time, or denied at this time, with whatever reason you gave or none. The two-part structure is important because it captures the delay. A request that sat pending for three days before you noticed it tells a different story than one you approved in ten seconds. Both are recorded.</w:t>
      </w:r>
    </w:p>
    <w:p>
      <w:pPr>
        <w:spacing w:before="360" w:after="160"/>
      </w:pPr>
      <w:r>
        <w:rPr>
          <w:rFonts w:ascii="Georgia" w:cs="Georgia" w:eastAsia="Georgia" w:hAnsi="Georgia"/>
          <w:b/>
          <w:bCs/>
          <w:color w:val="1565C0"/>
          <w:sz w:val="27"/>
          <w:szCs w:val="27"/>
        </w:rPr>
        <w:t xml:space="preserve">A long branch</w:t>
      </w:r>
    </w:p>
    <w:p>
      <w:pPr>
        <w:spacing w:after="240" w:before="0" w:line="340"/>
        <w:jc w:val="left"/>
      </w:pPr>
      <w:r>
        <w:rPr>
          <w:rFonts w:ascii="Georgia" w:cs="Georgia" w:eastAsia="Georgia" w:hAnsi="Georgia"/>
          <w:color w:val="3A3A3A"/>
          <w:sz w:val="24"/>
          <w:szCs w:val="24"/>
        </w:rPr>
        <w:t xml:space="preserve">When the NDA signing request travels from the legal service through the client project through your employer to your vault, your audit trail records the final hop: your employer’s vault requested a document signature, you reviewed the document, you approved, your vault signed it with your identity key. You see the request as it arrived at your vault — not the full chain. But every vault along the chain has its own audit trail recording its own hop. The complete story exists across multiple vaults, each recording its own piece. Your vault’s trail is your piece: what arrived, what you decided, what happened.</w:t>
      </w:r>
    </w:p>
    <w:p>
      <w:pPr>
        <w:spacing w:before="360" w:after="160"/>
      </w:pPr>
      <w:r>
        <w:rPr>
          <w:rFonts w:ascii="Georgia" w:cs="Georgia" w:eastAsia="Georgia" w:hAnsi="Georgia"/>
          <w:b/>
          <w:bCs/>
          <w:color w:val="1565C0"/>
          <w:sz w:val="27"/>
          <w:szCs w:val="27"/>
        </w:rPr>
        <w:t xml:space="preserve">A contract update</w:t>
      </w:r>
    </w:p>
    <w:p>
      <w:pPr>
        <w:spacing w:after="240" w:before="0" w:line="340"/>
        <w:jc w:val="left"/>
      </w:pPr>
      <w:r>
        <w:rPr>
          <w:rFonts w:ascii="Georgia" w:cs="Georgia" w:eastAsia="Georgia" w:hAnsi="Georgia"/>
          <w:color w:val="3A3A3A"/>
          <w:sz w:val="24"/>
          <w:szCs w:val="24"/>
        </w:rPr>
        <w:t xml:space="preserve">When a service publishes a new contract version, the trail records the notification, the diff (what changed), your decision (accepted or rejected), and the timestamp of each. If you rejected and the connection was severed, the trail records that too. If you accepted, every subsequent request is logged against the new contract version. The trail is the history of the relationship’s governance, not just its data access.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retailer’s trail shows a heartbeat of routine access. The consent field shows the pause between request and decision. The long branch shows your piece of a multi-vault chain. The contract update shows the governance history. Each connection tells its own story. The trail records all of them.</w:t>
      </w:r>
    </w:p>
    <w:p>
      <w:pPr>
        <w:spacing w:before="500" w:after="200"/>
      </w:pPr>
      <w:r>
        <w:rPr>
          <w:rFonts w:ascii="Georgia" w:cs="Georgia" w:eastAsia="Georgia" w:hAnsi="Georgia"/>
          <w:b/>
          <w:bCs/>
          <w:color w:val="2C3E50"/>
          <w:sz w:val="32"/>
          <w:szCs w:val="32"/>
        </w:rPr>
        <w:t xml:space="preserve">What you can do with it</w:t>
      </w:r>
    </w:p>
    <w:p>
      <w:pPr>
        <w:spacing w:after="240" w:before="0" w:line="340"/>
        <w:jc w:val="left"/>
      </w:pPr>
      <w:r>
        <w:rPr>
          <w:rFonts w:ascii="Georgia" w:cs="Georgia" w:eastAsia="Georgia" w:hAnsi="Georgia"/>
          <w:color w:val="3A3A3A"/>
          <w:sz w:val="24"/>
          <w:szCs w:val="24"/>
        </w:rPr>
        <w:t xml:space="preserve">The audit trail is not a compliance artifact you never look at. It is a tool that gives you visibility into relationships you have never been able to see before.</w:t>
      </w:r>
    </w:p>
    <w:p>
      <w:pPr>
        <w:spacing w:before="360" w:after="160"/>
      </w:pPr>
      <w:r>
        <w:rPr>
          <w:rFonts w:ascii="Georgia" w:cs="Georgia" w:eastAsia="Georgia" w:hAnsi="Georgia"/>
          <w:b/>
          <w:bCs/>
          <w:color w:val="1565C0"/>
          <w:sz w:val="27"/>
          <w:szCs w:val="27"/>
        </w:rPr>
        <w:t xml:space="preserve">Browse by connection</w:t>
      </w:r>
    </w:p>
    <w:p>
      <w:pPr>
        <w:spacing w:after="240" w:before="0" w:line="340"/>
        <w:jc w:val="left"/>
      </w:pPr>
      <w:r>
        <w:rPr>
          <w:rFonts w:ascii="Georgia" w:cs="Georgia" w:eastAsia="Georgia" w:hAnsi="Georgia"/>
          <w:color w:val="3A3A3A"/>
          <w:sz w:val="24"/>
          <w:szCs w:val="24"/>
        </w:rPr>
        <w:t xml:space="preserve">You can pull up the audit trail for any connection and see its complete history. Every request Acme Retail has ever made. Every field your employer’s vault has accessed. Every signing request that arrived through your work branch. The trail is organized by connection because your relationships are organized by connection. You do not need to search through a global log. You look at the connection and its story is there.</w:t>
      </w:r>
    </w:p>
    <w:p>
      <w:pPr>
        <w:spacing w:before="360" w:after="160"/>
      </w:pPr>
      <w:r>
        <w:rPr>
          <w:rFonts w:ascii="Georgia" w:cs="Georgia" w:eastAsia="Georgia" w:hAnsi="Georgia"/>
          <w:b/>
          <w:bCs/>
          <w:color w:val="1565C0"/>
          <w:sz w:val="27"/>
          <w:szCs w:val="27"/>
        </w:rPr>
        <w:t xml:space="preserve">Spot patterns</w:t>
      </w:r>
    </w:p>
    <w:p>
      <w:pPr>
        <w:spacing w:after="240" w:before="0" w:line="340"/>
        <w:jc w:val="left"/>
      </w:pPr>
      <w:r>
        <w:rPr>
          <w:rFonts w:ascii="Georgia" w:cs="Georgia" w:eastAsia="Georgia" w:hAnsi="Georgia"/>
          <w:color w:val="3A3A3A"/>
          <w:sz w:val="24"/>
          <w:szCs w:val="24"/>
        </w:rPr>
        <w:t xml:space="preserve">A service that is hitting your vault 95 times an hour when the contract allows 100 is technically within limits but worth noticing. A service that was granted an optional field six months ago but has never actually requested it probably does not need it. A service that requests your location at 3 AM when it is a retail checkout app is suspicious. None of these are contract violations. All of them are patterns that only become visible when you have a complete record of every interaction. The trail makes the invisible visible.</w:t>
      </w:r>
    </w:p>
    <w:p>
      <w:pPr>
        <w:spacing w:before="360" w:after="160"/>
      </w:pPr>
      <w:r>
        <w:rPr>
          <w:rFonts w:ascii="Georgia" w:cs="Georgia" w:eastAsia="Georgia" w:hAnsi="Georgia"/>
          <w:b/>
          <w:bCs/>
          <w:color w:val="1565C0"/>
          <w:sz w:val="27"/>
          <w:szCs w:val="27"/>
        </w:rPr>
        <w:t xml:space="preserve">Prove what happened</w:t>
      </w:r>
    </w:p>
    <w:p>
      <w:pPr>
        <w:spacing w:after="240" w:before="0" w:line="340"/>
        <w:jc w:val="left"/>
      </w:pPr>
      <w:r>
        <w:rPr>
          <w:rFonts w:ascii="Georgia" w:cs="Georgia" w:eastAsia="Georgia" w:hAnsi="Georgia"/>
          <w:color w:val="3A3A3A"/>
          <w:sz w:val="24"/>
          <w:szCs w:val="24"/>
        </w:rPr>
        <w:t xml:space="preserve">If a dispute arises — a service claims you authorized a payment, you claim you did not — the audit trail is the definitive record. The entry shows whether the request arrived, whether you approved it, when, and under what contract version. Because the trail is cryptographically enforced, the entry cannot have been altered after the fact. It is not your word against the service’s word. It is the record.</w:t>
      </w:r>
    </w:p>
    <w:p>
      <w:pPr>
        <w:spacing w:before="360" w:after="160"/>
      </w:pPr>
      <w:r>
        <w:rPr>
          <w:rFonts w:ascii="Georgia" w:cs="Georgia" w:eastAsia="Georgia" w:hAnsi="Georgia"/>
          <w:b/>
          <w:bCs/>
          <w:color w:val="1565C0"/>
          <w:sz w:val="27"/>
          <w:szCs w:val="27"/>
        </w:rPr>
        <w:t xml:space="preserve">Decide who to trust</w:t>
      </w:r>
    </w:p>
    <w:p>
      <w:pPr>
        <w:spacing w:after="240" w:before="0" w:line="340"/>
        <w:jc w:val="left"/>
      </w:pPr>
      <w:r>
        <w:rPr>
          <w:rFonts w:ascii="Georgia" w:cs="Georgia" w:eastAsia="Georgia" w:hAnsi="Georgia"/>
          <w:color w:val="3A3A3A"/>
          <w:sz w:val="24"/>
          <w:szCs w:val="24"/>
        </w:rPr>
        <w:t xml:space="preserve">Over time, the audit trail becomes the basis for trust decisions. A service with a clean trail — predictable requests, within contract terms, no denied attempts for unauthorized fields — earns confidence. A service with a trail full of rate limit warnings, out-of-contract field requests, and frequent contract updates asking for more data reveals its character. You are no longer trusting a brand or a privacy policy. You are trusting a record. And the record is in your vault, not theirs.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audit trail is not a report you generate once a year. It is a living record you can browse, query, and learn from. It shows patterns. It settles disputes. It informs trust. And because it is cryptographically enforced, it is evidence — not testimony.</w:t>
      </w:r>
    </w:p>
    <w:p>
      <w:pPr>
        <w:spacing w:before="500" w:after="200"/>
      </w:pPr>
      <w:r>
        <w:rPr>
          <w:rFonts w:ascii="Georgia" w:cs="Georgia" w:eastAsia="Georgia" w:hAnsi="Georgia"/>
          <w:b/>
          <w:bCs/>
          <w:color w:val="2C3E50"/>
          <w:sz w:val="32"/>
          <w:szCs w:val="32"/>
        </w:rPr>
        <w:t xml:space="preserve">Why existing audit approaches fail</w:t>
      </w:r>
    </w:p>
    <w:p>
      <w:pPr>
        <w:spacing w:after="240" w:before="0" w:line="340"/>
        <w:jc w:val="left"/>
      </w:pPr>
      <w:r>
        <w:rPr>
          <w:rFonts w:ascii="Georgia" w:cs="Georgia" w:eastAsia="Georgia" w:hAnsi="Georgia"/>
          <w:color w:val="3A3A3A"/>
          <w:sz w:val="24"/>
          <w:szCs w:val="24"/>
        </w:rPr>
        <w:t xml:space="preserve">Today’s audit model is built on a fundamental problem: the entity being audited controls the audit trail.</w:t>
      </w:r>
    </w:p>
    <w:p>
      <w:pPr>
        <w:spacing w:before="360" w:after="160"/>
      </w:pPr>
      <w:r>
        <w:rPr>
          <w:rFonts w:ascii="Georgia" w:cs="Georgia" w:eastAsia="Georgia" w:hAnsi="Georgia"/>
          <w:b/>
          <w:bCs/>
          <w:color w:val="1565C0"/>
          <w:sz w:val="27"/>
          <w:szCs w:val="27"/>
        </w:rPr>
        <w:t xml:space="preserve">The service holds the log</w:t>
      </w:r>
    </w:p>
    <w:p>
      <w:pPr>
        <w:spacing w:after="240" w:before="0" w:line="340"/>
        <w:jc w:val="left"/>
      </w:pPr>
      <w:r>
        <w:rPr>
          <w:rFonts w:ascii="Georgia" w:cs="Georgia" w:eastAsia="Georgia" w:hAnsi="Georgia"/>
          <w:color w:val="3A3A3A"/>
          <w:sz w:val="24"/>
          <w:szCs w:val="24"/>
        </w:rPr>
        <w:t xml:space="preserve">When a company accesses your data, the company logs that access in the company’s system. You have no visibility into the log. You have no way to verify that the log is complete. You have no way to know if entries were modified, deleted, or never written in the first place. The log is the company’s testimony about its own behavior. And you are expected to trust it.</w:t>
      </w:r>
    </w:p>
    <w:p>
      <w:pPr>
        <w:spacing w:after="240" w:before="0" w:line="340"/>
        <w:jc w:val="left"/>
      </w:pPr>
      <w:r>
        <w:rPr>
          <w:rFonts w:ascii="Georgia" w:cs="Georgia" w:eastAsia="Georgia" w:hAnsi="Georgia"/>
          <w:color w:val="3A3A3A"/>
          <w:sz w:val="24"/>
          <w:szCs w:val="24"/>
        </w:rPr>
        <w:t xml:space="preserve">GDPR gives you the right to request your data. But the company decides what to include in the response. SOC 2 certifies that the company has controls in place. But the certification is a snapshot, not a continuous guarantee. Breach notifications come after the breach, often weeks or months later. By the time you learn what happened, the damage is done and the log is whatever the company says it is.</w:t>
      </w:r>
    </w:p>
    <w:p>
      <w:pPr>
        <w:spacing w:before="360" w:after="160"/>
      </w:pPr>
      <w:r>
        <w:rPr>
          <w:rFonts w:ascii="Georgia" w:cs="Georgia" w:eastAsia="Georgia" w:hAnsi="Georgia"/>
          <w:b/>
          <w:bCs/>
          <w:color w:val="1565C0"/>
          <w:sz w:val="27"/>
          <w:szCs w:val="27"/>
        </w:rPr>
        <w:t xml:space="preserve">ZKT inverts the log</w:t>
      </w:r>
    </w:p>
    <w:p>
      <w:pPr>
        <w:spacing w:after="240" w:before="0" w:line="340"/>
        <w:jc w:val="left"/>
      </w:pPr>
      <w:r>
        <w:rPr>
          <w:rFonts w:ascii="Georgia" w:cs="Georgia" w:eastAsia="Georgia" w:hAnsi="Georgia"/>
          <w:color w:val="3A3A3A"/>
          <w:sz w:val="24"/>
          <w:szCs w:val="24"/>
        </w:rPr>
        <w:t xml:space="preserve">In ZKT, the log is in your vault. Not the service’s vault. Yours. Every request the service makes passes through your vault manager, and your vault manager records it. The service does not get to decide what is logged. The service does not get to modify entries. The service does not get to omit inconvenient requests. The log exists because the architecture produces it, and it lives where the service cannot touch it.</w:t>
      </w:r>
    </w:p>
    <w:p>
      <w:pPr>
        <w:spacing w:after="240" w:before="0" w:line="340"/>
        <w:jc w:val="left"/>
      </w:pPr>
      <w:r>
        <w:rPr>
          <w:rFonts w:ascii="Georgia" w:cs="Georgia" w:eastAsia="Georgia" w:hAnsi="Georgia"/>
          <w:color w:val="3A3A3A"/>
          <w:sz w:val="24"/>
          <w:szCs w:val="24"/>
        </w:rPr>
        <w:t xml:space="preserve">This inversion is subtle but profound. The entire regulatory framework for data privacy — GDPR, CCPA, HIPAA — is built on the assumption that the service holds the data and the service controls access. The regulations try to constrain what the service does with your data through rules, penalties, and audits. But the enforcement is always reactive: investigate, discover, penalize, after the fact. ZKT makes the enforcement structural. The vault checks every request before the data is exposed. The trail records every check. And the trail is in the user’s hands, not the company’s.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Today, the entity being audited controls the audit trail. In ZKT, the trail is in your vault. The service does not write the log. The service does not hold the log. The service cannot alter the log. The architecture writes it. You hold it. That is the inversion.</w:t>
      </w:r>
    </w:p>
    <w:p>
      <w:pPr>
        <w:spacing w:before="500" w:after="200"/>
      </w:pPr>
      <w:r>
        <w:rPr>
          <w:rFonts w:ascii="Georgia" w:cs="Georgia" w:eastAsia="Georgia" w:hAnsi="Georgia"/>
          <w:b/>
          <w:bCs/>
          <w:color w:val="2C3E50"/>
          <w:sz w:val="32"/>
          <w:szCs w:val="32"/>
        </w:rPr>
        <w:t xml:space="preserve">The compliance gift</w:t>
      </w:r>
    </w:p>
    <w:p>
      <w:pPr>
        <w:spacing w:after="240" w:before="0" w:line="340"/>
        <w:jc w:val="left"/>
      </w:pPr>
      <w:r>
        <w:rPr>
          <w:rFonts w:ascii="Georgia" w:cs="Georgia" w:eastAsia="Georgia" w:hAnsi="Georgia"/>
          <w:color w:val="3A3A3A"/>
          <w:sz w:val="24"/>
          <w:szCs w:val="24"/>
        </w:rPr>
        <w:t xml:space="preserve">Everything so far has been about the user. But the audit trail has a second audience: the organizations on the other side of the connection.</w:t>
      </w:r>
    </w:p>
    <w:p>
      <w:pPr>
        <w:spacing w:after="240" w:before="0" w:line="340"/>
        <w:jc w:val="left"/>
      </w:pPr>
      <w:r>
        <w:rPr>
          <w:rFonts w:ascii="Georgia" w:cs="Georgia" w:eastAsia="Georgia" w:hAnsi="Georgia"/>
          <w:color w:val="3A3A3A"/>
          <w:sz w:val="24"/>
          <w:szCs w:val="24"/>
        </w:rPr>
        <w:t xml:space="preserve">Organizations spend enormous effort on compliance logging. They build centralized audit systems. They configure retention policies. They hire teams to monitor, review, and report. They undergo annual audits where external firms verify that the controls exist and that the logs are intact. All of this effort is aimed at answering one question: can we prove that we handled user data correctly?</w:t>
      </w:r>
    </w:p>
    <w:p>
      <w:pPr>
        <w:spacing w:after="240" w:before="0" w:line="340"/>
        <w:jc w:val="left"/>
      </w:pPr>
      <w:r>
        <w:rPr>
          <w:rFonts w:ascii="Georgia" w:cs="Georgia" w:eastAsia="Georgia" w:hAnsi="Georgia"/>
          <w:color w:val="3A3A3A"/>
          <w:sz w:val="24"/>
          <w:szCs w:val="24"/>
        </w:rPr>
        <w:t xml:space="preserve">ZKT gives organizations something they have never had: an audit trail that is complete by construction. The organization does not need to instrument every endpoint, because there is only one endpoint — the vault manager. The organization does not need to worry about developers forgetting to log, because logging is not a developer responsibility — it is a structural property of the architecture. The organization does not need to prove that its logs are tamper-free, because the trail is cryptographically enforced in the user’s vault, outside the organization’s control.</w:t>
      </w:r>
    </w:p>
    <w:p>
      <w:pPr>
        <w:spacing w:after="240" w:before="0" w:line="340"/>
        <w:jc w:val="left"/>
      </w:pPr>
      <w:r>
        <w:rPr>
          <w:rFonts w:ascii="Georgia" w:cs="Georgia" w:eastAsia="Georgia" w:hAnsi="Georgia"/>
          <w:color w:val="3A3A3A"/>
          <w:sz w:val="24"/>
          <w:szCs w:val="24"/>
        </w:rPr>
        <w:t xml:space="preserve">An organization that connects to users through the vine can point to the architecture and make a statement that no policy document can match: every interaction with user data is logged because no interaction can bypass the vault manager, and the log is cryptographically enforced in a system we do not control. That is not a compliance checkbox. That is a compliance architecture.</w:t>
      </w:r>
    </w:p>
    <w:p>
      <w:pPr>
        <w:spacing w:before="360" w:after="160"/>
      </w:pPr>
      <w:r>
        <w:rPr>
          <w:rFonts w:ascii="Georgia" w:cs="Georgia" w:eastAsia="Georgia" w:hAnsi="Georgia"/>
          <w:b/>
          <w:bCs/>
          <w:color w:val="1565C0"/>
          <w:sz w:val="27"/>
          <w:szCs w:val="27"/>
        </w:rPr>
        <w:t xml:space="preserve">The regulator’s perspective</w:t>
      </w:r>
    </w:p>
    <w:p>
      <w:pPr>
        <w:spacing w:after="240" w:before="0" w:line="340"/>
        <w:jc w:val="left"/>
      </w:pPr>
      <w:r>
        <w:rPr>
          <w:rFonts w:ascii="Georgia" w:cs="Georgia" w:eastAsia="Georgia" w:hAnsi="Georgia"/>
          <w:color w:val="3A3A3A"/>
          <w:sz w:val="24"/>
          <w:szCs w:val="24"/>
        </w:rPr>
        <w:t xml:space="preserve">From a regulator’s perspective, the ZKT audit trail changes the conversation. Instead of asking “did this company follow its own policies?” the regulator can ask “does the architecture enforce the policies?” The answer is verifiable. The vault manager checks every request against the contract. The contract is a machine-readable declaration of the terms. The trail is a complete record of every check. None of this depends on the company’s honesty, diligence, or internal controls. It depends on the architecture.</w:t>
      </w:r>
    </w:p>
    <w:p>
      <w:pPr>
        <w:spacing w:after="240" w:before="0" w:line="340"/>
        <w:jc w:val="left"/>
      </w:pPr>
      <w:r>
        <w:rPr>
          <w:rFonts w:ascii="Georgia" w:cs="Georgia" w:eastAsia="Georgia" w:hAnsi="Georgia"/>
          <w:color w:val="3A3A3A"/>
          <w:sz w:val="24"/>
          <w:szCs w:val="24"/>
        </w:rPr>
        <w:t xml:space="preserve">This does not eliminate regulation. Organizations still need policies about what contracts they publish, what data they request, and how they use what they receive. But the gap between policy and enforcement — the gap that every breach, every scandal, and every fine falls through — is closed by the architecture. The audit trail is the proof that the gap is closed, and the proof lives in the user’s vault.</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audit trail is a side effect that solves a problem the industry has spent billions trying to solve. Complete by construction. Cryptographically enforced. In the user’s hands, not the company’s. It does not replace regulation. It makes regulation enforceable. The architecture writes the proof. The vault holds it. Nobody needs to trust anyone. The trail is the trust.</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The Accidental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2026-02-21T22:27:37.571Z</dcterms:created>
  <dcterms:modified xsi:type="dcterms:W3CDTF">2026-02-21T22:27:37.572Z</dcterms:modified>
</cp:coreProperties>
</file>

<file path=docProps/custom.xml><?xml version="1.0" encoding="utf-8"?>
<Properties xmlns="http://schemas.openxmlformats.org/officeDocument/2006/custom-properties" xmlns:vt="http://schemas.openxmlformats.org/officeDocument/2006/docPropsVTypes"/>
</file>