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00"/>
      </w:pPr>
      <w:r>
        <w:rPr>
          <w:rFonts w:ascii="Georgia" w:cs="Georgia" w:eastAsia="Georgia" w:hAnsi="Georgia"/>
          <w:b/>
          <w:bCs/>
          <w:color w:val="2C3E50"/>
          <w:sz w:val="52"/>
          <w:szCs w:val="52"/>
        </w:rPr>
        <w:t xml:space="preserve">The Individual Is the Infrastructure</w:t>
      </w:r>
    </w:p>
    <w:p>
      <w:pPr>
        <w:spacing w:after="120"/>
      </w:pPr>
      <w:r>
        <w:rPr>
          <w:rFonts w:ascii="Georgia" w:cs="Georgia" w:eastAsia="Georgia" w:hAnsi="Georgia"/>
          <w:i/>
          <w:iCs/>
          <w:color w:val="1A7A6D"/>
          <w:sz w:val="26"/>
          <w:szCs w:val="26"/>
        </w:rPr>
        <w:t xml:space="preserve">Why digital sovereignty begins with the person — and why nations that deny it will fall behind</w:t>
      </w:r>
    </w:p>
    <w:p>
      <w:pPr>
        <w:pBdr>
          <w:bottom w:val="single" w:color="1A7A6D" w:sz="4" w:space="1"/>
        </w:pBdr>
        <w:spacing w:after="600"/>
      </w:pPr>
    </w:p>
    <w:p>
      <w:pPr>
        <w:spacing w:after="0" w:before="0" w:line="340"/>
        <w:jc w:val="left"/>
      </w:pPr>
      <w:r>
        <w:rPr>
          <w:rFonts w:ascii="Georgia" w:cs="Georgia" w:eastAsia="Georgia" w:hAnsi="Georgia"/>
          <w:b w:val="false"/>
          <w:bCs w:val="false"/>
          <w:i w:val="false"/>
          <w:iCs w:val="false"/>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question underneath the question</w:t>
      </w:r>
    </w:p>
    <w:p>
      <w:pPr>
        <w:spacing w:after="240" w:before="0" w:line="340"/>
        <w:jc w:val="left"/>
      </w:pPr>
      <w:r>
        <w:rPr>
          <w:rFonts w:ascii="Georgia" w:cs="Georgia" w:eastAsia="Georgia" w:hAnsi="Georgia"/>
          <w:b w:val="false"/>
          <w:bCs w:val="false"/>
          <w:i w:val="false"/>
          <w:iCs w:val="false"/>
          <w:color w:val="3A3A3A"/>
          <w:sz w:val="24"/>
          <w:szCs w:val="24"/>
        </w:rPr>
        <w:t xml:space="preserve">Every debate about cybersecurity, data privacy, and AI governance eventually reaches the same fork in the road. One path leads to centralized control: governments and institutions holding the keys, managing identities, gatekeeping access. The other path leads to individual sovereignty: people holding their own keys, managing their own identities, controlling their own access.</w:t>
      </w:r>
    </w:p>
    <w:p>
      <w:pPr>
        <w:spacing w:after="240" w:before="0" w:line="340"/>
        <w:jc w:val="left"/>
      </w:pPr>
      <w:r>
        <w:rPr>
          <w:rFonts w:ascii="Georgia" w:cs="Georgia" w:eastAsia="Georgia" w:hAnsi="Georgia"/>
          <w:b w:val="false"/>
          <w:bCs w:val="false"/>
          <w:i w:val="false"/>
          <w:iCs w:val="false"/>
          <w:color w:val="3A3A3A"/>
          <w:sz w:val="24"/>
          <w:szCs w:val="24"/>
        </w:rPr>
        <w:t xml:space="preserve">Most nations have chosen centralized control by default, not necessarily by deliberate decision but because the available technology assumed it. Databases need administrators. Networks need gatekeepers. Identity systems need issuers. Someone has to hold the keys, and for most of digital history, that someone has been an institution.</w:t>
      </w:r>
    </w:p>
    <w:p>
      <w:pPr>
        <w:spacing w:after="240" w:before="0" w:line="340"/>
        <w:jc w:val="left"/>
      </w:pPr>
      <w:r>
        <w:rPr>
          <w:rFonts w:ascii="Georgia" w:cs="Georgia" w:eastAsia="Georgia" w:hAnsi="Georgia"/>
          <w:b w:val="false"/>
          <w:bCs w:val="false"/>
          <w:i w:val="false"/>
          <w:iCs w:val="false"/>
          <w:color w:val="3A3A3A"/>
          <w:sz w:val="24"/>
          <w:szCs w:val="24"/>
        </w:rPr>
        <w:t xml:space="preserve">This paper makes a straightforward architectural argument: centralized control of digital identity is a structural vulnerability that becomes more dangerous as computing advances. Individual digital sovereignty is not just a philosophical preference. It is the only model that scales securely into the agentic era. And nations that fail to enable it will face cascading consequences — in security, in economic competitiveness, and in human rights.</w:t>
      </w:r>
    </w:p>
    <w:p>
      <w:pPr>
        <w:spacing w:after="240" w:before="0" w:line="340"/>
        <w:jc w:val="left"/>
      </w:pPr>
      <w:r>
        <w:rPr>
          <w:rFonts w:ascii="Georgia" w:cs="Georgia" w:eastAsia="Georgia" w:hAnsi="Georgia"/>
          <w:b w:val="false"/>
          <w:bCs w:val="false"/>
          <w:i w:val="false"/>
          <w:iCs w:val="false"/>
          <w:color w:val="3A3A3A"/>
          <w:sz w:val="24"/>
          <w:szCs w:val="24"/>
        </w:rPr>
        <w:t xml:space="preserve">The argument proceeds on facts, not sentiment. The evidence is already substantial and growing.</w:t>
      </w:r>
    </w:p>
    <w:p>
      <w:pPr>
        <w:spacing w:before="500" w:after="200"/>
      </w:pPr>
      <w:r>
        <w:rPr>
          <w:rFonts w:ascii="Georgia" w:cs="Georgia" w:eastAsia="Georgia" w:hAnsi="Georgia"/>
          <w:b/>
          <w:bCs/>
          <w:color w:val="2C3E50"/>
          <w:sz w:val="32"/>
          <w:szCs w:val="32"/>
        </w:rPr>
        <w:t xml:space="preserve">The empirical record of centralized identity</w:t>
      </w:r>
    </w:p>
    <w:p>
      <w:pPr>
        <w:spacing w:after="240" w:before="0" w:line="340"/>
        <w:jc w:val="left"/>
      </w:pPr>
      <w:r>
        <w:rPr>
          <w:rFonts w:ascii="Georgia" w:cs="Georgia" w:eastAsia="Georgia" w:hAnsi="Georgia"/>
          <w:b w:val="false"/>
          <w:bCs w:val="false"/>
          <w:i w:val="false"/>
          <w:iCs w:val="false"/>
          <w:color w:val="3A3A3A"/>
          <w:sz w:val="24"/>
          <w:szCs w:val="24"/>
        </w:rPr>
        <w:t xml:space="preserve">The case against centralized identity systems does not rest on theory. It rests on a consistent, global pattern of catastrophic failures that share a common cause: single points of trust that, when compromised, expose entire populations.</w:t>
      </w:r>
    </w:p>
    <w:p>
      <w:pPr>
        <w:shd w:fill="EDF6F4" w:val="clear"/>
        <w:spacing w:before="160" w:after="160" w:line="300"/>
        <w:ind w:left="360" w:right="360"/>
      </w:pPr>
      <w:r>
        <w:rPr>
          <w:rFonts w:ascii="Arial" w:cs="Arial" w:eastAsia="Arial" w:hAnsi="Arial"/>
          <w:b/>
          <w:bCs/>
          <w:color w:val="2C3E50"/>
          <w:sz w:val="21"/>
          <w:szCs w:val="21"/>
        </w:rPr>
        <w:t xml:space="preserve">United States, 2015: </w:t>
      </w:r>
      <w:r>
        <w:rPr>
          <w:rFonts w:ascii="Arial" w:cs="Arial" w:eastAsia="Arial" w:hAnsi="Arial"/>
          <w:color w:val="2C3E50"/>
          <w:sz w:val="21"/>
          <w:szCs w:val="21"/>
        </w:rPr>
        <w:t xml:space="preserve">The Office of Personnel Management (OPM) breach exposed 22.1 million records, including fingerprints, Social Security numbers, and detailed background investigation files for federal employees and contractors. The data was held in a centralized system because centralized management was considered more efficient and secure than distributed alternatives.</w:t>
      </w:r>
    </w:p>
    <w:p>
      <w:pPr>
        <w:shd w:fill="EDF6F4" w:val="clear"/>
        <w:spacing w:before="160" w:after="160" w:line="300"/>
        <w:ind w:left="360" w:right="360"/>
      </w:pPr>
      <w:r>
        <w:rPr>
          <w:rFonts w:ascii="Arial" w:cs="Arial" w:eastAsia="Arial" w:hAnsi="Arial"/>
          <w:b/>
          <w:bCs/>
          <w:color w:val="2C3E50"/>
          <w:sz w:val="21"/>
          <w:szCs w:val="21"/>
        </w:rPr>
        <w:t xml:space="preserve">India, 2018–2023: </w:t>
      </w:r>
      <w:r>
        <w:rPr>
          <w:rFonts w:ascii="Arial" w:cs="Arial" w:eastAsia="Arial" w:hAnsi="Arial"/>
          <w:color w:val="2C3E50"/>
          <w:sz w:val="21"/>
          <w:szCs w:val="21"/>
        </w:rPr>
        <w:t xml:space="preserve">The Aadhaar biometric identity system, covering over 1.3 billion people, has experienced multiple documented data exposures. Because Aadhaar is centralized and biometric, the compromised data — fingerprints, iris scans — cannot be reset. Unlike a password, a fingerprint is permanent. A single breach creates a permanent vulnerability for every affected individual.</w:t>
      </w:r>
    </w:p>
    <w:p>
      <w:pPr>
        <w:shd w:fill="EDF6F4" w:val="clear"/>
        <w:spacing w:before="160" w:after="160" w:line="300"/>
        <w:ind w:left="360" w:right="360"/>
      </w:pPr>
      <w:r>
        <w:rPr>
          <w:rFonts w:ascii="Arial" w:cs="Arial" w:eastAsia="Arial" w:hAnsi="Arial"/>
          <w:b/>
          <w:bCs/>
          <w:color w:val="2C3E50"/>
          <w:sz w:val="21"/>
          <w:szCs w:val="21"/>
        </w:rPr>
        <w:t xml:space="preserve">Estonia, 2017: </w:t>
      </w:r>
      <w:r>
        <w:rPr>
          <w:rFonts w:ascii="Arial" w:cs="Arial" w:eastAsia="Arial" w:hAnsi="Arial"/>
          <w:color w:val="2C3E50"/>
          <w:sz w:val="21"/>
          <w:szCs w:val="21"/>
        </w:rPr>
        <w:t xml:space="preserve">A vulnerability in the chips used for Estonia’s national ID cards affected 750,000 cards — roughly 60% of the country’s population. The government had to suspend the digital identity system while cards were replaced. Estonia’s system is widely considered one of the best-designed national digital identity programs in the world. The vulnerability was in the centralized hardware supply chain.</w:t>
      </w:r>
    </w:p>
    <w:p>
      <w:pPr>
        <w:shd w:fill="EDF6F4" w:val="clear"/>
        <w:spacing w:before="160" w:after="160" w:line="300"/>
        <w:ind w:left="360" w:right="360"/>
      </w:pPr>
      <w:r>
        <w:rPr>
          <w:rFonts w:ascii="Arial" w:cs="Arial" w:eastAsia="Arial" w:hAnsi="Arial"/>
          <w:b/>
          <w:bCs/>
          <w:color w:val="2C3E50"/>
          <w:sz w:val="21"/>
          <w:szCs w:val="21"/>
        </w:rPr>
        <w:t xml:space="preserve">Brazil, 2020: </w:t>
      </w:r>
      <w:r>
        <w:rPr>
          <w:rFonts w:ascii="Arial" w:cs="Arial" w:eastAsia="Arial" w:hAnsi="Arial"/>
          <w:color w:val="2C3E50"/>
          <w:sz w:val="21"/>
          <w:szCs w:val="21"/>
        </w:rPr>
        <w:t xml:space="preserve">A misconfigured government server exposed the personal data of 243 million Brazilians — more than the country’s living population, because the database included deceased individuals. Names, tax IDs, dates of birth, and full addresses were accessible to anyone with an internet connection.</w:t>
      </w:r>
    </w:p>
    <w:p>
      <w:pPr>
        <w:shd w:fill="EDF6F4" w:val="clear"/>
        <w:spacing w:before="160" w:after="160" w:line="300"/>
        <w:ind w:left="360" w:right="360"/>
      </w:pPr>
      <w:r>
        <w:rPr>
          <w:rFonts w:ascii="Arial" w:cs="Arial" w:eastAsia="Arial" w:hAnsi="Arial"/>
          <w:b/>
          <w:bCs/>
          <w:color w:val="2C3E50"/>
          <w:sz w:val="21"/>
          <w:szCs w:val="21"/>
        </w:rPr>
        <w:t xml:space="preserve">Australia, 2022: </w:t>
      </w:r>
      <w:r>
        <w:rPr>
          <w:rFonts w:ascii="Arial" w:cs="Arial" w:eastAsia="Arial" w:hAnsi="Arial"/>
          <w:color w:val="2C3E50"/>
          <w:sz w:val="21"/>
          <w:szCs w:val="21"/>
        </w:rPr>
        <w:t xml:space="preserve">The Optus telecommunications breach exposed the identity documents of 9.8 million Australians — nearly 40% of the population — including passport numbers and driver’s license details. One company’s centralized database compromised the identity security of a significant fraction of the nation.</w:t>
      </w:r>
    </w:p>
    <w:p>
      <w:pPr>
        <w:spacing w:after="240" w:before="0" w:line="340"/>
        <w:jc w:val="left"/>
      </w:pPr>
      <w:r>
        <w:rPr>
          <w:rFonts w:ascii="Georgia" w:cs="Georgia" w:eastAsia="Georgia" w:hAnsi="Georgia"/>
          <w:b w:val="false"/>
          <w:bCs w:val="false"/>
          <w:i w:val="false"/>
          <w:iCs w:val="false"/>
          <w:color w:val="3A3A3A"/>
          <w:sz w:val="24"/>
          <w:szCs w:val="24"/>
        </w:rPr>
        <w:t xml:space="preserve">The pattern is not anomalous. It is structural. Centralized identity databases concentrate value, which concentrates targeting. The more people a single system covers, the greater the incentive to breach it. And because centralized systems must store identity data in a form they can process, a breach of the system is a breach of every identity within it.</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technology failure. It is an architecture failure. The technology at each of these organizations was, by contemporary standards, competent. The architecture — centralized trust, centralized storage, centralized points of compromise — guaranteed that competent technology would still produce catastrophic outcomes.</w:t>
      </w:r>
    </w:p>
    <w:p>
      <w:pPr>
        <w:spacing w:before="500" w:after="200"/>
      </w:pPr>
      <w:r>
        <w:rPr>
          <w:rFonts w:ascii="Georgia" w:cs="Georgia" w:eastAsia="Georgia" w:hAnsi="Georgia"/>
          <w:b/>
          <w:bCs/>
          <w:color w:val="2C3E50"/>
          <w:sz w:val="32"/>
          <w:szCs w:val="32"/>
        </w:rPr>
        <w:t xml:space="preserve">The mathematical case for individual sovereignty</w:t>
      </w:r>
    </w:p>
    <w:p>
      <w:pPr>
        <w:spacing w:after="240" w:before="0" w:line="340"/>
        <w:jc w:val="left"/>
      </w:pPr>
      <w:r>
        <w:rPr>
          <w:rFonts w:ascii="Georgia" w:cs="Georgia" w:eastAsia="Georgia" w:hAnsi="Georgia"/>
          <w:b w:val="false"/>
          <w:bCs w:val="false"/>
          <w:i w:val="false"/>
          <w:iCs w:val="false"/>
          <w:color w:val="3A3A3A"/>
          <w:sz w:val="24"/>
          <w:szCs w:val="24"/>
        </w:rPr>
        <w:t xml:space="preserve">Set aside policy preferences and examine the architecture mathematically.</w:t>
      </w:r>
    </w:p>
    <w:p>
      <w:pPr>
        <w:spacing w:after="240" w:before="0" w:line="340"/>
        <w:jc w:val="left"/>
      </w:pPr>
      <w:r>
        <w:rPr>
          <w:rFonts w:ascii="Georgia" w:cs="Georgia" w:eastAsia="Georgia" w:hAnsi="Georgia"/>
          <w:b/>
          <w:bCs/>
          <w:color w:val="3A3A3A"/>
          <w:sz w:val="24"/>
          <w:szCs w:val="24"/>
        </w:rPr>
        <w:t xml:space="preserve">In a centralized identity system, </w:t>
      </w:r>
      <w:r>
        <w:rPr>
          <w:rFonts w:ascii="Georgia" w:cs="Georgia" w:eastAsia="Georgia" w:hAnsi="Georgia"/>
          <w:color w:val="3A3A3A"/>
          <w:sz w:val="24"/>
          <w:szCs w:val="24"/>
        </w:rPr>
        <w:t xml:space="preserve">the blast radius of a single breach scales with the population covered. A system holding 100 million identities creates a target whose compromise exposes 100 million people. The attacker needs to succeed once. The defender needs to succeed every time. This asymmetry worsens as the system grows, because the value of the target increases linearly while the cost of defense increases nonlinearly.</w:t>
      </w:r>
    </w:p>
    <w:p>
      <w:pPr>
        <w:spacing w:after="240" w:before="0" w:line="340"/>
        <w:jc w:val="left"/>
      </w:pPr>
      <w:r>
        <w:rPr>
          <w:rFonts w:ascii="Georgia" w:cs="Georgia" w:eastAsia="Georgia" w:hAnsi="Georgia"/>
          <w:b/>
          <w:bCs/>
          <w:color w:val="3A3A3A"/>
          <w:sz w:val="24"/>
          <w:szCs w:val="24"/>
        </w:rPr>
        <w:t xml:space="preserve">In a sovereign identity system, </w:t>
      </w:r>
      <w:r>
        <w:rPr>
          <w:rFonts w:ascii="Georgia" w:cs="Georgia" w:eastAsia="Georgia" w:hAnsi="Georgia"/>
          <w:color w:val="3A3A3A"/>
          <w:sz w:val="24"/>
          <w:szCs w:val="24"/>
        </w:rPr>
        <w:t xml:space="preserve">the blast radius of a single breach is exactly one person. Compromising one individual’s vault exposes one individual’s secrets. To compromise 100 million people, the attacker must succeed 100 million times. The asymmetry is inverted: the defender (each individual’s hardware-secured vault) needs to be strong in aggregate, while the attacker’s cost scales linearly with the number of targets.</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marginal improvement. It is a categorical change in the economics of attack and defense.</w:t>
      </w:r>
    </w:p>
    <w:p>
      <w:pPr>
        <w:spacing w:after="240" w:before="0" w:line="340"/>
        <w:jc w:val="left"/>
      </w:pPr>
      <w:r>
        <w:rPr>
          <w:rFonts w:ascii="Georgia" w:cs="Georgia" w:eastAsia="Georgia" w:hAnsi="Georgia"/>
          <w:b w:val="false"/>
          <w:bCs w:val="false"/>
          <w:i w:val="false"/>
          <w:iCs w:val="false"/>
          <w:color w:val="3A3A3A"/>
          <w:sz w:val="24"/>
          <w:szCs w:val="24"/>
        </w:rPr>
        <w:t xml:space="preserve">Consider the numbers. A centralized database breach might cost the attacker months of effort and yield millions of records. An attack on a single sovereign vault might cost days of effort and yield one record. The return on investment for the attacker drops by orders of magnitude. At sufficient scale, attacking individual sovereign vaults becomes economically irrational compared to other criminal enterprises.</w:t>
      </w:r>
    </w:p>
    <w:p>
      <w:pPr>
        <w:spacing w:after="240" w:before="0" w:line="340"/>
        <w:jc w:val="left"/>
      </w:pPr>
      <w:r>
        <w:rPr>
          <w:rFonts w:ascii="Georgia" w:cs="Georgia" w:eastAsia="Georgia" w:hAnsi="Georgia"/>
          <w:b w:val="false"/>
          <w:bCs w:val="false"/>
          <w:i w:val="false"/>
          <w:iCs w:val="false"/>
          <w:color w:val="3A3A3A"/>
          <w:sz w:val="24"/>
          <w:szCs w:val="24"/>
        </w:rPr>
        <w:t xml:space="preserve">No amount of investment in centralized defense changes the fundamental asymmetry. A centralized system can be hardened, monitored, and patched — and it will still be a target worth the effort because the payoff of success is enormous. A distributed system of sovereign vaults doesn’t need to be invulnerable individually. It needs to be economically unattractive to attack in aggregate.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question is not whether individuals are trustworthy. It is whether a system of individually sovereign vaults produces better security outcomes than a system of centrally controlled databases. The mathematics are not ambiguous.</w:t>
      </w:r>
    </w:p>
    <w:p>
      <w:pPr>
        <w:spacing w:before="500" w:after="200"/>
      </w:pPr>
      <w:r>
        <w:rPr>
          <w:rFonts w:ascii="Georgia" w:cs="Georgia" w:eastAsia="Georgia" w:hAnsi="Georgia"/>
          <w:b/>
          <w:bCs/>
          <w:color w:val="2C3E50"/>
          <w:sz w:val="32"/>
          <w:szCs w:val="32"/>
        </w:rPr>
        <w:t xml:space="preserve">The agentic amplifier</w:t>
      </w:r>
    </w:p>
    <w:p>
      <w:pPr>
        <w:spacing w:after="240" w:before="0" w:line="340"/>
        <w:jc w:val="left"/>
      </w:pPr>
      <w:r>
        <w:rPr>
          <w:rFonts w:ascii="Georgia" w:cs="Georgia" w:eastAsia="Georgia" w:hAnsi="Georgia"/>
          <w:b w:val="false"/>
          <w:bCs w:val="false"/>
          <w:i w:val="false"/>
          <w:iCs w:val="false"/>
          <w:color w:val="3A3A3A"/>
          <w:sz w:val="24"/>
          <w:szCs w:val="24"/>
        </w:rPr>
        <w:t xml:space="preserve">The arrival of autonomous AI agents does not merely continue the existing trends. It transforms the stakes.</w:t>
      </w:r>
    </w:p>
    <w:p>
      <w:pPr>
        <w:spacing w:after="240" w:before="0" w:line="340"/>
        <w:jc w:val="left"/>
      </w:pPr>
      <w:r>
        <w:rPr>
          <w:rFonts w:ascii="Georgia" w:cs="Georgia" w:eastAsia="Georgia" w:hAnsi="Georgia"/>
          <w:b w:val="false"/>
          <w:bCs w:val="false"/>
          <w:i w:val="false"/>
          <w:iCs w:val="false"/>
          <w:color w:val="3A3A3A"/>
          <w:sz w:val="24"/>
          <w:szCs w:val="24"/>
        </w:rPr>
        <w:t xml:space="preserve">In the near future — months, not years — AI agents will act on behalf of individuals and organizations: booking travel, executing financial transactions, negotiating contracts, managing healthcare decisions, interacting with government services. Each of these actions requires credentials. Each credential must be stored, managed, and authorized.</w:t>
      </w:r>
    </w:p>
    <w:p>
      <w:pPr>
        <w:spacing w:after="240" w:before="0" w:line="340"/>
        <w:jc w:val="left"/>
      </w:pPr>
      <w:r>
        <w:rPr>
          <w:rFonts w:ascii="Georgia" w:cs="Georgia" w:eastAsia="Georgia" w:hAnsi="Georgia"/>
          <w:b w:val="false"/>
          <w:bCs w:val="false"/>
          <w:i w:val="false"/>
          <w:iCs w:val="false"/>
          <w:color w:val="3A3A3A"/>
          <w:sz w:val="24"/>
          <w:szCs w:val="24"/>
        </w:rPr>
        <w:t xml:space="preserve">In a centralized model, agent credentials are issued and controlled by the central authority. The authority decides which agents can act, with what scope, and for how long. This means the central authority must maintain real-time visibility into potentially billions of agent-credential relationships, any one of which could be exploited if the central system is compromised.</w:t>
      </w:r>
    </w:p>
    <w:p>
      <w:pPr>
        <w:spacing w:after="240" w:before="0" w:line="340"/>
        <w:jc w:val="left"/>
      </w:pPr>
      <w:r>
        <w:rPr>
          <w:rFonts w:ascii="Georgia" w:cs="Georgia" w:eastAsia="Georgia" w:hAnsi="Georgia"/>
          <w:b w:val="false"/>
          <w:bCs w:val="false"/>
          <w:i w:val="false"/>
          <w:iCs w:val="false"/>
          <w:color w:val="3A3A3A"/>
          <w:sz w:val="24"/>
          <w:szCs w:val="24"/>
        </w:rPr>
        <w:t xml:space="preserve">In a sovereign model, agent credentials are delegated from the individual’s vault. The individual decides which agents can act on their behalf, with what scope, and for how long. The delegation is cryptographic, scoped, time-bound, and revocable. No central system needs to manage the delegation. No central system can be compromised to hijack it.</w:t>
      </w:r>
    </w:p>
    <w:p>
      <w:pPr>
        <w:spacing w:after="240" w:before="0" w:line="340"/>
        <w:jc w:val="left"/>
      </w:pPr>
      <w:r>
        <w:rPr>
          <w:rFonts w:ascii="Georgia" w:cs="Georgia" w:eastAsia="Georgia" w:hAnsi="Georgia"/>
          <w:b w:val="false"/>
          <w:bCs w:val="false"/>
          <w:i w:val="false"/>
          <w:iCs w:val="false"/>
          <w:color w:val="3A3A3A"/>
          <w:sz w:val="24"/>
          <w:szCs w:val="24"/>
        </w:rPr>
        <w:t xml:space="preserve">The difference in scale is decisive. A centralized agent-credential system for a nation of 300 million people, each with dozens of AI agents, must manage billions of active credential relationships in real time. That system becomes the single most valuable target in the nation’s digital infrastructure. A sovereign model distributes those relationships across 300 million individual vaults, each managing its own agents. There is no central target.</w:t>
      </w:r>
    </w:p>
    <w:p>
      <w:pPr>
        <w:spacing w:after="240" w:before="0" w:line="340"/>
        <w:jc w:val="left"/>
      </w:pPr>
      <w:r>
        <w:rPr>
          <w:rFonts w:ascii="Georgia" w:cs="Georgia" w:eastAsia="Georgia" w:hAnsi="Georgia"/>
          <w:b w:val="false"/>
          <w:bCs w:val="false"/>
          <w:i w:val="false"/>
          <w:iCs w:val="false"/>
          <w:color w:val="3A3A3A"/>
          <w:sz w:val="24"/>
          <w:szCs w:val="24"/>
        </w:rPr>
        <w:t xml:space="preserve">Nations that mandate centralized control over agent credentials will build the largest, most valuable, most consequential single points of failure in the history of computing. The breach, when it comes, will not be measured in stolen credit card numbers. It will be measured in hijacked autonomous agents operating across every sector of the economy.</w:t>
      </w:r>
    </w:p>
    <w:p>
      <w:pPr>
        <w:spacing w:before="500" w:after="200"/>
      </w:pPr>
      <w:r>
        <w:rPr>
          <w:rFonts w:ascii="Georgia" w:cs="Georgia" w:eastAsia="Georgia" w:hAnsi="Georgia"/>
          <w:b/>
          <w:bCs/>
          <w:color w:val="2C3E50"/>
          <w:sz w:val="32"/>
          <w:szCs w:val="32"/>
        </w:rPr>
        <w:t xml:space="preserve">The economic divergence</w:t>
      </w:r>
    </w:p>
    <w:p>
      <w:pPr>
        <w:spacing w:after="240" w:before="0" w:line="340"/>
        <w:jc w:val="left"/>
      </w:pPr>
      <w:r>
        <w:rPr>
          <w:rFonts w:ascii="Georgia" w:cs="Georgia" w:eastAsia="Georgia" w:hAnsi="Georgia"/>
          <w:b w:val="false"/>
          <w:bCs w:val="false"/>
          <w:i w:val="false"/>
          <w:iCs w:val="false"/>
          <w:color w:val="3A3A3A"/>
          <w:sz w:val="24"/>
          <w:szCs w:val="24"/>
        </w:rPr>
        <w:t xml:space="preserve">Digital sovereignty is not only a security question. It is a competitive one.</w:t>
      </w:r>
    </w:p>
    <w:p>
      <w:pPr>
        <w:spacing w:after="240" w:before="0" w:line="340"/>
        <w:jc w:val="left"/>
      </w:pPr>
      <w:r>
        <w:rPr>
          <w:rFonts w:ascii="Georgia" w:cs="Georgia" w:eastAsia="Georgia" w:hAnsi="Georgia"/>
          <w:b w:val="false"/>
          <w:bCs w:val="false"/>
          <w:i w:val="false"/>
          <w:iCs w:val="false"/>
          <w:color w:val="3A3A3A"/>
          <w:sz w:val="24"/>
          <w:szCs w:val="24"/>
        </w:rPr>
        <w:t xml:space="preserve">The countries that enabled open internet access in the 1990s built disproportionate economic advantages over those that restricted it. The United States, the Nordic countries, South Korea, and others created technology industries, innovation ecosystems, and knowledge economies that lagged nations could not easily replicate.</w:t>
      </w:r>
    </w:p>
    <w:p>
      <w:pPr>
        <w:spacing w:after="240" w:before="0" w:line="340"/>
        <w:jc w:val="left"/>
      </w:pPr>
      <w:r>
        <w:rPr>
          <w:rFonts w:ascii="Georgia" w:cs="Georgia" w:eastAsia="Georgia" w:hAnsi="Georgia"/>
          <w:b w:val="false"/>
          <w:bCs w:val="false"/>
          <w:i w:val="false"/>
          <w:iCs w:val="false"/>
          <w:color w:val="3A3A3A"/>
          <w:sz w:val="24"/>
          <w:szCs w:val="24"/>
        </w:rPr>
        <w:t xml:space="preserve">The same pattern is emerging around individual digital sovereignty. The agentic economy — in which AI agents transact, negotiate, and create value on behalf of individuals — requires that individuals can securely delegate authority to agents. Secure delegation requires sovereign vaults. Nations that enable sovereign vaults will produce citizens who can participate fully in the agentic economy. Nations that restrict them will produce citizens who cannot.</w:t>
      </w:r>
    </w:p>
    <w:p>
      <w:pPr>
        <w:spacing w:after="240" w:before="0" w:line="340"/>
        <w:jc w:val="left"/>
      </w:pPr>
      <w:r>
        <w:rPr>
          <w:rFonts w:ascii="Georgia" w:cs="Georgia" w:eastAsia="Georgia" w:hAnsi="Georgia"/>
          <w:b w:val="false"/>
          <w:bCs w:val="false"/>
          <w:i w:val="false"/>
          <w:iCs w:val="false"/>
          <w:color w:val="3A3A3A"/>
          <w:sz w:val="24"/>
          <w:szCs w:val="24"/>
        </w:rPr>
        <w:t xml:space="preserve">This is not speculative. The infrastructure requirements are concrete:</w:t>
      </w:r>
    </w:p>
    <w:p>
      <w:pPr>
        <w:spacing w:after="240" w:before="0" w:line="340"/>
        <w:jc w:val="left"/>
      </w:pPr>
      <w:r>
        <w:rPr>
          <w:rFonts w:ascii="Georgia" w:cs="Georgia" w:eastAsia="Georgia" w:hAnsi="Georgia"/>
          <w:b/>
          <w:bCs/>
          <w:color w:val="3A3A3A"/>
          <w:sz w:val="24"/>
          <w:szCs w:val="24"/>
        </w:rPr>
        <w:t xml:space="preserve">Cross-border agent transactions </w:t>
      </w:r>
      <w:r>
        <w:rPr>
          <w:rFonts w:ascii="Georgia" w:cs="Georgia" w:eastAsia="Georgia" w:hAnsi="Georgia"/>
          <w:color w:val="3A3A3A"/>
          <w:sz w:val="24"/>
          <w:szCs w:val="24"/>
        </w:rPr>
        <w:t xml:space="preserve">will require cryptographic proof of authorization from the individual on whose behalf the agent acts. Centralized national identity systems cannot produce these proofs without the central authority being online and involved in every transaction — a bottleneck that slows commerce and creates a single point of failure for international trade.</w:t>
      </w:r>
    </w:p>
    <w:p>
      <w:pPr>
        <w:spacing w:after="240" w:before="0" w:line="340"/>
        <w:jc w:val="left"/>
      </w:pPr>
      <w:r>
        <w:rPr>
          <w:rFonts w:ascii="Georgia" w:cs="Georgia" w:eastAsia="Georgia" w:hAnsi="Georgia"/>
          <w:b/>
          <w:bCs/>
          <w:color w:val="3A3A3A"/>
          <w:sz w:val="24"/>
          <w:szCs w:val="24"/>
        </w:rPr>
        <w:t xml:space="preserve">International interoperability </w:t>
      </w:r>
      <w:r>
        <w:rPr>
          <w:rFonts w:ascii="Georgia" w:cs="Georgia" w:eastAsia="Georgia" w:hAnsi="Georgia"/>
          <w:color w:val="3A3A3A"/>
          <w:sz w:val="24"/>
          <w:szCs w:val="24"/>
        </w:rPr>
        <w:t xml:space="preserve">between agent ecosystems will require mutual authentication between agents from different nations. Sovereign vaults using open cryptographic standards can authenticate to any other vault using the same standards, regardless of nationality. Centralized systems require bilateral agreements between governments — a diplomatic overhead that scales poorly.</w:t>
      </w:r>
    </w:p>
    <w:p>
      <w:pPr>
        <w:spacing w:after="240" w:before="0" w:line="340"/>
        <w:jc w:val="left"/>
      </w:pPr>
      <w:r>
        <w:rPr>
          <w:rFonts w:ascii="Georgia" w:cs="Georgia" w:eastAsia="Georgia" w:hAnsi="Georgia"/>
          <w:b/>
          <w:bCs/>
          <w:color w:val="3A3A3A"/>
          <w:sz w:val="24"/>
          <w:szCs w:val="24"/>
        </w:rPr>
        <w:t xml:space="preserve">Talent mobility </w:t>
      </w:r>
      <w:r>
        <w:rPr>
          <w:rFonts w:ascii="Georgia" w:cs="Georgia" w:eastAsia="Georgia" w:hAnsi="Georgia"/>
          <w:color w:val="3A3A3A"/>
          <w:sz w:val="24"/>
          <w:szCs w:val="24"/>
        </w:rPr>
        <w:t xml:space="preserve">in the digital economy depends on portable digital identity. A professional whose identity is sovereign carries their credentials, work history, and trust relationships with them across borders. A professional whose identity is controlled by a national system must re-establish their digital existence in every new jurisdiction.</w:t>
      </w:r>
    </w:p>
    <w:p>
      <w:pPr>
        <w:spacing w:after="240" w:before="0" w:line="340"/>
        <w:jc w:val="left"/>
      </w:pPr>
      <w:r>
        <w:rPr>
          <w:rFonts w:ascii="Georgia" w:cs="Georgia" w:eastAsia="Georgia" w:hAnsi="Georgia"/>
          <w:b w:val="false"/>
          <w:bCs w:val="false"/>
          <w:i w:val="false"/>
          <w:iCs w:val="false"/>
          <w:color w:val="3A3A3A"/>
          <w:sz w:val="24"/>
          <w:szCs w:val="24"/>
        </w:rPr>
        <w:t xml:space="preserve">The economic case does not require agreement on values. It requires only the observation that friction in digital commerce costs money, and centralized identity systems create more friction than sovereign ones at global scale.</w:t>
      </w:r>
    </w:p>
    <w:p>
      <w:pPr>
        <w:spacing w:before="500" w:after="200"/>
      </w:pPr>
      <w:r>
        <w:rPr>
          <w:rFonts w:ascii="Georgia" w:cs="Georgia" w:eastAsia="Georgia" w:hAnsi="Georgia"/>
          <w:b/>
          <w:bCs/>
          <w:color w:val="2C3E50"/>
          <w:sz w:val="32"/>
          <w:szCs w:val="32"/>
        </w:rPr>
        <w:t xml:space="preserve">The human rights architecture</w:t>
      </w:r>
    </w:p>
    <w:p>
      <w:pPr>
        <w:spacing w:after="240" w:before="0" w:line="340"/>
        <w:jc w:val="left"/>
      </w:pPr>
      <w:r>
        <w:rPr>
          <w:rFonts w:ascii="Georgia" w:cs="Georgia" w:eastAsia="Georgia" w:hAnsi="Georgia"/>
          <w:b w:val="false"/>
          <w:bCs w:val="false"/>
          <w:i w:val="false"/>
          <w:iCs w:val="false"/>
          <w:color w:val="3A3A3A"/>
          <w:sz w:val="24"/>
          <w:szCs w:val="24"/>
        </w:rPr>
        <w:t xml:space="preserve">Article 12 of the Universal Declaration of Human Rights states that no one shall be subjected to arbitrary interference with their privacy. Article 17 establishes the right to own property. Article 19 protects freedom of expression.</w:t>
      </w:r>
    </w:p>
    <w:p>
      <w:pPr>
        <w:spacing w:after="240" w:before="0" w:line="340"/>
        <w:jc w:val="left"/>
      </w:pPr>
      <w:r>
        <w:rPr>
          <w:rFonts w:ascii="Georgia" w:cs="Georgia" w:eastAsia="Georgia" w:hAnsi="Georgia"/>
          <w:b w:val="false"/>
          <w:bCs w:val="false"/>
          <w:i w:val="false"/>
          <w:iCs w:val="false"/>
          <w:color w:val="3A3A3A"/>
          <w:sz w:val="24"/>
          <w:szCs w:val="24"/>
        </w:rPr>
        <w:t xml:space="preserve">For most of the 75 years since the Declaration was adopted, these rights existed in the physical world: private correspondence in sealed envelopes, property deeds in personal safes, speech in public squares. The digital world has eroded each of these by centralizing the infrastructure through which they are exercised.</w:t>
      </w:r>
    </w:p>
    <w:p>
      <w:pPr>
        <w:spacing w:after="240" w:before="0" w:line="340"/>
        <w:jc w:val="left"/>
      </w:pPr>
      <w:r>
        <w:rPr>
          <w:rFonts w:ascii="Georgia" w:cs="Georgia" w:eastAsia="Georgia" w:hAnsi="Georgia"/>
          <w:b w:val="false"/>
          <w:bCs w:val="false"/>
          <w:i w:val="false"/>
          <w:iCs w:val="false"/>
          <w:color w:val="3A3A3A"/>
          <w:sz w:val="24"/>
          <w:szCs w:val="24"/>
        </w:rPr>
        <w:t xml:space="preserve">Email is stored on corporate servers that can be searched. Financial records are held in institutional databases that can be frozen. Digital communications are routed through platforms that can be monitored. In each case, the individual’s rights exist only to the extent that the institutions holding their data choose to honor them.</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complaint about bad actors. Most institutions honor these rights most of the time. The issue is architectural: the rights are enforced by institutional policy, not by system design. Policy can change. Administrations change. Laws change. A right that depends on the current government’s willingness to enforce it is not a right. It is a permission.</w:t>
      </w:r>
    </w:p>
    <w:p>
      <w:pPr>
        <w:spacing w:after="240" w:before="0" w:line="340"/>
        <w:jc w:val="left"/>
      </w:pPr>
      <w:r>
        <w:rPr>
          <w:rFonts w:ascii="Georgia" w:cs="Georgia" w:eastAsia="Georgia" w:hAnsi="Georgia"/>
          <w:b w:val="false"/>
          <w:bCs w:val="false"/>
          <w:i w:val="false"/>
          <w:iCs w:val="false"/>
          <w:color w:val="3A3A3A"/>
          <w:sz w:val="24"/>
          <w:szCs w:val="24"/>
        </w:rPr>
        <w:t xml:space="preserve">Individual digital sovereignty converts permissions back into rights — not through legislation alone, but through architecture. When an individual’s private data is encrypted in a vault that no institution can access, privacy is not a policy choice. It is a mathematical fact. When credentials are held in hardware that the platform cannot read, property rights over digital assets are not dependent on the platform’s terms of service. They are enforced by cryptography.</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right that exists only because an institution has chosen not to violate it is not a right. Architecture converts permissions into rights by making violations technically impossible, not merely illegal.</w:t>
      </w:r>
    </w:p>
    <w:p>
      <w:pPr>
        <w:spacing w:after="240" w:before="0" w:line="340"/>
        <w:jc w:val="left"/>
      </w:pPr>
      <w:r>
        <w:rPr>
          <w:rFonts w:ascii="Georgia" w:cs="Georgia" w:eastAsia="Georgia" w:hAnsi="Georgia"/>
          <w:b w:val="false"/>
          <w:bCs w:val="false"/>
          <w:i w:val="false"/>
          <w:iCs w:val="false"/>
          <w:color w:val="3A3A3A"/>
          <w:sz w:val="24"/>
          <w:szCs w:val="24"/>
        </w:rPr>
        <w:t xml:space="preserve">This is not an argument against government. Governments retain their legitimate functions: setting laws, enforcing contracts, protecting public safety. What changes is the mechanism. Instead of governments holding the keys and promising to use them responsibly, governments define the rules and the architecture enforces them. The government does not need to read your data to regulate your behavior. It does not need to hold your keys to enforce your taxes. The trellis supports the vine without accessing what flows through it.</w:t>
      </w:r>
    </w:p>
    <w:p>
      <w:pPr>
        <w:spacing w:before="500" w:after="200"/>
      </w:pPr>
      <w:r>
        <w:rPr>
          <w:rFonts w:ascii="Georgia" w:cs="Georgia" w:eastAsia="Georgia" w:hAnsi="Georgia"/>
          <w:b/>
          <w:bCs/>
          <w:color w:val="2C3E50"/>
          <w:sz w:val="32"/>
          <w:szCs w:val="32"/>
        </w:rPr>
        <w:t xml:space="preserve">The trust inversion</w:t>
      </w:r>
    </w:p>
    <w:p>
      <w:pPr>
        <w:spacing w:after="240" w:before="0" w:line="340"/>
        <w:jc w:val="left"/>
      </w:pPr>
      <w:r>
        <w:rPr>
          <w:rFonts w:ascii="Georgia" w:cs="Georgia" w:eastAsia="Georgia" w:hAnsi="Georgia"/>
          <w:b w:val="false"/>
          <w:bCs w:val="false"/>
          <w:i w:val="false"/>
          <w:iCs w:val="false"/>
          <w:color w:val="3A3A3A"/>
          <w:sz w:val="24"/>
          <w:szCs w:val="24"/>
        </w:rPr>
        <w:t xml:space="preserve">The conventional wisdom says that people cannot be trusted with their own security. They reuse passwords. They click phishing links. They lose devices. This narrative has been used for decades to justify centralized control: institutions must hold the keys because individuals are incompetent.</w:t>
      </w:r>
    </w:p>
    <w:p>
      <w:pPr>
        <w:spacing w:after="240" w:before="0" w:line="340"/>
        <w:jc w:val="left"/>
      </w:pPr>
      <w:r>
        <w:rPr>
          <w:rFonts w:ascii="Georgia" w:cs="Georgia" w:eastAsia="Georgia" w:hAnsi="Georgia"/>
          <w:b w:val="false"/>
          <w:bCs w:val="false"/>
          <w:i w:val="false"/>
          <w:iCs w:val="false"/>
          <w:color w:val="3A3A3A"/>
          <w:sz w:val="24"/>
          <w:szCs w:val="24"/>
        </w:rPr>
        <w:t xml:space="preserve">The empirical record suggests the opposite conclusion.</w:t>
      </w:r>
    </w:p>
    <w:p>
      <w:pPr>
        <w:spacing w:after="240" w:before="0" w:line="340"/>
        <w:jc w:val="left"/>
      </w:pPr>
      <w:r>
        <w:rPr>
          <w:rFonts w:ascii="Georgia" w:cs="Georgia" w:eastAsia="Georgia" w:hAnsi="Georgia"/>
          <w:b w:val="false"/>
          <w:bCs w:val="false"/>
          <w:i w:val="false"/>
          <w:iCs w:val="false"/>
          <w:color w:val="3A3A3A"/>
          <w:sz w:val="24"/>
          <w:szCs w:val="24"/>
        </w:rPr>
        <w:t xml:space="preserve">The largest data breaches in history have not been caused by individuals losing their passwords. They have been caused by institutions failing to protect centralized databases. OPM was not breached because an employee reused a password. It was breached because a centralized system containing 22 million records was accessible through a single compromise. Equifax was not breached because consumers were careless. It was breached because one company held the financial identity of 147 million Americans in a system with an unpatched vulnerability.</w:t>
      </w:r>
    </w:p>
    <w:p>
      <w:pPr>
        <w:spacing w:after="240" w:before="0" w:line="340"/>
        <w:jc w:val="left"/>
      </w:pPr>
      <w:r>
        <w:rPr>
          <w:rFonts w:ascii="Georgia" w:cs="Georgia" w:eastAsia="Georgia" w:hAnsi="Georgia"/>
          <w:b w:val="false"/>
          <w:bCs w:val="false"/>
          <w:i w:val="false"/>
          <w:iCs w:val="false"/>
          <w:color w:val="3A3A3A"/>
          <w:sz w:val="24"/>
          <w:szCs w:val="24"/>
        </w:rPr>
        <w:t xml:space="preserve">The narrative that individuals are the weak link is accurate at the individual level and misleading at the systemic level. Yes, any given individual may make a security mistake. But the damage from that mistake, in a sovereign architecture, is contained to that individual. The damage from an institutional mistake, in a centralized architecture, radiates to millions.</w:t>
      </w:r>
    </w:p>
    <w:p>
      <w:pPr>
        <w:spacing w:after="240" w:before="0" w:line="340"/>
        <w:jc w:val="left"/>
      </w:pPr>
      <w:r>
        <w:rPr>
          <w:rFonts w:ascii="Georgia" w:cs="Georgia" w:eastAsia="Georgia" w:hAnsi="Georgia"/>
          <w:b/>
          <w:bCs/>
          <w:color w:val="3A3A3A"/>
          <w:sz w:val="24"/>
          <w:szCs w:val="24"/>
        </w:rPr>
        <w:t xml:space="preserve">Individual sovereignty does not require trusting individuals to be perfect. </w:t>
      </w:r>
      <w:r>
        <w:rPr>
          <w:rFonts w:ascii="Georgia" w:cs="Georgia" w:eastAsia="Georgia" w:hAnsi="Georgia"/>
          <w:color w:val="3A3A3A"/>
          <w:sz w:val="24"/>
          <w:szCs w:val="24"/>
        </w:rPr>
        <w:t xml:space="preserve">It requires recognizing that imperfect individuals managing their own vaults produce better aggregate outcomes than imperfect institutions managing everyone’s vaults. The mathematics of blast radius guarantee this.</w:t>
      </w:r>
    </w:p>
    <w:p>
      <w:pPr>
        <w:spacing w:after="240" w:before="0" w:line="340"/>
        <w:jc w:val="left"/>
      </w:pPr>
      <w:r>
        <w:rPr>
          <w:rFonts w:ascii="Georgia" w:cs="Georgia" w:eastAsia="Georgia" w:hAnsi="Georgia"/>
          <w:b w:val="false"/>
          <w:bCs w:val="false"/>
          <w:i w:val="false"/>
          <w:iCs w:val="false"/>
          <w:color w:val="3A3A3A"/>
          <w:sz w:val="24"/>
          <w:szCs w:val="24"/>
        </w:rPr>
        <w:t xml:space="preserve">Furthermore, the argument that individuals cannot handle their own security is increasingly a statement about the failure of current tools, not the limitation of current people. When security requires managing dozens of complex passwords, memorizing seed phrases, and navigating arcane authentication flows, people fail. When security requires remembering a single password and PIN, people succeed. The tools have been bad. The people have been blamed. Better architecture fixes both.</w:t>
      </w:r>
    </w:p>
    <w:p>
      <w:pPr>
        <w:spacing w:before="500" w:after="200"/>
      </w:pPr>
      <w:r>
        <w:rPr>
          <w:rFonts w:ascii="Georgia" w:cs="Georgia" w:eastAsia="Georgia" w:hAnsi="Georgia"/>
          <w:b/>
          <w:bCs/>
          <w:color w:val="2C3E50"/>
          <w:sz w:val="32"/>
          <w:szCs w:val="32"/>
        </w:rPr>
        <w:t xml:space="preserve">Two futures</w:t>
      </w:r>
    </w:p>
    <w:p>
      <w:pPr>
        <w:spacing w:after="240" w:before="0" w:line="340"/>
        <w:jc w:val="left"/>
      </w:pPr>
      <w:r>
        <w:rPr>
          <w:rFonts w:ascii="Georgia" w:cs="Georgia" w:eastAsia="Georgia" w:hAnsi="Georgia"/>
          <w:b w:val="false"/>
          <w:bCs w:val="false"/>
          <w:i w:val="false"/>
          <w:iCs w:val="false"/>
          <w:color w:val="3A3A3A"/>
          <w:sz w:val="24"/>
          <w:szCs w:val="24"/>
        </w:rPr>
        <w:t xml:space="preserve">The next decade will produce a divergence between nations that enable individual digital sovereignty and nations that restrict it. The divergence will be measurable across three dimensions.</w:t>
      </w:r>
    </w:p>
    <w:p>
      <w:pPr>
        <w:spacing w:after="240" w:before="0" w:line="340"/>
        <w:jc w:val="left"/>
      </w:pPr>
      <w:r>
        <w:rPr>
          <w:rFonts w:ascii="Georgia" w:cs="Georgia" w:eastAsia="Georgia" w:hAnsi="Georgia"/>
          <w:b/>
          <w:bCs/>
          <w:color w:val="3A3A3A"/>
          <w:sz w:val="24"/>
          <w:szCs w:val="24"/>
        </w:rPr>
        <w:t xml:space="preserve">Security: </w:t>
      </w:r>
      <w:r>
        <w:rPr>
          <w:rFonts w:ascii="Georgia" w:cs="Georgia" w:eastAsia="Georgia" w:hAnsi="Georgia"/>
          <w:color w:val="3A3A3A"/>
          <w:sz w:val="24"/>
          <w:szCs w:val="24"/>
        </w:rPr>
        <w:t xml:space="preserve">Nations with sovereign identity architectures will experience data breaches measured in individual incidents. Nations with centralized identity systems will experience data breaches measured in population fractions. As AI agents multiply the number of credential relationships by orders of magnitude, the gap in breach severity will widen proportionally.</w:t>
      </w:r>
    </w:p>
    <w:p>
      <w:pPr>
        <w:spacing w:after="240" w:before="0" w:line="340"/>
        <w:jc w:val="left"/>
      </w:pPr>
      <w:r>
        <w:rPr>
          <w:rFonts w:ascii="Georgia" w:cs="Georgia" w:eastAsia="Georgia" w:hAnsi="Georgia"/>
          <w:b/>
          <w:bCs/>
          <w:color w:val="3A3A3A"/>
          <w:sz w:val="24"/>
          <w:szCs w:val="24"/>
        </w:rPr>
        <w:t xml:space="preserve">Economic participation: </w:t>
      </w:r>
      <w:r>
        <w:rPr>
          <w:rFonts w:ascii="Georgia" w:cs="Georgia" w:eastAsia="Georgia" w:hAnsi="Georgia"/>
          <w:color w:val="3A3A3A"/>
          <w:sz w:val="24"/>
          <w:szCs w:val="24"/>
        </w:rPr>
        <w:t xml:space="preserve">Citizens of nations with sovereign vaults will participate in the global agentic economy with minimal friction. Their agents will authenticate internationally using open cryptographic standards. Citizens of nations with centralized identity will face authentication bottlenecks, bilateral agreement requirements, and the competitive disadvantage of slower, more fragile identity infrastructure.</w:t>
      </w:r>
    </w:p>
    <w:p>
      <w:pPr>
        <w:spacing w:after="240" w:before="0" w:line="340"/>
        <w:jc w:val="left"/>
      </w:pPr>
      <w:r>
        <w:rPr>
          <w:rFonts w:ascii="Georgia" w:cs="Georgia" w:eastAsia="Georgia" w:hAnsi="Georgia"/>
          <w:b/>
          <w:bCs/>
          <w:color w:val="3A3A3A"/>
          <w:sz w:val="24"/>
          <w:szCs w:val="24"/>
        </w:rPr>
        <w:t xml:space="preserve">Rights and dignity: </w:t>
      </w:r>
      <w:r>
        <w:rPr>
          <w:rFonts w:ascii="Georgia" w:cs="Georgia" w:eastAsia="Georgia" w:hAnsi="Georgia"/>
          <w:color w:val="3A3A3A"/>
          <w:sz w:val="24"/>
          <w:szCs w:val="24"/>
        </w:rPr>
        <w:t xml:space="preserve">Individuals with sovereign vaults will carry their digital identity as a property right, portable across borders, platforms, and regimes. Individuals dependent on centralized identity systems will carry their digital identity as a government-issued permission, subject to the policies and stability of the issuing authority.</w:t>
      </w:r>
    </w:p>
    <w:p>
      <w:pPr>
        <w:spacing w:after="240" w:before="0" w:line="340"/>
        <w:jc w:val="left"/>
      </w:pPr>
      <w:r>
        <w:rPr>
          <w:rFonts w:ascii="Georgia" w:cs="Georgia" w:eastAsia="Georgia" w:hAnsi="Georgia"/>
          <w:b w:val="false"/>
          <w:bCs w:val="false"/>
          <w:i w:val="false"/>
          <w:iCs w:val="false"/>
          <w:color w:val="3A3A3A"/>
          <w:sz w:val="24"/>
          <w:szCs w:val="24"/>
        </w:rPr>
        <w:t xml:space="preserve">These outcomes are not predetermined by technology alone. They are determined by policy choices that nations make now, during the brief window before the agentic economy’s infrastructure solidifies. The nations that build their digital infrastructure around the individual will not need to retrofit it later. The nations that build it around centralized control will face escalating costs to maintain a model that produces worse outcomes on every dimension.</w:t>
      </w:r>
    </w:p>
    <w:p>
      <w:pPr>
        <w:spacing w:before="500" w:after="200"/>
      </w:pPr>
      <w:r>
        <w:rPr>
          <w:rFonts w:ascii="Georgia" w:cs="Georgia" w:eastAsia="Georgia" w:hAnsi="Georgia"/>
          <w:b/>
          <w:bCs/>
          <w:color w:val="2C3E50"/>
          <w:sz w:val="32"/>
          <w:szCs w:val="32"/>
        </w:rPr>
        <w:t xml:space="preserve">The root of the matter</w:t>
      </w:r>
    </w:p>
    <w:p>
      <w:pPr>
        <w:spacing w:after="240" w:before="0" w:line="340"/>
        <w:jc w:val="left"/>
      </w:pPr>
      <w:r>
        <w:rPr>
          <w:rFonts w:ascii="Georgia" w:cs="Georgia" w:eastAsia="Georgia" w:hAnsi="Georgia"/>
          <w:b w:val="false"/>
          <w:bCs w:val="false"/>
          <w:i w:val="false"/>
          <w:iCs w:val="false"/>
          <w:color w:val="3A3A3A"/>
          <w:sz w:val="24"/>
          <w:szCs w:val="24"/>
        </w:rPr>
        <w:t xml:space="preserve">This paper has made a narrow claim supported by broad evidence: individual digital sovereignty produces better security outcomes, better economic outcomes, and better human rights outcomes than centralized identity control. The claim rests on architecture, not ideology. It follows from the mathematics of blast radius, the economics of attack incentives, the requirements of global interoperability, and the principles embedded in international human rights law since 1948.</w:t>
      </w:r>
    </w:p>
    <w:p>
      <w:pPr>
        <w:spacing w:after="240" w:before="0" w:line="340"/>
        <w:jc w:val="left"/>
      </w:pPr>
      <w:r>
        <w:rPr>
          <w:rFonts w:ascii="Georgia" w:cs="Georgia" w:eastAsia="Georgia" w:hAnsi="Georgia"/>
          <w:b w:val="false"/>
          <w:bCs w:val="false"/>
          <w:i w:val="false"/>
          <w:iCs w:val="false"/>
          <w:color w:val="3A3A3A"/>
          <w:sz w:val="24"/>
          <w:szCs w:val="24"/>
        </w:rPr>
        <w:t xml:space="preserve">The individual is not a liability to be managed. The individual is the only viable root of trust in a world where centralized systems are too valuable to leave unattacked, too fragile to survive the agentic era, and too concentrated to honor the rights they are supposed to protect.</w:t>
      </w:r>
    </w:p>
    <w:p>
      <w:pPr>
        <w:spacing w:after="240" w:before="0" w:line="340"/>
        <w:jc w:val="left"/>
      </w:pPr>
      <w:r>
        <w:rPr>
          <w:rFonts w:ascii="Georgia" w:cs="Georgia" w:eastAsia="Georgia" w:hAnsi="Georgia"/>
          <w:b w:val="false"/>
          <w:bCs w:val="false"/>
          <w:i w:val="false"/>
          <w:iCs w:val="false"/>
          <w:color w:val="3A3A3A"/>
          <w:sz w:val="24"/>
          <w:szCs w:val="24"/>
        </w:rPr>
        <w:t xml:space="preserve">Giving individuals the ability to control their own digital identity is not an act of faith in human perfection. It is a recognition that distributed imperfection is categorically safer than concentrated imperfection. That the potential for human excellence, when enabled by the right architecture, vastly exceeds the risk of human error. And that the alternative — centralized control of an increasingly autonomous digital world — has already produced a record of failure that grows with every breach, every exposure, and every population-scale compromise.</w:t>
      </w:r>
    </w:p>
    <w:p>
      <w:pPr>
        <w:spacing w:after="240" w:before="0" w:line="340"/>
        <w:jc w:val="left"/>
      </w:pPr>
      <w:r>
        <w:rPr>
          <w:rFonts w:ascii="Georgia" w:cs="Georgia" w:eastAsia="Georgia" w:hAnsi="Georgia"/>
          <w:b w:val="false"/>
          <w:bCs w:val="false"/>
          <w:i w:val="false"/>
          <w:iCs w:val="false"/>
          <w:color w:val="3A3A3A"/>
          <w:sz w:val="24"/>
          <w:szCs w:val="24"/>
        </w:rPr>
        <w:t xml:space="preserve">The vine grows from the root. The root is the individual. And a vineyard of sovereign roots will always be more resilient, more productive, and more just than a plantation managed from a single tower.</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strongest societies will not be the ones that control their people’s digital identity most tightly. They will be the ones that give their people the architecture to control it themselves.</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Individual Is the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2026-02-15T15:16:26.520Z</dcterms:created>
  <dcterms:modified xsi:type="dcterms:W3CDTF">2026-02-15T15:16:26.521Z</dcterms:modified>
</cp:coreProperties>
</file>

<file path=docProps/custom.xml><?xml version="1.0" encoding="utf-8"?>
<Properties xmlns="http://schemas.openxmlformats.org/officeDocument/2006/custom-properties" xmlns:vt="http://schemas.openxmlformats.org/officeDocument/2006/docPropsVTypes"/>
</file>