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ind/>
        <w:jc w:val="both"/>
      </w:pPr>
      <w:r>
        <w:rPr>
          <w:rFonts w:ascii="Times New Roman" w:cs="Times New Roman" w:eastAsia="Times New Roman" w:hAnsi="Times New Roman"/>
          <w:sz w:val="22"/>
          <w:szCs w:val="22"/>
        </w:rPr>
        <w:t xml:space="preserve">УДК 519.816:004.94</w:t>
      </w:r>
    </w:p>
    <w:p>
      <w:pPr>
        <w:spacing w:after="160"/>
        <w:jc w:val="center"/>
      </w:pPr>
      <w:r>
        <w:rPr>
          <w:rFonts w:ascii="Times New Roman" w:cs="Times New Roman" w:eastAsia="Times New Roman" w:hAnsi="Times New Roman"/>
          <w:b/>
          <w:bCs/>
          <w:sz w:val="36"/>
          <w:szCs w:val="36"/>
        </w:rPr>
        <w:t xml:space="preserve">Многокритериальная модель распределения свободного денежного потока в задачах персонального финансового планирования: вычислительное исследование и нормативная нормализация критериев</w:t>
      </w:r>
    </w:p>
    <w:p>
      <w:pPr>
        <w:spacing w:after="80"/>
        <w:jc w:val="center"/>
      </w:pPr>
      <w:r>
        <w:rPr>
          <w:rFonts w:ascii="Times New Roman" w:cs="Times New Roman" w:eastAsia="Times New Roman" w:hAnsi="Times New Roman"/>
          <w:sz w:val="28"/>
          <w:szCs w:val="28"/>
        </w:rPr>
        <w:t xml:space="preserve">В. М. Евдокимов</w:t>
      </w:r>
    </w:p>
    <w:p>
      <w:pPr>
        <w:spacing w:after="40"/>
        <w:jc w:val="center"/>
      </w:pPr>
      <w:r>
        <w:rPr>
          <w:rFonts w:ascii="Times New Roman" w:cs="Times New Roman" w:eastAsia="Times New Roman" w:hAnsi="Times New Roman"/>
          <w:i/>
          <w:iCs/>
          <w:sz w:val="20"/>
          <w:szCs w:val="20"/>
        </w:rPr>
        <w:t xml:space="preserve">Национальный исследовательский технологический университет «МИСИС»,</w:t>
      </w:r>
    </w:p>
    <w:p>
      <w:pPr>
        <w:spacing w:after="40"/>
        <w:jc w:val="center"/>
      </w:pPr>
      <w:r>
        <w:rPr>
          <w:rFonts w:ascii="Times New Roman" w:cs="Times New Roman" w:eastAsia="Times New Roman" w:hAnsi="Times New Roman"/>
          <w:i/>
          <w:iCs/>
          <w:sz w:val="20"/>
          <w:szCs w:val="20"/>
        </w:rPr>
        <w:t xml:space="preserve">Россия, 119049, г. Москва, Ленинский проспект, д. 4, стр. 1</w:t>
      </w:r>
    </w:p>
    <w:p>
      <w:pPr>
        <w:spacing w:after="240"/>
        <w:jc w:val="center"/>
      </w:pPr>
      <w:r>
        <w:rPr>
          <w:rFonts w:ascii="Times New Roman" w:cs="Times New Roman" w:eastAsia="Times New Roman" w:hAnsi="Times New Roman"/>
          <w:sz w:val="20"/>
          <w:szCs w:val="20"/>
        </w:rPr>
        <w:t xml:space="preserve">E-mail: m2201058@edu.misis.ru, ORCID: 0009-0004-8821-8414</w:t>
      </w:r>
    </w:p>
    <w:p>
      <w:pPr>
        <w:spacing w:after="120" w:line="240"/>
        <w:ind/>
        <w:jc w:val="both"/>
      </w:pPr>
      <w:r>
        <w:rPr>
          <w:rFonts w:ascii="Times New Roman" w:cs="Times New Roman" w:eastAsia="Times New Roman" w:hAnsi="Times New Roman"/>
          <w:b/>
          <w:bCs/>
          <w:sz w:val="22"/>
          <w:szCs w:val="22"/>
        </w:rPr>
        <w:t xml:space="preserve">Аннотация.</w:t>
      </w:r>
      <w:r>
        <w:rPr>
          <w:rFonts w:ascii="Times New Roman" w:cs="Times New Roman" w:eastAsia="Times New Roman" w:hAnsi="Times New Roman"/>
          <w:sz w:val="22"/>
          <w:szCs w:val="22"/>
        </w:rPr>
        <w:t xml:space="preserve"> Рассматривается задача распределения свободного денежного потока пользователя между тремя направлениями: досрочным погашением кредитных обязательств, резервом ликвидности и финансированием накопительных целей. Предложена и исследована многокритериальная модель поддержки принятия таких решений. Модель включает генерацию альтернатив дискретизацией долей распределяемого ресурса, фильтр досрочного погашения по пороговой ставке альтернативной доходности, взвешенную оценку обеспеченности целей с учётом категорий и срочности, каскад ограничений допустимости по ликвидности и долговой нагрузке, прогнозирование денежных потоков экспоненциальным сглаживанием с интервальной оценкой методом Монте-Карло и аддитивную свёртку критериев с весами, задаваемыми профилем риска пользователя. Проведено вычислительное исследование модели на трёх демонстрационных профилях пользователей — закредитованном, типовом и комфортном — при трёх режимах порога ликвидности. Установлено, что исходная спецификация критериев вырождена: критерии ресурса и ликвидности, вычисляемые от остатка нераспределённых средств, практически коллинеарны (коэффициент корреляции на множестве альтернатив превышает 0,999), вследствие чего ранжирование смещается к резервным распределениям независимо от профиля риска, а минимаксная нормализация по выборочному размаху раздувает экономически незначимые различия критериев до полного единичного диапазона. Предложена модификация модели: критерий ресурса заменён прогнозной оценкой свободного потока следующего периода, что интегрирует блок прогнозирования в функцию полезности; критерий ликвидности вычисляется по запасу средств; нормализация критериев привязана к финансовым нормативам — предельному показателю долговой нагрузки и нормам запаса ликвидности — вместо выборочного размаха. В модифицированной модели рекомендации монотонно дифференцируются по профилям риска: консервативные профили формируют резерв, активные финансируют цели, агрессивный дополнительно осуществляет досрочное погашение дорогих обязательств; ранжирование устойчиво к малым возмущениям весов, а на закредитованном профиле сохраняется корректирующее поведение каскада ограничений. Шкалы нормированных критериев при этом сохраняют экономическую интерпретацию для пользователя, что напрямую поддерживает требование объяснимости рекомендаций. Полный цикл расчёта выполняется менее чем за две миллисекунды, что обеспечивает интерактивный режим работы.</w:t>
      </w:r>
    </w:p>
    <w:p>
      <w:pPr>
        <w:spacing w:after="280"/>
        <w:ind/>
        <w:jc w:val="both"/>
      </w:pPr>
      <w:r>
        <w:rPr>
          <w:rFonts w:ascii="Times New Roman" w:cs="Times New Roman" w:eastAsia="Times New Roman" w:hAnsi="Times New Roman"/>
          <w:b/>
          <w:bCs/>
          <w:sz w:val="22"/>
          <w:szCs w:val="22"/>
        </w:rPr>
        <w:t xml:space="preserve">Ключевые слова:</w:t>
      </w:r>
      <w:r>
        <w:rPr>
          <w:rFonts w:ascii="Times New Roman" w:cs="Times New Roman" w:eastAsia="Times New Roman" w:hAnsi="Times New Roman"/>
          <w:sz w:val="22"/>
          <w:szCs w:val="22"/>
        </w:rPr>
        <w:t xml:space="preserve"> многокритериальный выбор, поддержка принятия решений, аддитивная свёртка, нормализация критериев, прогнозирование денежных потоков, метод Монте-Карло, персональные финансы, вычислительный эксперимент</w:t>
      </w:r>
    </w:p>
    <w:p>
      <w:pPr>
        <w:spacing w:after="160" w:before="160"/>
        <w:jc w:val="center"/>
      </w:pPr>
      <w:r>
        <w:rPr>
          <w:rFonts w:ascii="Times New Roman" w:cs="Times New Roman" w:eastAsia="Times New Roman" w:hAnsi="Times New Roman"/>
          <w:b/>
          <w:bCs/>
          <w:sz w:val="30"/>
          <w:szCs w:val="30"/>
        </w:rPr>
        <w:t xml:space="preserve">A multi-criteria model for allocating free cash flow in personal financial planning: a computational study and norm-anchored criteria normalization</w:t>
      </w:r>
    </w:p>
    <w:p>
      <w:pPr>
        <w:spacing w:after="80"/>
        <w:jc w:val="center"/>
      </w:pPr>
      <w:r>
        <w:rPr>
          <w:rFonts w:ascii="Times New Roman" w:cs="Times New Roman" w:eastAsia="Times New Roman" w:hAnsi="Times New Roman"/>
          <w:sz w:val="26"/>
          <w:szCs w:val="26"/>
        </w:rPr>
        <w:t xml:space="preserve">V. M. Evdokimov</w:t>
      </w:r>
    </w:p>
    <w:p>
      <w:pPr>
        <w:spacing w:after="240"/>
        <w:jc w:val="center"/>
      </w:pPr>
      <w:r>
        <w:rPr>
          <w:rFonts w:ascii="Times New Roman" w:cs="Times New Roman" w:eastAsia="Times New Roman" w:hAnsi="Times New Roman"/>
          <w:i/>
          <w:iCs/>
          <w:sz w:val="20"/>
          <w:szCs w:val="20"/>
        </w:rPr>
        <w:t xml:space="preserve">National University of Science and Technology MISIS, 4 Leninskiy Prospekt, Moscow, 119049, Russia</w:t>
      </w:r>
    </w:p>
    <w:p>
      <w:pPr>
        <w:spacing w:after="120" w:line="240"/>
        <w:ind/>
        <w:jc w:val="both"/>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 This paper proposes and studies a multi-criteria model that supports a recurring household decision: how to split free monthly cash flow between early debt repayment, a liquidity reserve, and savings goals. The model combines several components into a single decision cycle. It generates allocation alternatives by discretizing the available resource into fixed shares, screens loans for early repayment against an opportunity-cost rate threshold, scores goal attainment with category and urgency weights, enforces a feasibility cascade based on liquidity and debt-load constraints, forecasts cash flows with simple exponential smoothing accompanied by Monte-Carlo interval estimation, and ranks the feasible alternatives by an additive utility function whose weights encode the user's risk profile. A computational study runs the model on three demonstration profiles — over-indebted, typical, and comfortable — under three liquidity-threshold regimes. The study reveals a degeneracy in the original criteria specification: the resource and liquidity criteria, both computed from the unallocated remainder, are nearly collinear (their correlation across alternatives exceeds 0.999), so the ranking collapses toward reserve-only allocations regardless of the risk profile, while sample-range min-max normalization inflates economically negligible criterion differences to the full unit interval. The paper then introduces a refinement: the resource criterion becomes a forecast of next-period free cash flow, which embeds the forecasting block directly into the utility function; the liquidity criterion switches to a stock-based measure; and normalization is anchored to financial norms — the regulatory debt-service-to-income ceiling and liquidity-stock benchmarks — instead of the sample range. Under the refined model, recommendations differentiate monotonically across risk profiles: conservative profiles build the reserve, active profiles fund goals, and the aggressive profile additionally prepays expensive debt. Rankings remain stable under small weight perturbations, the protective cascade still produces corrective output on the over-indebted profile, and a full decision cycle completes in under two milliseconds, which supports interactive use.</w:t>
      </w:r>
    </w:p>
    <w:p>
      <w:pPr>
        <w:spacing w:after="280"/>
        <w:ind/>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multi-criteria decision making, decision support, simple additive weighting, criteria normalization, cash-flow forecasting, Monte-Carlo method, personal finance, computational experiment</w:t>
      </w:r>
    </w:p>
    <w:p>
      <w:pPr>
        <w:spacing w:after="120" w:before="240"/>
        <w:jc w:val="left"/>
      </w:pPr>
      <w:r>
        <w:rPr>
          <w:rFonts w:ascii="Times New Roman" w:cs="Times New Roman" w:eastAsia="Times New Roman" w:hAnsi="Times New Roman"/>
          <w:b/>
          <w:bCs/>
          <w:sz w:val="24"/>
          <w:szCs w:val="24"/>
        </w:rPr>
        <w:t xml:space="preserve">Введение</w:t>
      </w:r>
    </w:p>
    <w:p>
      <w:pPr>
        <w:spacing w:after="60" w:line="276"/>
        <w:ind w:firstLine="567"/>
        <w:jc w:val="both"/>
      </w:pPr>
      <w:r>
        <w:rPr>
          <w:rFonts w:ascii="Times New Roman" w:cs="Times New Roman" w:eastAsia="Times New Roman" w:hAnsi="Times New Roman"/>
          <w:sz w:val="22"/>
          <w:szCs w:val="22"/>
        </w:rPr>
        <w:t xml:space="preserve">Качество бытовых финансовых решений напрямую влияет на устойчивость домохозяйств, уровень сбережений и способность достигать долгосрочных целей [Lusardi, Mitchell, 2014]. Расширение линейки финансовых продуктов и цифровых каналов их потребления увеличивает число альтернатив, которые приходится сопоставлять по ставкам, срокам и рискам, тогда как исходные сведения о доходах, расходах и обязательствах у большинства пользователей остаются разрозненными [Блохина и др., 2025; Малёнкина, Поняева, 2024]. Цифровые сервисы управления личными финансами развиваются быстро [Gomber et al., 2017; Качанова, Плакса, 2025], однако их функциональность преимущественно сводится к учёту операций и визуализации структуры расходов: формализованная процедура выбора действий — куда направить свободные средства этого месяца — в массовых продуктах, как правило, отсутствует.</w:t>
      </w:r>
    </w:p>
    <w:p>
      <w:pPr>
        <w:spacing w:after="60" w:line="276"/>
        <w:ind w:firstLine="567"/>
        <w:jc w:val="both"/>
      </w:pPr>
      <w:r>
        <w:rPr>
          <w:rFonts w:ascii="Times New Roman" w:cs="Times New Roman" w:eastAsia="Times New Roman" w:hAnsi="Times New Roman"/>
          <w:sz w:val="22"/>
          <w:szCs w:val="22"/>
        </w:rPr>
        <w:t xml:space="preserve">Потребность в такой процедуре подтверждается эмпирически. Проведённый автором анонимный онлайн-опрос (385 собранных анкет, 322 валидных после контроля внимательности) показал, что при декларируемой склонности к рациональному расчёту в конкретной ситуации распределения свободной суммы лишь 10% респондентов опирались на вычисления, 63% принимали решение исходя из эмоционального комфорта или тревоги, а 84% положительно оценили идею алгоритмического советника при условии прозрачности его логики. Последнее условие существенно: в задачах с высокой ценой ошибки интерпретируемые модели предпочтительнее апостериорных объяснений «чёрных ящиков» [Rudin, 2019], а качество объяснения определяет доверие пользователя к рекомендации [Miller, 2019; Arrieta et al., 2020].</w:t>
      </w:r>
    </w:p>
    <w:p>
      <w:pPr>
        <w:spacing w:after="60" w:line="276"/>
        <w:ind w:firstLine="567"/>
        <w:jc w:val="both"/>
      </w:pPr>
      <w:r>
        <w:rPr>
          <w:rFonts w:ascii="Times New Roman" w:cs="Times New Roman" w:eastAsia="Times New Roman" w:hAnsi="Times New Roman"/>
          <w:sz w:val="22"/>
          <w:szCs w:val="22"/>
        </w:rPr>
        <w:t xml:space="preserve">Методическую основу для формализации подобных задач даёт многокритериальный анализ решений, систематически применяемый в финансовых приложениях [Hwang, Yoon, 1981; Zopounidis, Doumpos, 2002]. Среди методов ранжирования аддитивная свёртка критериев (simple additive weighting, SAW), восходящая к теории аддитивной полезности [Fishburn, 1967], выделяется сочетанием простоты, вычислительной эффективности и — что критично для рассматриваемой области — полной прозрачности для пользователя: вклад каждого критерия в итоговую оценку альтернативы виден явно [Velasquez, Hester, 2013]. Диагностика финансового состояния домохозяйства через систему коэффициентов разработана в [Lytton et al., 1991] и доведена до консенсусных норм в [Greninger et al., 1996]; нормативное ограничение долговой нагрузки задаётся регулятором [Банк России, 2018]. Для оценки устойчивости будущих состояний применяются экспоненциальное сглаживание [Hyndman et al., 2002] и стохастическое моделирование методом Монте-Карло [Metropolis, Ulam, 1949]. Вместе с тем известно, что результат многокритериального ранжирования чувствителен к выбору процедуры нормализации критериев [Jain et al., 2005; Vafaei et al., 2018] — этот аспект, как показано ниже, оказывается определяющим для рассматриваемого класса моделей.</w:t>
      </w:r>
    </w:p>
    <w:p>
      <w:pPr>
        <w:spacing w:after="60" w:line="276"/>
        <w:ind w:firstLine="567"/>
        <w:jc w:val="both"/>
      </w:pPr>
      <w:r>
        <w:rPr>
          <w:rFonts w:ascii="Times New Roman" w:cs="Times New Roman" w:eastAsia="Times New Roman" w:hAnsi="Times New Roman"/>
          <w:sz w:val="22"/>
          <w:szCs w:val="22"/>
        </w:rPr>
        <w:t xml:space="preserve">Научная новизна работы состоит не в отдельных методах, каждый из которых известен, а в их интеграции в единую модель распределения свободного денежного потока и в результатах её вычислительного исследования. Вклад работы: (1) сформулирована полная многокритериальная модель, включающая генерацию альтернатив, фильтр досрочного погашения по альтернативной доходности, взвешенную оценку целей и каскад ограничений допустимости; (2) вычислительным экспериментом установлена вырожденность естественной спецификации критериев — коллинеарность критериев ресурса и ликвидности и патология минимаксной нормализации, смещающие ранжирование к резервным распределениям независимо от предпочтений пользователя; (3) предложена модификация — прогнозный критерий ресурса, интегрирующий блок прогнозирования в функцию полезности, критерий ликвидности по запасу и нормативная нормализация критериев, — восстанавливающая содержательную дифференциацию рекомендаций по профилям риска; (4) показано сохранение защитного поведения ограничений и устойчивость ранжирования к возмущениям весов. Персональные финансы выступают прикладной областью; сама схема «обнаруженная коллинеарность критериев → нормативное якорение шкал» переносима на другие задачи распределения ресурса.</w:t>
      </w:r>
    </w:p>
    <w:p>
      <w:pPr>
        <w:spacing w:after="120" w:before="240"/>
        <w:jc w:val="left"/>
      </w:pPr>
      <w:r>
        <w:rPr>
          <w:rFonts w:ascii="Times New Roman" w:cs="Times New Roman" w:eastAsia="Times New Roman" w:hAnsi="Times New Roman"/>
          <w:b/>
          <w:bCs/>
          <w:sz w:val="24"/>
          <w:szCs w:val="24"/>
        </w:rPr>
        <w:t xml:space="preserve">1. Классы алгоритмических подходов и выбор метода</w:t>
      </w:r>
    </w:p>
    <w:p>
      <w:pPr>
        <w:spacing w:after="60" w:line="276"/>
        <w:ind w:firstLine="567"/>
        <w:jc w:val="both"/>
      </w:pPr>
      <w:r>
        <w:rPr>
          <w:rFonts w:ascii="Times New Roman" w:cs="Times New Roman" w:eastAsia="Times New Roman" w:hAnsi="Times New Roman"/>
          <w:sz w:val="22"/>
          <w:szCs w:val="22"/>
        </w:rPr>
        <w:t xml:space="preserve">Алгоритмические ядра цифровых инструментов персонального финансового планирования можно разделить на шесть классов, различающихся балансом адаптивности и объяснимости (таблица 1). Правила и эвристики прозрачны, но плохо выражают компромиссы между конкурирующими направлениями; скоринговые модели сводят многомерную ситуацию к одному числу; прогнозные модели повышают обоснованность, но сами по себе не выбирают действие; оптимизационные постановки строги, но их решения трудно объяснить пользователю без специальной подготовки. Гибридная схема — правила как ограничения допустимости, прогноз как источник критерия, многокритериальное ранжирование как механизм выбора — сочетает сильные стороны классов ценой роста требований к согласованию модулей; именно согласование критериев и оказывается, как показано в разделе 3, нетривиальной частью задачи.</w:t>
      </w:r>
    </w:p>
    <w:p>
      <w:pPr>
        <w:spacing w:after="80" w:before="160"/>
        <w:jc w:val="left"/>
      </w:pPr>
      <w:r>
        <w:rPr>
          <w:rFonts w:ascii="Times New Roman" w:cs="Times New Roman" w:eastAsia="Times New Roman" w:hAnsi="Times New Roman"/>
          <w:i/>
          <w:iCs/>
          <w:sz w:val="20"/>
          <w:szCs w:val="20"/>
        </w:rPr>
        <w:t xml:space="preserve">Таблица 1. Классы алгоритмических подходов к поддержке решений в персональных финансах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38"/>
      </w:tblGrid>
      <w:tr>
        <w:trPr>
          <w:tblHeader/>
        </w:trPr>
        <w:tc>
          <w:tcPr>
            <w:tcW w:type="dxa" w:w="26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Класс подхода</w:t>
            </w:r>
          </w:p>
        </w:tc>
        <w:tc>
          <w:tcPr>
            <w:tcW w:type="dxa" w:w="35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Сильные стороны</w:t>
            </w:r>
          </w:p>
        </w:tc>
        <w:tc>
          <w:tcPr>
            <w:tcW w:type="dxa" w:w="3538"/>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Ограничения</w:t>
            </w:r>
          </w:p>
        </w:tc>
      </w:tr>
      <w:tr>
        <w:tc>
          <w:tcPr>
            <w:tcW w:type="dxa" w:w="26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Правила и эвристики</w:t>
            </w:r>
          </w:p>
        </w:tc>
        <w:tc>
          <w:tcPr>
            <w:tcW w:type="dxa" w:w="3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Прозрачная логика, низкая сложность</w:t>
            </w:r>
          </w:p>
        </w:tc>
        <w:tc>
          <w:tcPr>
            <w:tcW w:type="dxa" w:w="35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Слабая адаптивность, трудности с многокритериальностью</w:t>
            </w:r>
          </w:p>
        </w:tc>
      </w:tr>
      <w:tr>
        <w:tc>
          <w:tcPr>
            <w:tcW w:type="dxa" w:w="26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Скоринговые модели</w:t>
            </w:r>
          </w:p>
        </w:tc>
        <w:tc>
          <w:tcPr>
            <w:tcW w:type="dxa" w:w="3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Компактность, удобство мониторинга</w:t>
            </w:r>
          </w:p>
        </w:tc>
        <w:tc>
          <w:tcPr>
            <w:tcW w:type="dxa" w:w="35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Редукция к одному числу, спорность весов</w:t>
            </w:r>
          </w:p>
        </w:tc>
      </w:tr>
      <w:tr>
        <w:tc>
          <w:tcPr>
            <w:tcW w:type="dxa" w:w="26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Прогнозирование потоков</w:t>
            </w:r>
          </w:p>
        </w:tc>
        <w:tc>
          <w:tcPr>
            <w:tcW w:type="dxa" w:w="3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Учёт динамики и неопределённости</w:t>
            </w:r>
          </w:p>
        </w:tc>
        <w:tc>
          <w:tcPr>
            <w:tcW w:type="dxa" w:w="35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Не выбирает действие, требует истории</w:t>
            </w:r>
          </w:p>
        </w:tc>
      </w:tr>
      <w:tr>
        <w:tc>
          <w:tcPr>
            <w:tcW w:type="dxa" w:w="26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Многокритериальный выбор</w:t>
            </w:r>
          </w:p>
        </w:tc>
        <w:tc>
          <w:tcPr>
            <w:tcW w:type="dxa" w:w="3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Формализация компромиссов, настройка предпочтений</w:t>
            </w:r>
          </w:p>
        </w:tc>
        <w:tc>
          <w:tcPr>
            <w:tcW w:type="dxa" w:w="35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Чувствительность к шкалам и нормализации</w:t>
            </w:r>
          </w:p>
        </w:tc>
      </w:tr>
      <w:tr>
        <w:tc>
          <w:tcPr>
            <w:tcW w:type="dxa" w:w="26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Оптимизационные модели</w:t>
            </w:r>
          </w:p>
        </w:tc>
        <w:tc>
          <w:tcPr>
            <w:tcW w:type="dxa" w:w="3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Строгость, воспроизводимость</w:t>
            </w:r>
          </w:p>
        </w:tc>
        <w:tc>
          <w:tcPr>
            <w:tcW w:type="dxa" w:w="35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Сложность объяснения, зависимость от допущений</w:t>
            </w:r>
          </w:p>
        </w:tc>
      </w:tr>
      <w:tr>
        <w:tc>
          <w:tcPr>
            <w:tcW w:type="dxa" w:w="26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Гибрид (правила + прогноз + ранжирование)</w:t>
            </w:r>
          </w:p>
        </w:tc>
        <w:tc>
          <w:tcPr>
            <w:tcW w:type="dxa" w:w="3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Баланс объяснимости и качества</w:t>
            </w:r>
          </w:p>
        </w:tc>
        <w:tc>
          <w:tcPr>
            <w:tcW w:type="dxa" w:w="35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Согласование модулей, требовательное тестирование</w:t>
            </w:r>
          </w:p>
        </w:tc>
      </w:tr>
    </w:tbl>
    <w:p>
      <w:pPr>
        <w:spacing w:after="80"/>
      </w:pPr>
    </w:p>
    <w:p>
      <w:pPr>
        <w:spacing w:after="120" w:before="240"/>
        <w:jc w:val="left"/>
      </w:pPr>
      <w:r>
        <w:rPr>
          <w:rFonts w:ascii="Times New Roman" w:cs="Times New Roman" w:eastAsia="Times New Roman" w:hAnsi="Times New Roman"/>
          <w:b/>
          <w:bCs/>
          <w:sz w:val="24"/>
          <w:szCs w:val="24"/>
        </w:rPr>
        <w:t xml:space="preserve">2. Математическая модель</w:t>
      </w:r>
    </w:p>
    <w:p>
      <w:pPr>
        <w:spacing w:after="100" w:before="180"/>
        <w:jc w:val="left"/>
      </w:pPr>
      <w:r>
        <w:rPr>
          <w:rFonts w:ascii="Times New Roman" w:cs="Times New Roman" w:eastAsia="Times New Roman" w:hAnsi="Times New Roman"/>
          <w:b/>
          <w:bCs/>
          <w:i/>
          <w:iCs/>
          <w:sz w:val="22"/>
          <w:szCs w:val="22"/>
        </w:rPr>
        <w:t xml:space="preserve">2.1. Входные данные и показатели состояния</w:t>
      </w:r>
    </w:p>
    <w:p>
      <w:pPr>
        <w:spacing w:after="60" w:line="276"/>
        <w:ind w:firstLine="567"/>
        <w:jc w:val="both"/>
      </w:pPr>
      <w:r>
        <w:rPr>
          <w:rFonts w:ascii="Times New Roman" w:cs="Times New Roman" w:eastAsia="Times New Roman" w:hAnsi="Times New Roman"/>
          <w:sz w:val="22"/>
          <w:szCs w:val="22"/>
        </w:rPr>
        <w:t xml:space="preserve">Входные данные приводятся к единому временно́му шагу в один месяц. Пусть в периоде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заданы доходные транзакции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rPr>
        <w:t xml:space="preserve">, расходные транзакции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iCs/>
          <w:sz w:val="22"/>
          <w:szCs w:val="22"/>
          <w:vertAlign w:val="subscript"/>
        </w:rPr>
        <w:t xml:space="preserve">j</w:t>
      </w:r>
      <w:r>
        <w:rPr>
          <w:rFonts w:ascii="Times New Roman" w:cs="Times New Roman" w:eastAsia="Times New Roman" w:hAnsi="Times New Roman"/>
          <w:sz w:val="22"/>
          <w:szCs w:val="22"/>
        </w:rPr>
        <w:t xml:space="preserve"> и текущий остаток средств </w:t>
      </w:r>
      <w:r>
        <w:rPr>
          <w:rFonts w:ascii="Times New Roman" w:cs="Times New Roman" w:eastAsia="Times New Roman" w:hAnsi="Times New Roman"/>
          <w:i/>
          <w:iCs/>
          <w:sz w:val="22"/>
          <w:szCs w:val="22"/>
        </w:rPr>
        <w:t xml:space="preserve">B</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Множество кредитных обязательств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B</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vertAlign w:val="superscript"/>
        </w:rPr>
        <w:t xml:space="preserve">кр</w:t>
      </w:r>
      <w:r>
        <w:rPr>
          <w:rFonts w:ascii="Times New Roman" w:cs="Times New Roman" w:eastAsia="Times New Roman" w:hAnsi="Times New Roman"/>
          <w:sz w:val="22"/>
          <w:szCs w:val="22"/>
        </w:rPr>
        <w:t xml:space="preserve">)} описывает для каждого кредита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rPr>
        <w:t xml:space="preserve"> ежемесячный аннуитетный платёж, годовую ставку, остаточный срок и остаток основного долга. Множество целей </w:t>
      </w:r>
      <w:r>
        <w:rPr>
          <w:rFonts w:ascii="Times New Roman" w:cs="Times New Roman" w:eastAsia="Times New Roman" w:hAnsi="Times New Roman"/>
          <w:i/>
          <w:iCs/>
          <w:sz w:val="22"/>
          <w:szCs w:val="22"/>
        </w:rPr>
        <w:t xml:space="preserve">G</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vertAlign w:val="superscript"/>
        </w:rPr>
        <w:t xml:space="preserve">цел</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τ</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задаёт для каждой цели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целевую сумму, текущее накопление, число месяцев до срока и категорию. Вектор параметров пользователя включает порог ликвидности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предельную долговую нагрузку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пороговую ставку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bench</w:t>
      </w:r>
      <w:r>
        <w:rPr>
          <w:rFonts w:ascii="Times New Roman" w:cs="Times New Roman" w:eastAsia="Times New Roman" w:hAnsi="Times New Roman"/>
          <w:sz w:val="22"/>
          <w:szCs w:val="22"/>
        </w:rPr>
        <w:t xml:space="preserve"> и профиль риска. Чистый денежный поток и свободный ресурс периода определяются как</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CF</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iCs/>
          <w:sz w:val="22"/>
          <w:szCs w:val="22"/>
          <w:vertAlign w:val="subscript"/>
        </w:rPr>
        <w:t xml:space="preserve">j</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(1)</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CF</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(2)</w:t>
      </w:r>
    </w:p>
    <w:p>
      <w:pPr>
        <w:spacing w:after="60" w:line="276"/>
        <w:ind w:firstLine="567"/>
        <w:jc w:val="both"/>
      </w:pPr>
      <w:r>
        <w:rPr>
          <w:rFonts w:ascii="Times New Roman" w:cs="Times New Roman" w:eastAsia="Times New Roman" w:hAnsi="Times New Roman"/>
          <w:sz w:val="22"/>
          <w:szCs w:val="22"/>
        </w:rPr>
        <w:t xml:space="preserve">Текущее состояние характеризуется коэффициентом ликвидности и долговой нагрузкой:</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L</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iCs/>
          <w:sz w:val="22"/>
          <w:szCs w:val="22"/>
          <w:vertAlign w:val="subscript"/>
        </w:rPr>
        <w:t xml:space="preserve">j</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(3)</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(4)</w:t>
      </w:r>
    </w:p>
    <w:p>
      <w:pPr>
        <w:spacing w:after="60" w:line="276"/>
        <w:ind w:firstLine="567"/>
        <w:jc w:val="both"/>
      </w:pPr>
      <w:r>
        <w:rPr>
          <w:rFonts w:ascii="Times New Roman" w:cs="Times New Roman" w:eastAsia="Times New Roman" w:hAnsi="Times New Roman"/>
          <w:sz w:val="22"/>
          <w:szCs w:val="22"/>
        </w:rPr>
        <w:t xml:space="preserve">Показатель (3) выражает, какая доля суммарных обязательных платежей месяца покрывается свободным ресурсом, и интерпретируется как оперативный запас прочности бюджета; норма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 0,30 опирается на систему коэффициентов [Greninger et al., 1996]. Показатель (4) — показатель долговой нагрузки; предельное значение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 0,40 соответствует нормативному порогу [Банк России, 2018]. Условия </w:t>
      </w:r>
      <w:r>
        <w:rPr>
          <w:rFonts w:ascii="Times New Roman" w:cs="Times New Roman" w:eastAsia="Times New Roman" w:hAnsi="Times New Roman"/>
          <w:i/>
          <w:iCs/>
          <w:sz w:val="22"/>
          <w:szCs w:val="22"/>
        </w:rPr>
        <w:t xml:space="preserve">CF</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&gt; 0 и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&gt; 0 являются необходимыми для применимости модели: при их нарушении модель не подбирает «наименее плохое» распределение, а формирует корректирующую рекомендацию о структурном пересмотре бюджета (принцип отказа с диагностикой).</w:t>
      </w:r>
    </w:p>
    <w:p>
      <w:pPr>
        <w:spacing w:after="100" w:before="180"/>
        <w:jc w:val="left"/>
      </w:pPr>
      <w:r>
        <w:rPr>
          <w:rFonts w:ascii="Times New Roman" w:cs="Times New Roman" w:eastAsia="Times New Roman" w:hAnsi="Times New Roman"/>
          <w:b/>
          <w:bCs/>
          <w:i/>
          <w:iCs/>
          <w:sz w:val="22"/>
          <w:szCs w:val="22"/>
        </w:rPr>
        <w:t xml:space="preserve">2.2. Прогнозирование денежных потоков</w:t>
      </w:r>
    </w:p>
    <w:p>
      <w:pPr>
        <w:spacing w:after="60" w:line="276"/>
        <w:ind w:firstLine="567"/>
        <w:jc w:val="both"/>
      </w:pPr>
      <w:r>
        <w:rPr>
          <w:rFonts w:ascii="Times New Roman" w:cs="Times New Roman" w:eastAsia="Times New Roman" w:hAnsi="Times New Roman"/>
          <w:sz w:val="22"/>
          <w:szCs w:val="22"/>
        </w:rPr>
        <w:t xml:space="preserve">Ряды доходов и расходов прогнозируются простым экспоненциальным сглаживанием [Hyndman et al., 2002]:</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ŷ</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α</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(1 − </w:t>
      </w:r>
      <w:r>
        <w:rPr>
          <w:rFonts w:ascii="Times New Roman" w:cs="Times New Roman" w:eastAsia="Times New Roman" w:hAnsi="Times New Roman"/>
          <w:i/>
          <w:iCs/>
          <w:sz w:val="22"/>
          <w:szCs w:val="22"/>
        </w:rPr>
        <w:t xml:space="preserve">α</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ŷ</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0 &lt; </w:t>
      </w:r>
      <w:r>
        <w:rPr>
          <w:rFonts w:ascii="Times New Roman" w:cs="Times New Roman" w:eastAsia="Times New Roman" w:hAnsi="Times New Roman"/>
          <w:i/>
          <w:iCs/>
          <w:sz w:val="22"/>
          <w:szCs w:val="22"/>
        </w:rPr>
        <w:t xml:space="preserve">α</w:t>
      </w:r>
      <w:r>
        <w:rPr>
          <w:rFonts w:ascii="Times New Roman" w:cs="Times New Roman" w:eastAsia="Times New Roman" w:hAnsi="Times New Roman"/>
          <w:sz w:val="22"/>
          <w:szCs w:val="22"/>
        </w:rPr>
        <w:t xml:space="preserve"> &lt; 1,</w:t>
      </w:r>
      <w:r>
        <w:rPr>
          <w:rFonts w:ascii="Times New Roman" w:cs="Times New Roman" w:eastAsia="Times New Roman" w:hAnsi="Times New Roman"/>
          <w:sz w:val="22"/>
          <w:szCs w:val="22"/>
        </w:rPr>
        <w:t xml:space="preserve">	(5)</w:t>
      </w:r>
    </w:p>
    <w:p>
      <w:pPr>
        <w:spacing w:after="60" w:line="276"/>
        <w:ind w:firstLine="567"/>
        <w:jc w:val="both"/>
      </w:pPr>
      <w:r>
        <w:rPr>
          <w:rFonts w:ascii="Times New Roman" w:cs="Times New Roman" w:eastAsia="Times New Roman" w:hAnsi="Times New Roman"/>
          <w:sz w:val="22"/>
          <w:szCs w:val="22"/>
        </w:rPr>
        <w:t xml:space="preserve">где коэффициент </w:t>
      </w:r>
      <w:r>
        <w:rPr>
          <w:rFonts w:ascii="Times New Roman" w:cs="Times New Roman" w:eastAsia="Times New Roman" w:hAnsi="Times New Roman"/>
          <w:i/>
          <w:iCs/>
          <w:sz w:val="22"/>
          <w:szCs w:val="22"/>
        </w:rPr>
        <w:t xml:space="preserve">α</w:t>
      </w:r>
      <w:r>
        <w:rPr>
          <w:rFonts w:ascii="Times New Roman" w:cs="Times New Roman" w:eastAsia="Times New Roman" w:hAnsi="Times New Roman"/>
          <w:sz w:val="22"/>
          <w:szCs w:val="22"/>
        </w:rPr>
        <w:t xml:space="preserve"> = 0,3 задаёт умеренное доверие к последнему наблюдению, типичное для месячных финансовых рядов. Неопределённость прогноза оценивается методом Монте-Карло [Metropolis, Ulam, 1949]: вокруг точечного прогноза генерируется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 1000 сценариев с шумом, дисперсия которого равна выборочной дисперсии остатков сглаживания; по сценариям вычисляются медиана и 95-процентный интервал на горизонте </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rPr>
        <w:t xml:space="preserve"> = 1, …, 3 месяцев. В исходной спецификации модели прогнозный блок выполняет только диагностическую функцию — оценивает риск дефицита ресурса; в разделе 3.3 он интегрируется непосредственно в функцию полезности.</w:t>
      </w:r>
    </w:p>
    <w:p>
      <w:pPr>
        <w:spacing w:after="100" w:before="180"/>
        <w:jc w:val="left"/>
      </w:pPr>
      <w:r>
        <w:rPr>
          <w:rFonts w:ascii="Times New Roman" w:cs="Times New Roman" w:eastAsia="Times New Roman" w:hAnsi="Times New Roman"/>
          <w:b/>
          <w:bCs/>
          <w:i/>
          <w:iCs/>
          <w:sz w:val="22"/>
          <w:szCs w:val="22"/>
        </w:rPr>
        <w:t xml:space="preserve">2.3. Генерация альтернатив и фильтр ставок досрочного погашения</w:t>
      </w:r>
    </w:p>
    <w:p>
      <w:pPr>
        <w:spacing w:after="60" w:line="276"/>
        <w:ind w:firstLine="567"/>
        <w:jc w:val="both"/>
      </w:pPr>
      <w:r>
        <w:rPr>
          <w:rFonts w:ascii="Times New Roman" w:cs="Times New Roman" w:eastAsia="Times New Roman" w:hAnsi="Times New Roman"/>
          <w:sz w:val="22"/>
          <w:szCs w:val="22"/>
        </w:rPr>
        <w:t xml:space="preserve">Альтернатива распределения — тройка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d</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r</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g</w:t>
      </w:r>
      <w:r>
        <w:rPr>
          <w:rFonts w:ascii="Times New Roman" w:cs="Times New Roman" w:eastAsia="Times New Roman" w:hAnsi="Times New Roman"/>
          <w:sz w:val="22"/>
          <w:szCs w:val="22"/>
        </w:rPr>
        <w:t xml:space="preserve">) сумм, направляемых соответственно на досрочное погашение обязательств, в резерв ликвидности и на цели, при условии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d</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r</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g</w:t>
      </w:r>
      <w:r>
        <w:rPr>
          <w:rFonts w:ascii="Times New Roman" w:cs="Times New Roman" w:eastAsia="Times New Roman" w:hAnsi="Times New Roman"/>
          <w:sz w:val="22"/>
          <w:szCs w:val="22"/>
        </w:rPr>
        <w:t xml:space="preserve"> = max(</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0) и неотрицательности компонент. Множество альтернатив формируется дискретизацией долей с шагом 0,2, что по схеме сочетаний с повторениями даёт 21 вариант — от «всё на досрочное погашение» до «всё на цели». Шаг дискретизации балансирует полноту перебора и когнитивную нагрузку: каждая альтернатива остаётся объяснимой пользователю в терминах долей.</w:t>
      </w:r>
    </w:p>
    <w:p>
      <w:pPr>
        <w:spacing w:after="60" w:line="276"/>
        <w:ind w:firstLine="567"/>
        <w:jc w:val="both"/>
      </w:pPr>
      <w:r>
        <w:rPr>
          <w:rFonts w:ascii="Times New Roman" w:cs="Times New Roman" w:eastAsia="Times New Roman" w:hAnsi="Times New Roman"/>
          <w:sz w:val="22"/>
          <w:szCs w:val="22"/>
        </w:rPr>
        <w:t xml:space="preserve">Сумма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d</w:t>
      </w:r>
      <w:r>
        <w:rPr>
          <w:rFonts w:ascii="Times New Roman" w:cs="Times New Roman" w:eastAsia="Times New Roman" w:hAnsi="Times New Roman"/>
          <w:sz w:val="22"/>
          <w:szCs w:val="22"/>
        </w:rPr>
        <w:t xml:space="preserve"> распределяется между кредитами по стратегии приоритета наибольшей ставки [Bach, 2004; Amar et al., 2011] с дополнительным экономическим фильтром: досрочное погашение применяется только к обязательствам, ставка которых не ниже альтернативной доходности размещения средств</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vertAlign w:val="superscript"/>
        </w:rPr>
        <w:t xml:space="preserve">цел</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bench</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(6)</w:t>
      </w:r>
    </w:p>
    <w:p>
      <w:pPr>
        <w:spacing w:after="60" w:line="276"/>
        <w:ind w:firstLine="567"/>
        <w:jc w:val="both"/>
      </w:pPr>
      <w:r>
        <w:rPr>
          <w:rFonts w:ascii="Times New Roman" w:cs="Times New Roman" w:eastAsia="Times New Roman" w:hAnsi="Times New Roman"/>
          <w:sz w:val="22"/>
          <w:szCs w:val="22"/>
        </w:rPr>
        <w:t xml:space="preserve">где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bench</w:t>
      </w:r>
      <w:r>
        <w:rPr>
          <w:rFonts w:ascii="Times New Roman" w:cs="Times New Roman" w:eastAsia="Times New Roman" w:hAnsi="Times New Roman"/>
          <w:sz w:val="22"/>
          <w:szCs w:val="22"/>
        </w:rPr>
        <w:t xml:space="preserve"> = 0,14 — ориентир доходности накопительных инструментов (параметр пересматривается при изменении рыночных условий). Если все кредиты дешевле порога, компонента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d</w:t>
      </w:r>
      <w:r>
        <w:rPr>
          <w:rFonts w:ascii="Times New Roman" w:cs="Times New Roman" w:eastAsia="Times New Roman" w:hAnsi="Times New Roman"/>
          <w:sz w:val="22"/>
          <w:szCs w:val="22"/>
        </w:rPr>
        <w:t xml:space="preserve"> перенаправляется на цели: рубль, размещённый под более высокую ставку, экономически продуктивнее рубля, погасившего дешёвый долг. После частичного погашения аннуитетный платёж пересчитывается при неизменном сроке, что даёт снижение суммарного платежа </w:t>
      </w:r>
      <w:r>
        <w:rPr>
          <w:rFonts w:ascii="Times New Roman" w:cs="Times New Roman" w:eastAsia="Times New Roman" w:hAnsi="Times New Roman"/>
          <w:i/>
          <w:iCs/>
          <w:sz w:val="22"/>
          <w:szCs w:val="22"/>
        </w:rPr>
        <w:t xml:space="preserve">δP</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и, как следствие, долговой нагрузки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w:t>
      </w:r>
    </w:p>
    <w:p>
      <w:pPr>
        <w:spacing w:after="100" w:before="180"/>
        <w:jc w:val="left"/>
      </w:pPr>
      <w:r>
        <w:rPr>
          <w:rFonts w:ascii="Times New Roman" w:cs="Times New Roman" w:eastAsia="Times New Roman" w:hAnsi="Times New Roman"/>
          <w:b/>
          <w:bCs/>
          <w:i/>
          <w:iCs/>
          <w:sz w:val="22"/>
          <w:szCs w:val="22"/>
        </w:rPr>
        <w:t xml:space="preserve">2.4. Обеспеченность целей с учётом категорий и срочности</w:t>
      </w:r>
    </w:p>
    <w:p>
      <w:pPr>
        <w:spacing w:after="60" w:line="276"/>
        <w:ind w:firstLine="567"/>
        <w:jc w:val="both"/>
      </w:pPr>
      <w:r>
        <w:rPr>
          <w:rFonts w:ascii="Times New Roman" w:cs="Times New Roman" w:eastAsia="Times New Roman" w:hAnsi="Times New Roman"/>
          <w:sz w:val="22"/>
          <w:szCs w:val="22"/>
        </w:rPr>
        <w:t xml:space="preserve">Целям сопоставляются веса категорий: инвестиции в рост дохода — 3,0 (приоритет вложений в человеческий капитал [Becker, 1964]), безопасность — 2,0, материальные цели — 1,0, эмоциональные — 0,5. Срочность цели растёт по мере приближения срока:</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u</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 max(1, 12 / max(</w:t>
      </w:r>
      <w:r>
        <w:rPr>
          <w:rFonts w:ascii="Times New Roman" w:cs="Times New Roman" w:eastAsia="Times New Roman" w:hAnsi="Times New Roman"/>
          <w:i/>
          <w:iCs/>
          <w:sz w:val="22"/>
          <w:szCs w:val="22"/>
        </w:rPr>
        <w:t xml:space="preserve">τ</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1)).</w:t>
      </w:r>
      <w:r>
        <w:rPr>
          <w:rFonts w:ascii="Times New Roman" w:cs="Times New Roman" w:eastAsia="Times New Roman" w:hAnsi="Times New Roman"/>
          <w:sz w:val="22"/>
          <w:szCs w:val="22"/>
        </w:rPr>
        <w:t xml:space="preserve">	(7)</w:t>
      </w:r>
    </w:p>
    <w:p>
      <w:pPr>
        <w:spacing w:after="60" w:line="276"/>
        <w:ind w:firstLine="567"/>
        <w:jc w:val="both"/>
      </w:pPr>
      <w:r>
        <w:rPr>
          <w:rFonts w:ascii="Times New Roman" w:cs="Times New Roman" w:eastAsia="Times New Roman" w:hAnsi="Times New Roman"/>
          <w:sz w:val="22"/>
          <w:szCs w:val="22"/>
        </w:rPr>
        <w:t xml:space="preserve">Сумма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g</w:t>
      </w:r>
      <w:r>
        <w:rPr>
          <w:rFonts w:ascii="Times New Roman" w:cs="Times New Roman" w:eastAsia="Times New Roman" w:hAnsi="Times New Roman"/>
          <w:sz w:val="22"/>
          <w:szCs w:val="22"/>
        </w:rPr>
        <w:t xml:space="preserve"> распределяется между активными целями пропорционально произведению веса категории на срочность с ограничением «не накапливать сверх целевой суммы»; избыток перераспределяется по той же пропорции. Взвешенная обеспеченность целей для альтернативы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определяется как</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 Δ</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u</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vertAlign w:val="superscript"/>
        </w:rPr>
        <w:t xml:space="preserve">цел</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u</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(8)</w:t>
      </w:r>
    </w:p>
    <w:p>
      <w:pPr>
        <w:spacing w:after="60" w:line="276"/>
        <w:ind w:firstLine="567"/>
        <w:jc w:val="both"/>
      </w:pPr>
      <w:r>
        <w:rPr>
          <w:rFonts w:ascii="Times New Roman" w:cs="Times New Roman" w:eastAsia="Times New Roman" w:hAnsi="Times New Roman"/>
          <w:sz w:val="22"/>
          <w:szCs w:val="22"/>
        </w:rPr>
        <w:t xml:space="preserve">где Δ</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пополнение цели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в рамках альтернативы. Показатель (8) по построению принадлежит единичному отрезку и интерпретируется как доля взвешенной суммы целей, уже обеспеченная накоплениями.</w:t>
      </w:r>
    </w:p>
    <w:p>
      <w:pPr>
        <w:spacing w:after="100" w:before="180"/>
        <w:jc w:val="left"/>
      </w:pPr>
      <w:r>
        <w:rPr>
          <w:rFonts w:ascii="Times New Roman" w:cs="Times New Roman" w:eastAsia="Times New Roman" w:hAnsi="Times New Roman"/>
          <w:b/>
          <w:bCs/>
          <w:i/>
          <w:iCs/>
          <w:sz w:val="22"/>
          <w:szCs w:val="22"/>
        </w:rPr>
        <w:t xml:space="preserve">2.5. Ограничения допустимости</w:t>
      </w:r>
    </w:p>
    <w:p>
      <w:pPr>
        <w:spacing w:after="60" w:line="276"/>
        <w:ind w:firstLine="567"/>
        <w:jc w:val="both"/>
      </w:pPr>
      <w:r>
        <w:rPr>
          <w:rFonts w:ascii="Times New Roman" w:cs="Times New Roman" w:eastAsia="Times New Roman" w:hAnsi="Times New Roman"/>
          <w:sz w:val="22"/>
          <w:szCs w:val="22"/>
        </w:rPr>
        <w:t xml:space="preserve">Альтернатива допустима, если после её применения состояние остаётся в безопасной зоне:</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L</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0,</w:t>
      </w:r>
      <w:r>
        <w:rPr>
          <w:rFonts w:ascii="Times New Roman" w:cs="Times New Roman" w:eastAsia="Times New Roman" w:hAnsi="Times New Roman"/>
          <w:sz w:val="22"/>
          <w:szCs w:val="22"/>
        </w:rPr>
        <w:t xml:space="preserve">	(9)</w:t>
      </w:r>
    </w:p>
    <w:p>
      <w:pPr>
        <w:spacing w:after="60" w:line="276"/>
        <w:ind w:firstLine="567"/>
        <w:jc w:val="both"/>
      </w:pPr>
      <w:r>
        <w:rPr>
          <w:rFonts w:ascii="Times New Roman" w:cs="Times New Roman" w:eastAsia="Times New Roman" w:hAnsi="Times New Roman"/>
          <w:sz w:val="22"/>
          <w:szCs w:val="22"/>
        </w:rPr>
        <w:t xml:space="preserve">где показатели пересчитаны с учётом распределения: числитель ликвидности уменьшается на направленные из ресурса суммы, знаменатель — на величину </w:t>
      </w:r>
      <w:r>
        <w:rPr>
          <w:rFonts w:ascii="Times New Roman" w:cs="Times New Roman" w:eastAsia="Times New Roman" w:hAnsi="Times New Roman"/>
          <w:i/>
          <w:iCs/>
          <w:sz w:val="22"/>
          <w:szCs w:val="22"/>
        </w:rPr>
        <w:t xml:space="preserve">δP</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Проверка ограничений приоритизирована каскадом: сначала долговая нагрузка, затем ликвидность, затем неотрицательность остатка, — поэтому критические ограничения разрешаются до какого-либо дискреционного выбора. Пустота допустимого множества трактуется как диагноз: модель сообщает, какое ограничение нарушено и почему, вместо выдачи формально «лучшей» из недопустимых альтернатив.</w:t>
      </w:r>
    </w:p>
    <w:p>
      <w:pPr>
        <w:spacing w:after="100" w:before="180"/>
        <w:jc w:val="left"/>
      </w:pPr>
      <w:r>
        <w:rPr>
          <w:rFonts w:ascii="Times New Roman" w:cs="Times New Roman" w:eastAsia="Times New Roman" w:hAnsi="Times New Roman"/>
          <w:b/>
          <w:bCs/>
          <w:i/>
          <w:iCs/>
          <w:sz w:val="22"/>
          <w:szCs w:val="22"/>
        </w:rPr>
        <w:t xml:space="preserve">2.6. Нормализация, свёртка и профили риска</w:t>
      </w:r>
    </w:p>
    <w:p>
      <w:pPr>
        <w:spacing w:after="60" w:line="276"/>
        <w:ind w:firstLine="567"/>
        <w:jc w:val="both"/>
      </w:pPr>
      <w:r>
        <w:rPr>
          <w:rFonts w:ascii="Times New Roman" w:cs="Times New Roman" w:eastAsia="Times New Roman" w:hAnsi="Times New Roman"/>
          <w:sz w:val="22"/>
          <w:szCs w:val="22"/>
        </w:rPr>
        <w:t xml:space="preserve">Перед свёрткой разноразмерные критерии приводятся к единичному отрезку. Естественный и широко используемый выбор — минимаксная нормализация по текущему множеству допустимых альтернатив [Jain et al., 2005]:</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min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(max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min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(10)</w:t>
      </w:r>
    </w:p>
    <w:p>
      <w:pPr>
        <w:spacing w:after="60" w:line="276"/>
        <w:ind w:firstLine="567"/>
        <w:jc w:val="both"/>
      </w:pPr>
      <w:r>
        <w:rPr>
          <w:rFonts w:ascii="Times New Roman" w:cs="Times New Roman" w:eastAsia="Times New Roman" w:hAnsi="Times New Roman"/>
          <w:sz w:val="22"/>
          <w:szCs w:val="22"/>
        </w:rPr>
        <w:t xml:space="preserve">Интегральная полезность альтернативы задаётся аддитивной свёрткой [Fishburn, 1967] с инверсией члена долговой нагрузки, снижение которой предпочтительно:</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iCs/>
          <w:sz w:val="22"/>
          <w:szCs w:val="22"/>
          <w:vertAlign w:val="subscript"/>
        </w:rPr>
        <w:t xml:space="preserve">R</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iCs/>
          <w:sz w:val="22"/>
          <w:szCs w:val="22"/>
          <w:vertAlign w:val="subscript"/>
        </w:rPr>
        <w:t xml:space="preserve">D</w:t>
      </w:r>
      <w:r>
        <w:rPr>
          <w:rFonts w:ascii="Times New Roman" w:cs="Times New Roman" w:eastAsia="Times New Roman" w:hAnsi="Times New Roman"/>
          <w:sz w:val="22"/>
          <w:szCs w:val="22"/>
        </w:rPr>
        <w:t xml:space="preserve"> (1 −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Ŝ</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w</w:t>
      </w:r>
      <w:r>
        <w:rPr>
          <w:rFonts w:ascii="Times New Roman" w:cs="Times New Roman" w:eastAsia="Times New Roman" w:hAnsi="Times New Roman"/>
          <w:sz w:val="22"/>
          <w:szCs w:val="22"/>
        </w:rPr>
        <w:t xml:space="preserve"> = 1;   </w:t>
      </w:r>
      <w:r>
        <w:rPr>
          <w:rFonts w:ascii="Times New Roman" w:cs="Times New Roman" w:eastAsia="Times New Roman" w:hAnsi="Times New Roman"/>
          <w:i/>
          <w:iCs/>
          <w:sz w:val="22"/>
          <w:szCs w:val="22"/>
        </w:rPr>
        <w:t xml:space="preserve">a</w:t>
      </w:r>
      <w:r>
        <w:rPr>
          <w:rFonts w:ascii="Times New Roman" w:cs="Times New Roman" w:eastAsia="Times New Roman" w:hAnsi="Times New Roman"/>
          <w:i/>
          <w:iCs/>
          <w:sz w:val="22"/>
          <w:szCs w:val="22"/>
        </w:rPr>
        <w:t xml:space="preserve"> = arg max </w:t>
      </w:r>
      <w:r>
        <w:rPr>
          <w:rFonts w:ascii="Times New Roman" w:cs="Times New Roman" w:eastAsia="Times New Roman" w:hAnsi="Times New Roman"/>
          <w:sz w:val="22"/>
          <w:szCs w:val="22"/>
        </w:rPr>
        <w:t xml:space="preserve">U</w:t>
      </w:r>
      <w:r>
        <w:rPr>
          <w:rFonts w:ascii="Times New Roman" w:cs="Times New Roman" w:eastAsia="Times New Roman" w:hAnsi="Times New Roman"/>
          <w:i/>
          <w:iCs/>
          <w:sz w:val="22"/>
          <w:szCs w:val="22"/>
        </w:rPr>
        <w:t xml:space="preserve">(</w:t>
      </w: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rPr>
        <w:t xml:space="preserve">	(11)</w:t>
      </w:r>
    </w:p>
    <w:p>
      <w:pPr>
        <w:spacing w:after="60" w:line="276"/>
        <w:ind w:firstLine="567"/>
        <w:jc w:val="both"/>
      </w:pPr>
      <w:r>
        <w:rPr>
          <w:rFonts w:ascii="Times New Roman" w:cs="Times New Roman" w:eastAsia="Times New Roman" w:hAnsi="Times New Roman"/>
          <w:sz w:val="22"/>
          <w:szCs w:val="22"/>
        </w:rPr>
        <w:t xml:space="preserve">Веса кодируют финансовую стратегию пользователя и задаются одним из пяти профилей риска (таблица 2); профиль «сбалансированный» используется по умолчанию. Явная функция полезности делает модель настраиваемой без изменения алгоритма и объяснимой: для любой рекомендации можно показать вклад каждого критерия.</w:t>
      </w:r>
    </w:p>
    <w:p>
      <w:pPr>
        <w:spacing w:after="80" w:before="160"/>
        <w:jc w:val="left"/>
      </w:pPr>
      <w:r>
        <w:rPr>
          <w:rFonts w:ascii="Times New Roman" w:cs="Times New Roman" w:eastAsia="Times New Roman" w:hAnsi="Times New Roman"/>
          <w:i/>
          <w:iCs/>
          <w:sz w:val="20"/>
          <w:szCs w:val="20"/>
        </w:rPr>
        <w:t xml:space="preserve">Таблица 2. Профили риска и веса критериев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1800"/>
        <w:gridCol w:w="1800"/>
        <w:gridCol w:w="1800"/>
        <w:gridCol w:w="1800"/>
      </w:tblGrid>
      <w:tr>
        <w:trPr>
          <w:tblHeader/>
        </w:trPr>
        <w:tc>
          <w:tcPr>
            <w:tcW w:type="dxa" w:w="2438"/>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Профиль</w:t>
            </w:r>
          </w:p>
        </w:tc>
        <w:tc>
          <w:tcPr>
            <w:tcW w:type="dxa" w:w="18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i/>
                <w:iCs/>
                <w:sz w:val="20"/>
                <w:szCs w:val="20"/>
              </w:rPr>
              <w:t xml:space="preserve">w</w:t>
            </w:r>
            <w:r>
              <w:rPr>
                <w:rFonts w:ascii="Times New Roman" w:cs="Times New Roman" w:eastAsia="Times New Roman" w:hAnsi="Times New Roman"/>
                <w:b/>
                <w:bCs/>
                <w:i/>
                <w:iCs/>
                <w:sz w:val="20"/>
                <w:szCs w:val="20"/>
                <w:vertAlign w:val="subscript"/>
              </w:rPr>
              <w:t xml:space="preserve">R</w:t>
            </w:r>
            <w:r>
              <w:rPr>
                <w:rFonts w:ascii="Times New Roman" w:cs="Times New Roman" w:eastAsia="Times New Roman" w:hAnsi="Times New Roman"/>
                <w:b/>
                <w:bCs/>
                <w:sz w:val="20"/>
                <w:szCs w:val="20"/>
              </w:rPr>
              <w:t xml:space="preserve"> (ресурс)</w:t>
            </w:r>
          </w:p>
        </w:tc>
        <w:tc>
          <w:tcPr>
            <w:tcW w:type="dxa" w:w="18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i/>
                <w:iCs/>
                <w:sz w:val="20"/>
                <w:szCs w:val="20"/>
              </w:rPr>
              <w:t xml:space="preserve">w</w:t>
            </w:r>
            <w:r>
              <w:rPr>
                <w:rFonts w:ascii="Times New Roman" w:cs="Times New Roman" w:eastAsia="Times New Roman" w:hAnsi="Times New Roman"/>
                <w:b/>
                <w:bCs/>
                <w:i/>
                <w:iCs/>
                <w:sz w:val="20"/>
                <w:szCs w:val="20"/>
                <w:vertAlign w:val="subscript"/>
              </w:rPr>
              <w:t xml:space="preserve">L</w:t>
            </w:r>
            <w:r>
              <w:rPr>
                <w:rFonts w:ascii="Times New Roman" w:cs="Times New Roman" w:eastAsia="Times New Roman" w:hAnsi="Times New Roman"/>
                <w:b/>
                <w:bCs/>
                <w:sz w:val="20"/>
                <w:szCs w:val="20"/>
              </w:rPr>
              <w:t xml:space="preserve"> (ликвидность)</w:t>
            </w:r>
          </w:p>
        </w:tc>
        <w:tc>
          <w:tcPr>
            <w:tcW w:type="dxa" w:w="18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i/>
                <w:iCs/>
                <w:sz w:val="20"/>
                <w:szCs w:val="20"/>
              </w:rPr>
              <w:t xml:space="preserve">w</w:t>
            </w:r>
            <w:r>
              <w:rPr>
                <w:rFonts w:ascii="Times New Roman" w:cs="Times New Roman" w:eastAsia="Times New Roman" w:hAnsi="Times New Roman"/>
                <w:b/>
                <w:bCs/>
                <w:i/>
                <w:iCs/>
                <w:sz w:val="20"/>
                <w:szCs w:val="20"/>
                <w:vertAlign w:val="subscript"/>
              </w:rPr>
              <w:t xml:space="preserve">D</w:t>
            </w:r>
            <w:r>
              <w:rPr>
                <w:rFonts w:ascii="Times New Roman" w:cs="Times New Roman" w:eastAsia="Times New Roman" w:hAnsi="Times New Roman"/>
                <w:b/>
                <w:bCs/>
                <w:sz w:val="20"/>
                <w:szCs w:val="20"/>
              </w:rPr>
              <w:t xml:space="preserve"> (долг)</w:t>
            </w:r>
          </w:p>
        </w:tc>
        <w:tc>
          <w:tcPr>
            <w:tcW w:type="dxa" w:w="18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i/>
                <w:iCs/>
                <w:sz w:val="20"/>
                <w:szCs w:val="20"/>
              </w:rPr>
              <w:t xml:space="preserve">w</w:t>
            </w:r>
            <w:r>
              <w:rPr>
                <w:rFonts w:ascii="Times New Roman" w:cs="Times New Roman" w:eastAsia="Times New Roman" w:hAnsi="Times New Roman"/>
                <w:b/>
                <w:bCs/>
                <w:i/>
                <w:iCs/>
                <w:sz w:val="20"/>
                <w:szCs w:val="20"/>
                <w:vertAlign w:val="subscript"/>
              </w:rPr>
              <w:t xml:space="preserve">S</w:t>
            </w:r>
            <w:r>
              <w:rPr>
                <w:rFonts w:ascii="Times New Roman" w:cs="Times New Roman" w:eastAsia="Times New Roman" w:hAnsi="Times New Roman"/>
                <w:b/>
                <w:bCs/>
                <w:sz w:val="20"/>
                <w:szCs w:val="20"/>
              </w:rPr>
              <w:t xml:space="preserve"> (цели)</w:t>
            </w:r>
          </w:p>
        </w:tc>
      </w:tr>
      <w:tr>
        <w:tc>
          <w:tcPr>
            <w:tcW w:type="dxa" w:w="24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Консервативный</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0,20</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0,45</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0,25</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0,10</w:t>
            </w:r>
          </w:p>
        </w:tc>
      </w:tr>
      <w:tr>
        <w:tc>
          <w:tcPr>
            <w:tcW w:type="dxa" w:w="24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Умеренный</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0,20</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0,35</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0,25</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0,20</w:t>
            </w:r>
          </w:p>
        </w:tc>
      </w:tr>
      <w:tr>
        <w:tc>
          <w:tcPr>
            <w:tcW w:type="dxa" w:w="24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Сбалансированный</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0,25</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0,30</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0,25</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0,20</w:t>
            </w:r>
          </w:p>
        </w:tc>
      </w:tr>
      <w:tr>
        <w:tc>
          <w:tcPr>
            <w:tcW w:type="dxa" w:w="24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Активный</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0,30</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0,20</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0,20</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0,30</w:t>
            </w:r>
          </w:p>
        </w:tc>
      </w:tr>
      <w:tr>
        <w:tc>
          <w:tcPr>
            <w:tcW w:type="dxa" w:w="24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Агрессивный</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0,35</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0,10</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0,15</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0,40</w:t>
            </w:r>
          </w:p>
        </w:tc>
      </w:tr>
    </w:tbl>
    <w:p>
      <w:pPr>
        <w:spacing w:after="80"/>
      </w:pPr>
    </w:p>
    <w:p>
      <w:pPr>
        <w:spacing w:after="60" w:before="160"/>
        <w:jc w:val="center"/>
      </w:pPr>
      <w:r>
        <w:drawing>
          <wp:inline distT="0" distB="0" distL="0" distR="0">
            <wp:extent cx="5905500" cy="2362200"/>
            <wp:effectExtent t="0" r="0" b="0" l="0"/>
            <wp:docPr id="1" name="Рис. 1. Схема цикла принятия р" descr="Рис. 1. Схема цикла принятия решения. Штриховая стрелка — интеграция прогнозного блока в функцию полезности (модификация раздела 3.3)" title="Рис. 1. Схема цикла принятия решения. Штриховая стрелка — интеграция прогнозного блока в функцию полезности (модификация раздела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62200"/>
                    </a:xfrm>
                    <a:prstGeom prst="rect">
                      <a:avLst/>
                    </a:prstGeom>
                  </pic:spPr>
                </pic:pic>
              </a:graphicData>
            </a:graphic>
          </wp:inline>
        </w:drawing>
      </w:r>
    </w:p>
    <w:p>
      <w:pPr>
        <w:spacing w:after="160"/>
        <w:jc w:val="center"/>
      </w:pPr>
      <w:r>
        <w:rPr>
          <w:rFonts w:ascii="Times New Roman" w:cs="Times New Roman" w:eastAsia="Times New Roman" w:hAnsi="Times New Roman"/>
          <w:sz w:val="20"/>
          <w:szCs w:val="20"/>
        </w:rPr>
        <w:t xml:space="preserve">Рис. 1. Схема цикла принятия решения. Штриховая стрелка — интеграция прогнозного блока в функцию полезности (модификация раздела 3.3)</w:t>
      </w:r>
    </w:p>
    <w:p>
      <w:pPr>
        <w:spacing w:after="120" w:before="240"/>
        <w:jc w:val="left"/>
      </w:pPr>
      <w:r>
        <w:rPr>
          <w:rFonts w:ascii="Times New Roman" w:cs="Times New Roman" w:eastAsia="Times New Roman" w:hAnsi="Times New Roman"/>
          <w:b/>
          <w:bCs/>
          <w:sz w:val="24"/>
          <w:szCs w:val="24"/>
        </w:rPr>
        <w:t xml:space="preserve">3. Вычислительное исследование</w:t>
      </w:r>
    </w:p>
    <w:p>
      <w:pPr>
        <w:spacing w:after="100" w:before="180"/>
        <w:jc w:val="left"/>
      </w:pPr>
      <w:r>
        <w:rPr>
          <w:rFonts w:ascii="Times New Roman" w:cs="Times New Roman" w:eastAsia="Times New Roman" w:hAnsi="Times New Roman"/>
          <w:b/>
          <w:bCs/>
          <w:i/>
          <w:iCs/>
          <w:sz w:val="22"/>
          <w:szCs w:val="22"/>
        </w:rPr>
        <w:t xml:space="preserve">3.1. План эксперимента и демонстрационные профили</w:t>
      </w:r>
    </w:p>
    <w:p>
      <w:pPr>
        <w:spacing w:after="60" w:line="276"/>
        <w:ind w:firstLine="567"/>
        <w:jc w:val="both"/>
      </w:pPr>
      <w:r>
        <w:rPr>
          <w:rFonts w:ascii="Times New Roman" w:cs="Times New Roman" w:eastAsia="Times New Roman" w:hAnsi="Times New Roman"/>
          <w:sz w:val="22"/>
          <w:szCs w:val="22"/>
        </w:rPr>
        <w:t xml:space="preserve">Модель реализована на языке Python (исходный код эксперимента доступен по запросу; см. раздел «Дополнительная информация»). Исследование проводилось на трёх демонстрационных профилях пользователей, охватывающих качественно разные зоны состояния (таблица 3): профиль A — закредитованный (долговая нагрузка выше нормативного порога), профиль B — типовой (ликвидность вблизи порога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профиль C — комфортный (значительный свободный ресурс). Профили B и C включают по три цели разных категорий (резерв безопасности, профессиональная переподготовка, отпуск) и кредиты с разными ставками, из которых ипотечный (8,5%) не проходит фильтр (6) при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bench</w:t>
      </w:r>
      <w:r>
        <w:rPr>
          <w:rFonts w:ascii="Times New Roman" w:cs="Times New Roman" w:eastAsia="Times New Roman" w:hAnsi="Times New Roman"/>
          <w:sz w:val="22"/>
          <w:szCs w:val="22"/>
        </w:rPr>
        <w:t xml:space="preserve"> = 0,14, а потребительские (19–27%) проходят. Для каждого профиля исследовались три режима порога ликвидности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 {0; 0,15; 0,30} и пять профилей риска; устойчивость ранжирования проверялась возмущением каждого веса сбалансированного профиля на ±0,05 с перенормировкой (восемь возмущений).</w:t>
      </w:r>
    </w:p>
    <w:p>
      <w:pPr>
        <w:spacing w:after="80" w:before="160"/>
        <w:jc w:val="left"/>
      </w:pPr>
      <w:r>
        <w:rPr>
          <w:rFonts w:ascii="Times New Roman" w:cs="Times New Roman" w:eastAsia="Times New Roman" w:hAnsi="Times New Roman"/>
          <w:i/>
          <w:iCs/>
          <w:sz w:val="20"/>
          <w:szCs w:val="20"/>
        </w:rPr>
        <w:t xml:space="preserve">Таблица 3. Демонстрационные профили (суммы в рублях, в месяц)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2100"/>
        <w:gridCol w:w="2400"/>
        <w:gridCol w:w="2500"/>
      </w:tblGrid>
      <w:tr>
        <w:trPr>
          <w:tblHeader/>
        </w:trPr>
        <w:tc>
          <w:tcPr>
            <w:tcW w:type="dxa" w:w="2638"/>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Показатель</w:t>
            </w:r>
          </w:p>
        </w:tc>
        <w:tc>
          <w:tcPr>
            <w:tcW w:type="dxa" w:w="21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A (закредитованный)</w:t>
            </w:r>
          </w:p>
        </w:tc>
        <w:tc>
          <w:tcPr>
            <w:tcW w:type="dxa" w:w="24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B (типовой)</w:t>
            </w:r>
          </w:p>
        </w:tc>
        <w:tc>
          <w:tcPr>
            <w:tcW w:type="dxa" w:w="25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C (комфортный)</w:t>
            </w:r>
          </w:p>
        </w:tc>
      </w:tr>
      <w:tr>
        <w:tc>
          <w:tcPr>
            <w:tcW w:type="dxa" w:w="26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Доход ∑ </w:t>
            </w:r>
            <w:r>
              <w:rPr>
                <w:rFonts w:ascii="Times New Roman" w:cs="Times New Roman" w:eastAsia="Times New Roman" w:hAnsi="Times New Roman"/>
                <w:i/>
                <w:iCs/>
                <w:sz w:val="20"/>
                <w:szCs w:val="20"/>
              </w:rPr>
              <w:t xml:space="preserve">i</w:t>
            </w:r>
            <w:r>
              <w:rPr>
                <w:rFonts w:ascii="Times New Roman" w:cs="Times New Roman" w:eastAsia="Times New Roman" w:hAnsi="Times New Roman"/>
                <w:i/>
                <w:iCs/>
                <w:sz w:val="20"/>
                <w:szCs w:val="20"/>
                <w:vertAlign w:val="subscript"/>
              </w:rPr>
              <w:t xml:space="preserve">k</w:t>
            </w:r>
          </w:p>
        </w:tc>
        <w:tc>
          <w:tcPr>
            <w:tcW w:type="dxa" w:w="21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90 000</w:t>
            </w:r>
          </w:p>
        </w:tc>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135 000</w:t>
            </w:r>
          </w:p>
        </w:tc>
        <w:tc>
          <w:tcPr>
            <w:tcW w:type="dxa" w:w="2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167 000</w:t>
            </w:r>
          </w:p>
        </w:tc>
      </w:tr>
      <w:tr>
        <w:tc>
          <w:tcPr>
            <w:tcW w:type="dxa" w:w="26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Расходы ∑ </w:t>
            </w:r>
            <w:r>
              <w:rPr>
                <w:rFonts w:ascii="Times New Roman" w:cs="Times New Roman" w:eastAsia="Times New Roman" w:hAnsi="Times New Roman"/>
                <w:i/>
                <w:iCs/>
                <w:sz w:val="20"/>
                <w:szCs w:val="20"/>
              </w:rPr>
              <w:t xml:space="preserve">e</w:t>
            </w:r>
            <w:r>
              <w:rPr>
                <w:rFonts w:ascii="Times New Roman" w:cs="Times New Roman" w:eastAsia="Times New Roman" w:hAnsi="Times New Roman"/>
                <w:i/>
                <w:iCs/>
                <w:sz w:val="20"/>
                <w:szCs w:val="20"/>
                <w:vertAlign w:val="subscript"/>
              </w:rPr>
              <w:t xml:space="preserve">j</w:t>
            </w:r>
          </w:p>
        </w:tc>
        <w:tc>
          <w:tcPr>
            <w:tcW w:type="dxa" w:w="21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40 000</w:t>
            </w:r>
          </w:p>
        </w:tc>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60 000</w:t>
            </w:r>
          </w:p>
        </w:tc>
        <w:tc>
          <w:tcPr>
            <w:tcW w:type="dxa" w:w="2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36 500</w:t>
            </w:r>
          </w:p>
        </w:tc>
      </w:tr>
      <w:tr>
        <w:tc>
          <w:tcPr>
            <w:tcW w:type="dxa" w:w="26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Платежи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l</w:t>
            </w:r>
          </w:p>
        </w:tc>
        <w:tc>
          <w:tcPr>
            <w:tcW w:type="dxa" w:w="21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38 299</w:t>
            </w:r>
          </w:p>
        </w:tc>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33 622</w:t>
            </w:r>
          </w:p>
        </w:tc>
        <w:tc>
          <w:tcPr>
            <w:tcW w:type="dxa" w:w="2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30 327</w:t>
            </w:r>
          </w:p>
        </w:tc>
      </w:tr>
      <w:tr>
        <w:tc>
          <w:tcPr>
            <w:tcW w:type="dxa" w:w="26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Кредиты (ставка)</w:t>
            </w:r>
          </w:p>
        </w:tc>
        <w:tc>
          <w:tcPr>
            <w:tcW w:type="dxa" w:w="21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карта (27%), потреб. (22%)</w:t>
            </w:r>
          </w:p>
        </w:tc>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карта (27%), потреб. (22%), ипотека (8,5%)</w:t>
            </w:r>
          </w:p>
        </w:tc>
        <w:tc>
          <w:tcPr>
            <w:tcW w:type="dxa" w:w="2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потреб. (19%), ипотека (8,5%)</w:t>
            </w:r>
          </w:p>
        </w:tc>
      </w:tr>
      <w:tr>
        <w:tc>
          <w:tcPr>
            <w:tcW w:type="dxa" w:w="26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Свободный ресурс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t</w:t>
            </w:r>
          </w:p>
        </w:tc>
        <w:tc>
          <w:tcPr>
            <w:tcW w:type="dxa" w:w="21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11 701</w:t>
            </w:r>
          </w:p>
        </w:tc>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41 378</w:t>
            </w:r>
          </w:p>
        </w:tc>
        <w:tc>
          <w:tcPr>
            <w:tcW w:type="dxa" w:w="2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100 173</w:t>
            </w:r>
          </w:p>
        </w:tc>
      </w:tr>
      <w:tr>
        <w:tc>
          <w:tcPr>
            <w:tcW w:type="dxa" w:w="26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Ликвидность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t</w:t>
            </w:r>
          </w:p>
        </w:tc>
        <w:tc>
          <w:tcPr>
            <w:tcW w:type="dxa" w:w="21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0,149</w:t>
            </w:r>
          </w:p>
        </w:tc>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0,442</w:t>
            </w:r>
          </w:p>
        </w:tc>
        <w:tc>
          <w:tcPr>
            <w:tcW w:type="dxa" w:w="2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1,499</w:t>
            </w:r>
          </w:p>
        </w:tc>
      </w:tr>
      <w:tr>
        <w:tc>
          <w:tcPr>
            <w:tcW w:type="dxa" w:w="26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Долговая нагрузка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t</w:t>
            </w:r>
          </w:p>
        </w:tc>
        <w:tc>
          <w:tcPr>
            <w:tcW w:type="dxa" w:w="21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0,426</w:t>
            </w:r>
          </w:p>
        </w:tc>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0,249</w:t>
            </w:r>
          </w:p>
        </w:tc>
        <w:tc>
          <w:tcPr>
            <w:tcW w:type="dxa" w:w="2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0,182</w:t>
            </w:r>
          </w:p>
        </w:tc>
      </w:tr>
      <w:tr>
        <w:tc>
          <w:tcPr>
            <w:tcW w:type="dxa" w:w="26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Остаток средств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t</w:t>
            </w:r>
          </w:p>
        </w:tc>
        <w:tc>
          <w:tcPr>
            <w:tcW w:type="dxa" w:w="21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30 000</w:t>
            </w:r>
          </w:p>
        </w:tc>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90 000</w:t>
            </w:r>
          </w:p>
        </w:tc>
        <w:tc>
          <w:tcPr>
            <w:tcW w:type="dxa" w:w="2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150 000</w:t>
            </w:r>
          </w:p>
        </w:tc>
      </w:tr>
    </w:tbl>
    <w:p>
      <w:pPr>
        <w:spacing w:after="80"/>
      </w:pPr>
    </w:p>
    <w:p>
      <w:pPr>
        <w:spacing w:after="100" w:before="180"/>
        <w:jc w:val="left"/>
      </w:pPr>
      <w:r>
        <w:rPr>
          <w:rFonts w:ascii="Times New Roman" w:cs="Times New Roman" w:eastAsia="Times New Roman" w:hAnsi="Times New Roman"/>
          <w:b/>
          <w:bCs/>
          <w:i/>
          <w:iCs/>
          <w:sz w:val="22"/>
          <w:szCs w:val="22"/>
        </w:rPr>
        <w:t xml:space="preserve">3.2. Поведение исходной спецификации критериев</w:t>
      </w:r>
    </w:p>
    <w:p>
      <w:pPr>
        <w:spacing w:after="60" w:line="276"/>
        <w:ind w:firstLine="567"/>
        <w:jc w:val="both"/>
      </w:pPr>
      <w:r>
        <w:rPr>
          <w:rFonts w:ascii="Times New Roman" w:cs="Times New Roman" w:eastAsia="Times New Roman" w:hAnsi="Times New Roman"/>
          <w:sz w:val="22"/>
          <w:szCs w:val="22"/>
        </w:rPr>
        <w:t xml:space="preserve">На профиле A допустимое множество пусто при любом режиме порога: долговая нагрузка превышает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 0,40, и даже направление всего ресурса на досрочное погашение снижает её лишь до 0,413. Модель корректно отказывается от выбора и формирует корректирующую рекомендацию о снижении долговой нагрузки — защитный каскад работает как спроектировано.</w:t>
      </w:r>
    </w:p>
    <w:p>
      <w:pPr>
        <w:spacing w:after="60" w:line="276"/>
        <w:ind w:firstLine="567"/>
        <w:jc w:val="both"/>
      </w:pPr>
      <w:r>
        <w:rPr>
          <w:rFonts w:ascii="Times New Roman" w:cs="Times New Roman" w:eastAsia="Times New Roman" w:hAnsi="Times New Roman"/>
          <w:sz w:val="22"/>
          <w:szCs w:val="22"/>
        </w:rPr>
        <w:t xml:space="preserve">На профилях B и C проявляется вырожденность ранжирования (таблица 4). Ужесточение порога ликвидности монотонно сжимает допустимое множество (с 19 до 3 альтернатив на профиле B), однако оптимальная альтернатива при этом одна и та же для всех пяти профилей риска: «весь ресурс в резерв». Единственное исключение — агрессивный профиль на комфортном профиле C при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 0,30. Ранжирование при этом формально устойчиво: все восемь возмущений весов сохраняют оптимум — но устойчивость здесь является симптомом, а не достоинством: ранжирование нечувствительно и к предпочтениям пользователя.</w:t>
      </w:r>
    </w:p>
    <w:p>
      <w:pPr>
        <w:spacing w:after="80" w:before="160"/>
        <w:jc w:val="left"/>
      </w:pPr>
      <w:r>
        <w:rPr>
          <w:rFonts w:ascii="Times New Roman" w:cs="Times New Roman" w:eastAsia="Times New Roman" w:hAnsi="Times New Roman"/>
          <w:i/>
          <w:iCs/>
          <w:sz w:val="20"/>
          <w:szCs w:val="20"/>
        </w:rPr>
        <w:t xml:space="preserve">Таблица 4. Исходная спецификация: размер допустимого множества и число различных оптимумов по пяти профилям риска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8"/>
        <w:gridCol w:w="2700"/>
        <w:gridCol w:w="2700"/>
        <w:gridCol w:w="2700"/>
      </w:tblGrid>
      <w:tr>
        <w:trPr>
          <w:tblHeader/>
        </w:trPr>
        <w:tc>
          <w:tcPr>
            <w:tcW w:type="dxa" w:w="1538"/>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Профиль</w:t>
            </w:r>
          </w:p>
        </w:tc>
        <w:tc>
          <w:tcPr>
            <w:tcW w:type="dxa" w:w="27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i/>
                <w:iCs/>
                <w:sz w:val="20"/>
                <w:szCs w:val="20"/>
              </w:rPr>
              <w:t xml:space="preserve">L</w:t>
            </w:r>
            <w:r>
              <w:rPr>
                <w:rFonts w:ascii="Times New Roman" w:cs="Times New Roman" w:eastAsia="Times New Roman" w:hAnsi="Times New Roman"/>
                <w:b/>
                <w:bCs/>
                <w:sz w:val="20"/>
                <w:szCs w:val="20"/>
                <w:vertAlign w:val="subscript"/>
              </w:rPr>
              <w:t xml:space="preserve">min</w:t>
            </w:r>
            <w:r>
              <w:rPr>
                <w:rFonts w:ascii="Times New Roman" w:cs="Times New Roman" w:eastAsia="Times New Roman" w:hAnsi="Times New Roman"/>
                <w:b/>
                <w:bCs/>
                <w:sz w:val="20"/>
                <w:szCs w:val="20"/>
              </w:rPr>
              <w:t xml:space="preserve"> = 0</w:t>
            </w:r>
          </w:p>
        </w:tc>
        <w:tc>
          <w:tcPr>
            <w:tcW w:type="dxa" w:w="27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i/>
                <w:iCs/>
                <w:sz w:val="20"/>
                <w:szCs w:val="20"/>
              </w:rPr>
              <w:t xml:space="preserve">L</w:t>
            </w:r>
            <w:r>
              <w:rPr>
                <w:rFonts w:ascii="Times New Roman" w:cs="Times New Roman" w:eastAsia="Times New Roman" w:hAnsi="Times New Roman"/>
                <w:b/>
                <w:bCs/>
                <w:sz w:val="20"/>
                <w:szCs w:val="20"/>
                <w:vertAlign w:val="subscript"/>
              </w:rPr>
              <w:t xml:space="preserve">min</w:t>
            </w:r>
            <w:r>
              <w:rPr>
                <w:rFonts w:ascii="Times New Roman" w:cs="Times New Roman" w:eastAsia="Times New Roman" w:hAnsi="Times New Roman"/>
                <w:b/>
                <w:bCs/>
                <w:sz w:val="20"/>
                <w:szCs w:val="20"/>
              </w:rPr>
              <w:t xml:space="preserve"> = 0,15</w:t>
            </w:r>
          </w:p>
        </w:tc>
        <w:tc>
          <w:tcPr>
            <w:tcW w:type="dxa" w:w="27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i/>
                <w:iCs/>
                <w:sz w:val="20"/>
                <w:szCs w:val="20"/>
              </w:rPr>
              <w:t xml:space="preserve">L</w:t>
            </w:r>
            <w:r>
              <w:rPr>
                <w:rFonts w:ascii="Times New Roman" w:cs="Times New Roman" w:eastAsia="Times New Roman" w:hAnsi="Times New Roman"/>
                <w:b/>
                <w:bCs/>
                <w:sz w:val="20"/>
                <w:szCs w:val="20"/>
                <w:vertAlign w:val="subscript"/>
              </w:rPr>
              <w:t xml:space="preserve">min</w:t>
            </w:r>
            <w:r>
              <w:rPr>
                <w:rFonts w:ascii="Times New Roman" w:cs="Times New Roman" w:eastAsia="Times New Roman" w:hAnsi="Times New Roman"/>
                <w:b/>
                <w:bCs/>
                <w:sz w:val="20"/>
                <w:szCs w:val="20"/>
              </w:rPr>
              <w:t xml:space="preserve"> = 0,30</w:t>
            </w:r>
          </w:p>
        </w:tc>
      </w:tr>
      <w:tr>
        <w:tc>
          <w:tcPr>
            <w:tcW w:type="dxa" w:w="15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A</w:t>
            </w:r>
          </w:p>
        </w:tc>
        <w:tc>
          <w:tcPr>
            <w:tcW w:type="dxa" w:w="27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недопустимо (отказ с диагностикой)</w:t>
            </w:r>
          </w:p>
        </w:tc>
        <w:tc>
          <w:tcPr>
            <w:tcW w:type="dxa" w:w="27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недопустимо</w:t>
            </w:r>
          </w:p>
        </w:tc>
        <w:tc>
          <w:tcPr>
            <w:tcW w:type="dxa" w:w="27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недопустимо</w:t>
            </w:r>
          </w:p>
        </w:tc>
      </w:tr>
      <w:tr>
        <w:tc>
          <w:tcPr>
            <w:tcW w:type="dxa" w:w="15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B</w:t>
            </w:r>
          </w:p>
        </w:tc>
        <w:tc>
          <w:tcPr>
            <w:tcW w:type="dxa" w:w="27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19 альтернатив; 1 оптимум (0/100/0)</w:t>
            </w:r>
          </w:p>
        </w:tc>
        <w:tc>
          <w:tcPr>
            <w:tcW w:type="dxa" w:w="27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10; 1 оптимум (0/100/0)</w:t>
            </w:r>
          </w:p>
        </w:tc>
        <w:tc>
          <w:tcPr>
            <w:tcW w:type="dxa" w:w="27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 1 оптимум (0/100/0)</w:t>
            </w:r>
          </w:p>
        </w:tc>
      </w:tr>
      <w:tr>
        <w:tc>
          <w:tcPr>
            <w:tcW w:type="dxa" w:w="15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C</w:t>
            </w:r>
          </w:p>
        </w:tc>
        <w:tc>
          <w:tcPr>
            <w:tcW w:type="dxa" w:w="27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17; 1 оптимум (0/100/0)</w:t>
            </w:r>
          </w:p>
        </w:tc>
        <w:tc>
          <w:tcPr>
            <w:tcW w:type="dxa" w:w="27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15; 1 оптимум (0/100/0)</w:t>
            </w:r>
          </w:p>
        </w:tc>
        <w:tc>
          <w:tcPr>
            <w:tcW w:type="dxa" w:w="27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14; 2 оптимума</w:t>
            </w:r>
          </w:p>
        </w:tc>
      </w:tr>
    </w:tbl>
    <w:p>
      <w:pPr>
        <w:spacing w:after="80"/>
      </w:pPr>
    </w:p>
    <w:p>
      <w:pPr>
        <w:spacing w:after="60" w:line="276"/>
        <w:ind w:firstLine="567"/>
        <w:jc w:val="both"/>
      </w:pPr>
      <w:r>
        <w:rPr>
          <w:rFonts w:ascii="Times New Roman" w:cs="Times New Roman" w:eastAsia="Times New Roman" w:hAnsi="Times New Roman"/>
          <w:sz w:val="22"/>
          <w:szCs w:val="22"/>
        </w:rPr>
        <w:t xml:space="preserve">Причины вырожденности устанавливаются анализом критериев. Во-первых, критерии ресурса и ликвидности в исходной спецификации вычисляются от одной и той же величины — остатка нераспределённых средств: числитель </w:t>
      </w:r>
      <w:r>
        <w:rPr>
          <w:rFonts w:ascii="Times New Roman" w:cs="Times New Roman" w:eastAsia="Times New Roman" w:hAnsi="Times New Roman"/>
          <w:i/>
          <w:iCs/>
          <w:sz w:val="22"/>
          <w:szCs w:val="22"/>
        </w:rPr>
        <w:t xml:space="preserve">L</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совпадает с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а знаменатель почти постоянен по альтернативам. Выборочный коэффициент корреляции между ними на множестве из 21 альтернативы составляет 0,9998 (профиль B) и 0,99979 (профиль C): два критерия из четырёх фактически являются одним, и суммарный вес «сохранения средств» достигает 0,45–0,65 в зависимости от профиля риска. Во-вторых, минимаксная нормализация (10) растягивает любой, в том числе экономически ничтожный, размах критерия до полного единичного отрезка: так, досрочное погашение изменяет долговую нагрузку профиля C лишь с 0,182 до 0,157, однако после нормализации это различие весит столько же, сколько полный размах ресурса. Чувствительность результатов многокритериального ранжирования к процедуре нормализации известна в литературе [Vafaei et al., 2018]; здесь она усилена коллинеарностью критериев и приводит к систематическому смещению.</w:t>
      </w:r>
    </w:p>
    <w:p>
      <w:pPr>
        <w:spacing w:after="100" w:before="180"/>
        <w:jc w:val="left"/>
      </w:pPr>
      <w:r>
        <w:rPr>
          <w:rFonts w:ascii="Times New Roman" w:cs="Times New Roman" w:eastAsia="Times New Roman" w:hAnsi="Times New Roman"/>
          <w:b/>
          <w:bCs/>
          <w:i/>
          <w:iCs/>
          <w:sz w:val="22"/>
          <w:szCs w:val="22"/>
        </w:rPr>
        <w:t xml:space="preserve">3.3. Модификация: прогнозный критерий ресурса, запас ликвидности и нормативная нормализация</w:t>
      </w:r>
    </w:p>
    <w:p>
      <w:pPr>
        <w:spacing w:after="60" w:line="276"/>
        <w:ind w:firstLine="567"/>
        <w:jc w:val="both"/>
      </w:pPr>
      <w:r>
        <w:rPr>
          <w:rFonts w:ascii="Times New Roman" w:cs="Times New Roman" w:eastAsia="Times New Roman" w:hAnsi="Times New Roman"/>
          <w:sz w:val="22"/>
          <w:szCs w:val="22"/>
        </w:rPr>
        <w:t xml:space="preserve">Предлагаемая модификация сохраняет структуру модели — множество альтернатив, фильтр ставок, взвешенные цели и каскад ограничений (9) остаются неизменными — и затрагивает только спецификацию критериев в свёртке (11). Три изменения устраняют выявленные дефекты.</w:t>
      </w:r>
    </w:p>
    <w:p>
      <w:pPr>
        <w:spacing w:after="60" w:line="276"/>
        <w:ind w:firstLine="567"/>
        <w:jc w:val="both"/>
      </w:pPr>
      <w:r>
        <w:rPr>
          <w:rFonts w:ascii="Times New Roman" w:cs="Times New Roman" w:eastAsia="Times New Roman" w:hAnsi="Times New Roman"/>
          <w:sz w:val="22"/>
          <w:szCs w:val="22"/>
        </w:rPr>
        <w:t xml:space="preserve">Первое. Критерий ресурса заменяется прогнозной оценкой свободного потока следующего периода:</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Î</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Ê</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δP</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(12)</w:t>
      </w:r>
    </w:p>
    <w:p>
      <w:pPr>
        <w:spacing w:after="60" w:line="276"/>
        <w:ind w:firstLine="567"/>
        <w:jc w:val="both"/>
      </w:pPr>
      <w:r>
        <w:rPr>
          <w:rFonts w:ascii="Times New Roman" w:cs="Times New Roman" w:eastAsia="Times New Roman" w:hAnsi="Times New Roman"/>
          <w:sz w:val="22"/>
          <w:szCs w:val="22"/>
        </w:rPr>
        <w:t xml:space="preserve">где </w:t>
      </w:r>
      <w:r>
        <w:rPr>
          <w:rFonts w:ascii="Times New Roman" w:cs="Times New Roman" w:eastAsia="Times New Roman" w:hAnsi="Times New Roman"/>
          <w:i/>
          <w:iCs/>
          <w:sz w:val="22"/>
          <w:szCs w:val="22"/>
        </w:rPr>
        <w:t xml:space="preserve">Î</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и </w:t>
      </w:r>
      <w:r>
        <w:rPr>
          <w:rFonts w:ascii="Times New Roman" w:cs="Times New Roman" w:eastAsia="Times New Roman" w:hAnsi="Times New Roman"/>
          <w:i/>
          <w:iCs/>
          <w:sz w:val="22"/>
          <w:szCs w:val="22"/>
        </w:rPr>
        <w:t xml:space="preserve">Ê</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прогнозы (5) рядов доходов и расходов. Критерий перестаёт награждать удержание средств: текущий остаток в (12) не входит, а досрочное погашение повышает будущий ресурс через снижение платежей. Тем самым прогнозный блок, в исходной модели выполнявший лишь диагностическую функцию, интегрируется непосредственно в функцию полезности.</w:t>
      </w:r>
    </w:p>
    <w:p>
      <w:pPr>
        <w:spacing w:after="60" w:line="276"/>
        <w:ind w:firstLine="567"/>
        <w:jc w:val="both"/>
      </w:pPr>
      <w:r>
        <w:rPr>
          <w:rFonts w:ascii="Times New Roman" w:cs="Times New Roman" w:eastAsia="Times New Roman" w:hAnsi="Times New Roman"/>
          <w:sz w:val="22"/>
          <w:szCs w:val="22"/>
        </w:rPr>
        <w:t xml:space="preserve">Второе. Критерий ликвидности переводится с потока на запас:</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vertAlign w:val="superscript"/>
        </w:rPr>
        <w:t xml:space="preserve">зап</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B</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r</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iCs/>
          <w:sz w:val="22"/>
          <w:szCs w:val="22"/>
          <w:vertAlign w:val="subscript"/>
        </w:rPr>
        <w:t xml:space="preserve">j</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δP</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(13)</w:t>
      </w:r>
    </w:p>
    <w:p>
      <w:pPr>
        <w:spacing w:after="60" w:line="276"/>
        <w:ind w:firstLine="567"/>
        <w:jc w:val="both"/>
      </w:pPr>
      <w:r>
        <w:rPr>
          <w:rFonts w:ascii="Times New Roman" w:cs="Times New Roman" w:eastAsia="Times New Roman" w:hAnsi="Times New Roman"/>
          <w:sz w:val="22"/>
          <w:szCs w:val="22"/>
        </w:rPr>
        <w:t xml:space="preserve">то есть измеряет число месяцев обязательных платежей, покрываемых накопленным запасом средств, — аналог коэффициента базовой ликвидности [Greninger et al., 1996], зависящий от альтернативы. Теперь именно резервная компонента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r</w:t>
      </w:r>
      <w:r>
        <w:rPr>
          <w:rFonts w:ascii="Times New Roman" w:cs="Times New Roman" w:eastAsia="Times New Roman" w:hAnsi="Times New Roman"/>
          <w:sz w:val="22"/>
          <w:szCs w:val="22"/>
        </w:rPr>
        <w:t xml:space="preserve"> — и только она — улучшает этот критерий, чем устраняется коллинеарность: каждое направление распределения улучшает преимущественно свой критерий (досрочное погашение — будущий ресурс и долговую нагрузку, резерв — запас ликвидности, цели — обеспеченность целей).</w:t>
      </w:r>
    </w:p>
    <w:p>
      <w:pPr>
        <w:spacing w:after="60" w:line="276"/>
        <w:ind w:firstLine="567"/>
        <w:jc w:val="both"/>
      </w:pPr>
      <w:r>
        <w:rPr>
          <w:rFonts w:ascii="Times New Roman" w:cs="Times New Roman" w:eastAsia="Times New Roman" w:hAnsi="Times New Roman"/>
          <w:sz w:val="22"/>
          <w:szCs w:val="22"/>
        </w:rPr>
        <w:t xml:space="preserve">Третье. Нормализация привязывается не к выборочному размаху, а к содержательным якорям шкал: прогнозный ресурс (12) нормируется на прогнозный чистый поток </w:t>
      </w:r>
      <w:r>
        <w:rPr>
          <w:rFonts w:ascii="Times New Roman" w:cs="Times New Roman" w:eastAsia="Times New Roman" w:hAnsi="Times New Roman"/>
          <w:i/>
          <w:iCs/>
          <w:sz w:val="22"/>
          <w:szCs w:val="22"/>
        </w:rPr>
        <w:t xml:space="preserve">Î</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Ê</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(доля будущего потока, остающаяся свободной); запас (13) — на верхнюю норму запаса ликвидности в шесть месяцев [Greninger et al., 1996]; долговая нагрузка — на нормативный потолок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[Банк России, 2018]; обеспеченность целей (8) уже принадлежит единичному отрезку. Все нормированные значения усекаются до единичного отрезка. Нормативная нормализация имеет три следствия: экономически малые различия критериев остаются малыми и после нормировки; шкалы не зависят от состава множества альтернатив, что исключает реверс рангов при его изменении; каждое нормированное значение интерпретируемо для пользователя в терминах принятых финансовых норм, что прямо поддерживает требование объяснимости.</w:t>
      </w:r>
    </w:p>
    <w:p>
      <w:pPr>
        <w:spacing w:after="100" w:before="180"/>
        <w:jc w:val="left"/>
      </w:pPr>
      <w:r>
        <w:rPr>
          <w:rFonts w:ascii="Times New Roman" w:cs="Times New Roman" w:eastAsia="Times New Roman" w:hAnsi="Times New Roman"/>
          <w:b/>
          <w:bCs/>
          <w:i/>
          <w:iCs/>
          <w:sz w:val="22"/>
          <w:szCs w:val="22"/>
        </w:rPr>
        <w:t xml:space="preserve">3.4. Результаты модифицированной модели</w:t>
      </w:r>
    </w:p>
    <w:p>
      <w:pPr>
        <w:spacing w:after="60" w:line="276"/>
        <w:ind w:firstLine="567"/>
        <w:jc w:val="both"/>
      </w:pPr>
      <w:r>
        <w:rPr>
          <w:rFonts w:ascii="Times New Roman" w:cs="Times New Roman" w:eastAsia="Times New Roman" w:hAnsi="Times New Roman"/>
          <w:sz w:val="22"/>
          <w:szCs w:val="22"/>
        </w:rPr>
        <w:t xml:space="preserve">Поведение модифицированной модели на тех же профилях и при том же пороге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 0,30 качественно меняется (таблица 5, рис. 2). На комфортном профиле C рекомендации монотонно дифференцируются по аппетиту к риску: консервативный, умеренный и сбалансированный профили формируют резерв; активный направляет 60% ресурса на цели; агрессивный дополнительно осуществляет досрочное погашение потребительского кредита (19% годовых) — единственного обязательства, прошедшего фильтр (6), — тогда как ипотека (8,5%) корректно исключена из досрочного погашения как более дешёвая, чем альтернативное размещение средств. На типовом профиле B, где после каскада ограничений остаются лишь три допустимые альтернативы, дифференциация ожидаемо слабее: консервативный профиль выбирает чистый резерв, остальные — резерв с частичным финансированием целей. Это иллюстрирует общее свойство модели: в стеснённой зоне решение определяется преимущественно защитными ограничениями, в комфортной — предпочтениями пользователя. Профиль A по-прежнему получает корректирующую рекомендацию.</w:t>
      </w:r>
    </w:p>
    <w:p>
      <w:pPr>
        <w:spacing w:after="80" w:before="160"/>
        <w:jc w:val="left"/>
      </w:pPr>
      <w:r>
        <w:rPr>
          <w:rFonts w:ascii="Times New Roman" w:cs="Times New Roman" w:eastAsia="Times New Roman" w:hAnsi="Times New Roman"/>
          <w:i/>
          <w:iCs/>
          <w:sz w:val="20"/>
          <w:szCs w:val="20"/>
        </w:rPr>
        <w:t xml:space="preserve">Таблица 5. Модифицированная модель: оптимальные альтернативы (досрочное погашение / резерв / цели, % от ресурса) при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min</w:t>
      </w:r>
      <w:r>
        <w:rPr>
          <w:rFonts w:ascii="Times New Roman" w:cs="Times New Roman" w:eastAsia="Times New Roman" w:hAnsi="Times New Roman"/>
          <w:i/>
          <w:iCs/>
          <w:sz w:val="20"/>
          <w:szCs w:val="20"/>
        </w:rPr>
        <w:t xml:space="preserve"> = 0,30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3200"/>
        <w:gridCol w:w="3200"/>
      </w:tblGrid>
      <w:tr>
        <w:trPr>
          <w:tblHeader/>
        </w:trPr>
        <w:tc>
          <w:tcPr>
            <w:tcW w:type="dxa" w:w="3238"/>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Профиль риска</w:t>
            </w:r>
          </w:p>
        </w:tc>
        <w:tc>
          <w:tcPr>
            <w:tcW w:type="dxa" w:w="32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B (типовой)</w:t>
            </w:r>
          </w:p>
        </w:tc>
        <w:tc>
          <w:tcPr>
            <w:tcW w:type="dxa" w:w="32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C (комфортный)</w:t>
            </w:r>
          </w:p>
        </w:tc>
      </w:tr>
      <w:tr>
        <w:tc>
          <w:tcPr>
            <w:tcW w:type="dxa" w:w="32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Консервативный</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 / 100 / 0</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 / 100 / 0</w:t>
            </w:r>
          </w:p>
        </w:tc>
      </w:tr>
      <w:tr>
        <w:tc>
          <w:tcPr>
            <w:tcW w:type="dxa" w:w="32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Умеренный</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 / 80 / 20</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 / 100 / 0</w:t>
            </w:r>
          </w:p>
        </w:tc>
      </w:tr>
      <w:tr>
        <w:tc>
          <w:tcPr>
            <w:tcW w:type="dxa" w:w="32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Сбалансированный</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 / 80 / 20</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 / 100 / 0</w:t>
            </w:r>
          </w:p>
        </w:tc>
      </w:tr>
      <w:tr>
        <w:tc>
          <w:tcPr>
            <w:tcW w:type="dxa" w:w="32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Активный</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 / 80 / 20</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 / 40 / 60</w:t>
            </w:r>
          </w:p>
        </w:tc>
      </w:tr>
      <w:tr>
        <w:tc>
          <w:tcPr>
            <w:tcW w:type="dxa" w:w="32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Агрессивный</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 / 80 / 20</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20 / 20 / 60</w:t>
            </w:r>
          </w:p>
        </w:tc>
      </w:tr>
    </w:tbl>
    <w:p>
      <w:pPr>
        <w:spacing w:after="80"/>
      </w:pPr>
    </w:p>
    <w:p>
      <w:pPr>
        <w:spacing w:after="60" w:before="160"/>
        <w:jc w:val="center"/>
      </w:pPr>
      <w:r>
        <w:drawing>
          <wp:inline distT="0" distB="0" distL="0" distR="0">
            <wp:extent cx="5905500" cy="2409825"/>
            <wp:effectExtent t="0" r="0" b="0" l="0"/>
            <wp:docPr id="1" name="Рис. 2. Полезность U(a) допуст" descr="Рис. 2. Полезность U(a) допустимых альтернатив профиля C по пяти профилям риска (модифицированная модель). Звёздочка — оптимальная альтернатива профиля. Цветовая шкала viridis сохраняет монотонность при монохромной печати" title="Рис. 2. Полезность U(a) допустимых альтернатив профиля C по пяти профилям риска (модифицированная модель). Звёздочка — оптимальная альтернатива профиля. Цветовая шкала viridis сохраняет монотонность при монохромной печа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09825"/>
                    </a:xfrm>
                    <a:prstGeom prst="rect">
                      <a:avLst/>
                    </a:prstGeom>
                  </pic:spPr>
                </pic:pic>
              </a:graphicData>
            </a:graphic>
          </wp:inline>
        </w:drawing>
      </w:r>
    </w:p>
    <w:p>
      <w:pPr>
        <w:spacing w:after="160"/>
        <w:jc w:val="center"/>
      </w:pPr>
      <w:r>
        <w:rPr>
          <w:rFonts w:ascii="Times New Roman" w:cs="Times New Roman" w:eastAsia="Times New Roman" w:hAnsi="Times New Roman"/>
          <w:sz w:val="20"/>
          <w:szCs w:val="20"/>
        </w:rPr>
        <w:t xml:space="preserve">Рис. 2. Полезность U(a) допустимых альтернатив профиля C по пяти профилям риска (модифицированная модель). Звёздочка — оптимальная альтернатива профиля. Цветовая шкала viridis сохраняет монотонность при монохромной печати</w:t>
      </w:r>
    </w:p>
    <w:p>
      <w:pPr>
        <w:spacing w:after="60" w:line="276"/>
        <w:ind w:firstLine="567"/>
        <w:jc w:val="both"/>
      </w:pPr>
      <w:r>
        <w:rPr>
          <w:rFonts w:ascii="Times New Roman" w:cs="Times New Roman" w:eastAsia="Times New Roman" w:hAnsi="Times New Roman"/>
          <w:sz w:val="22"/>
          <w:szCs w:val="22"/>
        </w:rPr>
        <w:t xml:space="preserve">Устойчивость ранжирования проверялась возмущением весов сбалансированного профиля на ±0,05. На профиле B оптимум сохраняется во всех восьми возмущениях. На профиле C оптимум сохраняется в шести возмущениях из восьми; в двух случаях (снижение веса ликвидности либо повышение веса целей на 0,05) оптимум переключается на соседнюю по структуре альтернативу «0/40/60» с различием полезностей менее 0,007. Такое поведение интерпретируется как граничное, а не хаотическое: сбалансированный профиль на комфортном пользователе находится вблизи границы зон «резерв» и «цели», и малый сдвиг предпочтений переводит рекомендацию в соседнюю зону. Для практики это означает целесообразность показа пользователю не только оптимума, но и ближайших по полезности альтернатив.</w:t>
      </w:r>
    </w:p>
    <w:p>
      <w:pPr>
        <w:spacing w:after="100" w:before="180"/>
        <w:jc w:val="left"/>
      </w:pPr>
      <w:r>
        <w:rPr>
          <w:rFonts w:ascii="Times New Roman" w:cs="Times New Roman" w:eastAsia="Times New Roman" w:hAnsi="Times New Roman"/>
          <w:b/>
          <w:bCs/>
          <w:i/>
          <w:iCs/>
          <w:sz w:val="22"/>
          <w:szCs w:val="22"/>
        </w:rPr>
        <w:t xml:space="preserve">3.5. Прогнозный блок и вычислительная эффективность</w:t>
      </w:r>
    </w:p>
    <w:p>
      <w:pPr>
        <w:spacing w:after="60" w:before="160"/>
        <w:jc w:val="center"/>
      </w:pPr>
      <w:r>
        <w:drawing>
          <wp:inline distT="0" distB="0" distL="0" distR="0">
            <wp:extent cx="5143500" cy="2381250"/>
            <wp:effectExtent t="0" r="0" b="0" l="0"/>
            <wp:docPr id="1" name="Рис. 3. Прогноз свободного рес" descr="Рис. 3. Прогноз свободного ресурса профиля C: сглаженный ряд, медианный прогноз и 95-процентный интервал по 1000 сценариям Монте-Карло" title="Рис. 3. Прогноз свободного ресурса профиля C: сглаженный ряд, медианный прогноз и 95-процентный интервал по 1000 сценариям Монте-Карл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381250"/>
                    </a:xfrm>
                    <a:prstGeom prst="rect">
                      <a:avLst/>
                    </a:prstGeom>
                  </pic:spPr>
                </pic:pic>
              </a:graphicData>
            </a:graphic>
          </wp:inline>
        </w:drawing>
      </w:r>
    </w:p>
    <w:p>
      <w:pPr>
        <w:spacing w:after="160"/>
        <w:jc w:val="center"/>
      </w:pPr>
      <w:r>
        <w:rPr>
          <w:rFonts w:ascii="Times New Roman" w:cs="Times New Roman" w:eastAsia="Times New Roman" w:hAnsi="Times New Roman"/>
          <w:sz w:val="20"/>
          <w:szCs w:val="20"/>
        </w:rPr>
        <w:t xml:space="preserve">Рис. 3. Прогноз свободного ресурса профиля C: сглаженный ряд, медианный прогноз и 95-процентный интервал по 1000 сценариям Монте-Карло</w:t>
      </w:r>
    </w:p>
    <w:p>
      <w:pPr>
        <w:spacing w:after="60" w:line="276"/>
        <w:ind w:firstLine="567"/>
        <w:jc w:val="both"/>
      </w:pPr>
      <w:r>
        <w:rPr>
          <w:rFonts w:ascii="Times New Roman" w:cs="Times New Roman" w:eastAsia="Times New Roman" w:hAnsi="Times New Roman"/>
          <w:sz w:val="22"/>
          <w:szCs w:val="22"/>
        </w:rPr>
        <w:t xml:space="preserve">Рисунок 3 иллюстрирует стохастический прогноз свободного ресурса профиля C на синтетическом ряде из 18 месяцев: медиана на горизонте трёх месяцев составляет 101,0 тыс. рублей при 95-процентном интервале от 88,4 до 114,6 тыс. рублей. Интервальная оценка используется двояко: в критерии (12) — через точечный прогноз, и в объяснении рекомендации — как честная характеристика неопределённости («с вероятностью 95% свободный ресурс через три месяца составит от … до …»). Вычислительная сложность цикла линейна по числу альтернатив, обязательств и сценариев; в реализации на Python полный цикл — генерация и оценка 21 альтернативы, фильтры, нормализация и ранжирование по пяти профилям — выполняется за 0,7 мс, стохастический прогноз (1000 сценариев, горизонт три месяца) — за 0,9 мс. Суммарно менее двух миллисекунд на решение, что с запасом обеспечивает интерактивный режим, включая мгновенный пересчёт при изменении пользователем весов или входных данных.</w:t>
      </w:r>
    </w:p>
    <w:p>
      <w:pPr>
        <w:spacing w:after="120" w:before="240"/>
        <w:jc w:val="left"/>
      </w:pPr>
      <w:r>
        <w:rPr>
          <w:rFonts w:ascii="Times New Roman" w:cs="Times New Roman" w:eastAsia="Times New Roman" w:hAnsi="Times New Roman"/>
          <w:b/>
          <w:bCs/>
          <w:sz w:val="24"/>
          <w:szCs w:val="24"/>
        </w:rPr>
        <w:t xml:space="preserve">4. Обсуждение</w:t>
      </w:r>
    </w:p>
    <w:p>
      <w:pPr>
        <w:spacing w:after="60" w:line="276"/>
        <w:ind w:firstLine="567"/>
        <w:jc w:val="both"/>
      </w:pPr>
      <w:r>
        <w:rPr>
          <w:rFonts w:ascii="Times New Roman" w:cs="Times New Roman" w:eastAsia="Times New Roman" w:hAnsi="Times New Roman"/>
          <w:sz w:val="22"/>
          <w:szCs w:val="22"/>
        </w:rPr>
        <w:t xml:space="preserve">Главный методический результат состоит в том, что «естественная» спецификация критериев — ресурс и ликвидность от остатка нераспределённых средств плюс минимаксная нормализация — выглядит корректной, проходит функциональное тестирование на типовых сценариях, но систематически вырождает ранжирование. Дефект не виден на уровне отдельных формул и обнаруживается только вычислительным исследованием модели в целом: коллинеарность критериев (корреляция выше 0,999) и растяжение ничтожных размахов нормализацией совместно сводят многокритериальную задачу к однокритериальной. Это аргумент в пользу обязательного вычислительного исследования моделей поддержки решений до их внедрения — функциональной корректности недостаточно.</w:t>
      </w:r>
    </w:p>
    <w:p>
      <w:pPr>
        <w:spacing w:after="60" w:line="276"/>
        <w:ind w:firstLine="567"/>
        <w:jc w:val="both"/>
      </w:pPr>
      <w:r>
        <w:rPr>
          <w:rFonts w:ascii="Times New Roman" w:cs="Times New Roman" w:eastAsia="Times New Roman" w:hAnsi="Times New Roman"/>
          <w:sz w:val="22"/>
          <w:szCs w:val="22"/>
        </w:rPr>
        <w:t xml:space="preserve">Предложенное нормативное якорение шкал представляется переносимым за пределы рассматриваемой задачи: всюду, где для критериев существуют содержательные нормы (регуляторные пороги, отраслевые ориентиры), нормировка на них предпочтительнее выборочного размаха — она сохраняет экономический масштаб различий, устраняет зависимость от состава альтернатив и делает нормированные значения интерпретируемыми. Последнее свойство напрямую связано с требованием объяснимости рекомендаций [Rudin, 2019; Miller, 2019]: пользователь видит оценки в терминах «доля от нормы», а не в условных единицах.</w:t>
      </w:r>
    </w:p>
    <w:p>
      <w:pPr>
        <w:spacing w:after="60" w:line="276"/>
        <w:ind w:firstLine="567"/>
        <w:jc w:val="both"/>
      </w:pPr>
      <w:r>
        <w:rPr>
          <w:rFonts w:ascii="Times New Roman" w:cs="Times New Roman" w:eastAsia="Times New Roman" w:hAnsi="Times New Roman"/>
          <w:sz w:val="22"/>
          <w:szCs w:val="22"/>
        </w:rPr>
        <w:t xml:space="preserve">Ограничения работы определяют направления развития. Во-первых, исследование выполнено на демонстрационных профилях, систематически покрывающих качественно разные зоны состояния; продольная проверка на данных реальных пользователей — предмет отдельного исследования. Во-вторых, веса профилей риска заданы экспертно; их выявление из предпочтений пользователей (например, попарными сравнениями) и калибровка границ зон переключения рекомендаций требуют контролируемого пользовательского эксперимента. В-третьих, прогнозный блок ограничен простым экспоненциальным сглаживанием; для рядов с сезонностью и структурными сдвигами уместны более выразительные модели, при сохранении интервальной оценки неопределённости. В-четвёртых, пороговая ставка фильтра досрочного погашения задана константой и должна обновляться по рыночным данным. Наконец, модель детерминирована относительно категорий целей; автоматическая категоризация транзакций и архитектурная организация программной реализации составляют самостоятельные задачи и в настоящей работе не рассматриваются.</w:t>
      </w:r>
    </w:p>
    <w:p>
      <w:pPr>
        <w:spacing w:after="120" w:before="240"/>
        <w:jc w:val="left"/>
      </w:pPr>
      <w:r>
        <w:rPr>
          <w:rFonts w:ascii="Times New Roman" w:cs="Times New Roman" w:eastAsia="Times New Roman" w:hAnsi="Times New Roman"/>
          <w:b/>
          <w:bCs/>
          <w:sz w:val="24"/>
          <w:szCs w:val="24"/>
        </w:rPr>
        <w:t xml:space="preserve">Заключение</w:t>
      </w:r>
    </w:p>
    <w:p>
      <w:pPr>
        <w:spacing w:after="60" w:line="276"/>
        <w:ind w:firstLine="567"/>
        <w:jc w:val="both"/>
      </w:pPr>
      <w:r>
        <w:rPr>
          <w:rFonts w:ascii="Times New Roman" w:cs="Times New Roman" w:eastAsia="Times New Roman" w:hAnsi="Times New Roman"/>
          <w:sz w:val="22"/>
          <w:szCs w:val="22"/>
        </w:rPr>
        <w:t xml:space="preserve">В работе сформулирована многокритериальная модель распределения свободного денежного потока пользователя между досрочным погашением обязательств, резервом ликвидности и накопительными целями: генерация альтернатив дискретизацией долей, фильтр досрочного погашения по пороговой ставке альтернативной доходности, взвешенная оценка обеспеченности целей с учётом категорий и срочности, каскад ограничений допустимости по ликвидности и долговой нагрузке, стохастический прогноз потоков и аддитивная свёртка критериев по профилю риска.</w:t>
      </w:r>
    </w:p>
    <w:p>
      <w:pPr>
        <w:spacing w:after="60" w:line="276"/>
        <w:ind w:firstLine="567"/>
        <w:jc w:val="both"/>
      </w:pPr>
      <w:r>
        <w:rPr>
          <w:rFonts w:ascii="Times New Roman" w:cs="Times New Roman" w:eastAsia="Times New Roman" w:hAnsi="Times New Roman"/>
          <w:sz w:val="22"/>
          <w:szCs w:val="22"/>
        </w:rPr>
        <w:t xml:space="preserve">Вычислительное исследование модели на трёх демонстрационных профилях при трёх режимах порога ликвидности выявило вырожденность исходной спецификации критериев: коллинеарность критериев ресурса и ликвидности (корреляция выше 0,999) в сочетании с минимаксной нормализацией смещает ранжирование к резервным распределениям независимо от профиля риска. Предложенная модификация — прогнозный критерий ресурса, интегрирующий блок прогнозирования в функцию полезности, критерий ликвидности по запасу средств и нормативная нормализация шкал по финансовым нормам — восстанавливает содержательную дифференциацию: консервативные профили формируют резерв, активные финансируют цели, агрессивный дополнительно гасит дорогие обязательства, причём фильтр альтернативной доходности корректно исключает дешёвую ипотеку из досрочного погашения. Ранжирование устойчиво к малым возмущениям весов, защитный каскад сохраняет корректирующее поведение на закредитованном профиле, а полный цикл расчёта занимает менее двух миллисекунд.</w:t>
      </w:r>
    </w:p>
    <w:p>
      <w:pPr>
        <w:spacing w:after="60" w:line="276"/>
        <w:ind w:firstLine="567"/>
        <w:jc w:val="both"/>
      </w:pPr>
      <w:r>
        <w:rPr>
          <w:rFonts w:ascii="Times New Roman" w:cs="Times New Roman" w:eastAsia="Times New Roman" w:hAnsi="Times New Roman"/>
          <w:sz w:val="22"/>
          <w:szCs w:val="22"/>
        </w:rPr>
        <w:t xml:space="preserve">Сравнение с известными результатами подтверждает общий вывод литературы о существенном влиянии процедуры нормализации на итоги многокритериального ранжирования [Jain et al., 2005; Vafaei et al., 2018] и конкретизирует его для класса задач распределения ресурса: при коллинеарных критериях выборочная нормализация не просто меняет порядок альтернатив, а систематически вырождает задачу. Перспективы работы включают выявление весов из предпочтений пользователей, продольную проверку на реальных данных, расширение прогнозного блока и калибровку нормативных якорей шкал по рыночным данным.</w:t>
      </w:r>
    </w:p>
    <w:p>
      <w:pPr>
        <w:spacing w:after="120" w:before="240"/>
        <w:jc w:val="left"/>
      </w:pPr>
      <w:r>
        <w:rPr>
          <w:rFonts w:ascii="Times New Roman" w:cs="Times New Roman" w:eastAsia="Times New Roman" w:hAnsi="Times New Roman"/>
          <w:b/>
          <w:bCs/>
          <w:sz w:val="24"/>
          <w:szCs w:val="24"/>
        </w:rPr>
        <w:t xml:space="preserve">Дополнительная информация</w:t>
      </w:r>
    </w:p>
    <w:p>
      <w:pPr>
        <w:spacing w:after="60" w:line="276"/>
        <w:ind w:firstLine="567"/>
        <w:jc w:val="both"/>
      </w:pPr>
      <w:r>
        <w:rPr>
          <w:rFonts w:ascii="Times New Roman" w:cs="Times New Roman" w:eastAsia="Times New Roman" w:hAnsi="Times New Roman"/>
          <w:b/>
          <w:bCs/>
          <w:sz w:val="22"/>
          <w:szCs w:val="22"/>
        </w:rPr>
        <w:t xml:space="preserve">Благодарности.</w:t>
      </w:r>
      <w:r>
        <w:rPr>
          <w:rFonts w:ascii="Times New Roman" w:cs="Times New Roman" w:eastAsia="Times New Roman" w:hAnsi="Times New Roman"/>
          <w:sz w:val="22"/>
          <w:szCs w:val="22"/>
        </w:rPr>
        <w:t xml:space="preserve"> Автор благодарит И. С. Бондаренко (НИТУ «МИСИС») за научное руководство работой, в рамках которой выполнено исследование.</w:t>
      </w:r>
    </w:p>
    <w:p>
      <w:pPr>
        <w:spacing w:after="60" w:line="276"/>
        <w:ind w:firstLine="567"/>
        <w:jc w:val="both"/>
      </w:pPr>
      <w:r>
        <w:rPr>
          <w:rFonts w:ascii="Times New Roman" w:cs="Times New Roman" w:eastAsia="Times New Roman" w:hAnsi="Times New Roman"/>
          <w:b/>
          <w:bCs/>
          <w:sz w:val="22"/>
          <w:szCs w:val="22"/>
        </w:rPr>
        <w:t xml:space="preserve">Финансирование.</w:t>
      </w:r>
      <w:r>
        <w:rPr>
          <w:rFonts w:ascii="Times New Roman" w:cs="Times New Roman" w:eastAsia="Times New Roman" w:hAnsi="Times New Roman"/>
          <w:sz w:val="22"/>
          <w:szCs w:val="22"/>
        </w:rPr>
        <w:t xml:space="preserve"> Исследование не имело внешнего финансирования.</w:t>
      </w:r>
    </w:p>
    <w:p>
      <w:pPr>
        <w:spacing w:after="60" w:line="276"/>
        <w:ind w:firstLine="567"/>
        <w:jc w:val="both"/>
      </w:pPr>
      <w:r>
        <w:rPr>
          <w:rFonts w:ascii="Times New Roman" w:cs="Times New Roman" w:eastAsia="Times New Roman" w:hAnsi="Times New Roman"/>
          <w:b/>
          <w:bCs/>
          <w:sz w:val="22"/>
          <w:szCs w:val="22"/>
        </w:rPr>
        <w:t xml:space="preserve">Конфликт интересов.</w:t>
      </w:r>
      <w:r>
        <w:rPr>
          <w:rFonts w:ascii="Times New Roman" w:cs="Times New Roman" w:eastAsia="Times New Roman" w:hAnsi="Times New Roman"/>
          <w:sz w:val="22"/>
          <w:szCs w:val="22"/>
        </w:rPr>
        <w:t xml:space="preserve"> Автор заявляет об отсутствии конфликта интересов.</w:t>
      </w:r>
    </w:p>
    <w:p>
      <w:pPr>
        <w:spacing w:after="60" w:line="276"/>
        <w:ind w:firstLine="567"/>
        <w:jc w:val="both"/>
      </w:pPr>
      <w:r>
        <w:rPr>
          <w:rFonts w:ascii="Times New Roman" w:cs="Times New Roman" w:eastAsia="Times New Roman" w:hAnsi="Times New Roman"/>
          <w:b/>
          <w:bCs/>
          <w:sz w:val="22"/>
          <w:szCs w:val="22"/>
        </w:rPr>
        <w:t xml:space="preserve">Доступность данных и кода.</w:t>
      </w:r>
      <w:r>
        <w:rPr>
          <w:rFonts w:ascii="Times New Roman" w:cs="Times New Roman" w:eastAsia="Times New Roman" w:hAnsi="Times New Roman"/>
          <w:sz w:val="22"/>
          <w:szCs w:val="22"/>
        </w:rPr>
        <w:t xml:space="preserve"> Исходный код модели и вычислительного эксперимента, обеспечивающий воспроизведение всех таблиц и рисунков, а также обезличенные данные упомянутого во введении опроса доступны у автора по обоснованному запросу.</w:t>
      </w:r>
    </w:p>
    <w:p>
      <w:pPr>
        <w:spacing w:after="120" w:before="240"/>
        <w:jc w:val="left"/>
      </w:pPr>
      <w:r>
        <w:rPr>
          <w:rFonts w:ascii="Times New Roman" w:cs="Times New Roman" w:eastAsia="Times New Roman" w:hAnsi="Times New Roman"/>
          <w:b/>
          <w:bCs/>
          <w:sz w:val="24"/>
          <w:szCs w:val="24"/>
        </w:rPr>
        <w:t xml:space="preserve">Список литературы</w:t>
      </w:r>
    </w:p>
    <w:p>
      <w:pPr>
        <w:spacing w:after="20" w:line="240"/>
        <w:ind w:left="0" w:hanging="0" w:firstLine="0"/>
        <w:jc w:val="both"/>
      </w:pPr>
      <w:r>
        <w:rPr>
          <w:rFonts w:ascii="Times New Roman" w:cs="Times New Roman" w:eastAsia="Times New Roman" w:hAnsi="Times New Roman"/>
          <w:i/>
          <w:iCs/>
          <w:sz w:val="22"/>
          <w:szCs w:val="22"/>
        </w:rPr>
        <w:t xml:space="preserve">Банк России.</w:t>
      </w:r>
      <w:r>
        <w:rPr>
          <w:rFonts w:ascii="Times New Roman" w:cs="Times New Roman" w:eastAsia="Times New Roman" w:hAnsi="Times New Roman"/>
          <w:sz w:val="22"/>
          <w:szCs w:val="22"/>
        </w:rPr>
        <w:t xml:space="preserve"> Указание от 31.08.2018 № 4892-У «О видах активов, характеристиках видов активов, к которым устанавливаются надбавки к коэффициентам риска, и о применении к указанным видам активов надбавок...». — М.: Банк России, 2018.</w:t>
      </w:r>
    </w:p>
    <w:p>
      <w:pPr>
        <w:spacing w:after="80" w:line="240"/>
        <w:jc w:val="both"/>
      </w:pPr>
      <w:r>
        <w:rPr>
          <w:rFonts w:ascii="Times New Roman" w:cs="Times New Roman" w:eastAsia="Times New Roman" w:hAnsi="Times New Roman"/>
          <w:i/>
          <w:iCs/>
          <w:sz w:val="18"/>
          <w:szCs w:val="18"/>
        </w:rPr>
        <w:t xml:space="preserve">Bank of Russia.</w:t>
      </w:r>
      <w:r>
        <w:rPr>
          <w:rFonts w:ascii="Times New Roman" w:cs="Times New Roman" w:eastAsia="Times New Roman" w:hAnsi="Times New Roman"/>
          <w:sz w:val="18"/>
          <w:szCs w:val="18"/>
        </w:rPr>
        <w:t xml:space="preserve"> Ukazanie ot 31.08.2018 No. 4892-U «O vidakh aktivov, kharakteristikakh vidov aktivov, k kotorym ustanavlivayutsya nadbavki k koeffitsientam riska...» [Bank of Russia Ordinance No. 4892-U on risk-weight add-ons]. — Moscow: Bank of Russia, 2018 (in Russian).</w:t>
      </w:r>
    </w:p>
    <w:p>
      <w:pPr>
        <w:spacing w:after="20" w:line="240"/>
        <w:ind w:left="0" w:hanging="0" w:firstLine="0"/>
        <w:jc w:val="both"/>
      </w:pPr>
      <w:r>
        <w:rPr>
          <w:rFonts w:ascii="Times New Roman" w:cs="Times New Roman" w:eastAsia="Times New Roman" w:hAnsi="Times New Roman"/>
          <w:i/>
          <w:iCs/>
          <w:sz w:val="22"/>
          <w:szCs w:val="22"/>
        </w:rPr>
        <w:t xml:space="preserve">Блохина И. М., Айвазян Н. С., Казакова Л. В., Федосова Ю. В.</w:t>
      </w:r>
      <w:r>
        <w:rPr>
          <w:rFonts w:ascii="Times New Roman" w:cs="Times New Roman" w:eastAsia="Times New Roman" w:hAnsi="Times New Roman"/>
          <w:sz w:val="22"/>
          <w:szCs w:val="22"/>
        </w:rPr>
        <w:t xml:space="preserve"> Особенности управления личными финансами в современных условиях // Естественно-гуманитарные исследования. — 2025. — № 3 (59). — С. 624–629.</w:t>
      </w:r>
    </w:p>
    <w:p>
      <w:pPr>
        <w:spacing w:after="80" w:line="240"/>
        <w:jc w:val="both"/>
      </w:pPr>
      <w:r>
        <w:rPr>
          <w:rFonts w:ascii="Times New Roman" w:cs="Times New Roman" w:eastAsia="Times New Roman" w:hAnsi="Times New Roman"/>
          <w:i/>
          <w:iCs/>
          <w:sz w:val="18"/>
          <w:szCs w:val="18"/>
        </w:rPr>
        <w:t xml:space="preserve">Blokhina I. M., Ayvazyan N. S., Kazakova L. V., Fedosova Yu. V.</w:t>
      </w:r>
      <w:r>
        <w:rPr>
          <w:rFonts w:ascii="Times New Roman" w:cs="Times New Roman" w:eastAsia="Times New Roman" w:hAnsi="Times New Roman"/>
          <w:sz w:val="18"/>
          <w:szCs w:val="18"/>
        </w:rPr>
        <w:t xml:space="preserve"> Osobennosti upravleniya lichnymi finansami v sovremennykh usloviyakh [Features of personal finance management in modern conditions] // Estestvenno-gumanitarnye issledovaniya. — 2025. — No. 3 (59). — P. 624–629 (in Russian).</w:t>
      </w:r>
    </w:p>
    <w:p>
      <w:pPr>
        <w:spacing w:after="20" w:line="240"/>
        <w:ind w:left="0" w:hanging="0" w:firstLine="0"/>
        <w:jc w:val="both"/>
      </w:pPr>
      <w:r>
        <w:rPr>
          <w:rFonts w:ascii="Times New Roman" w:cs="Times New Roman" w:eastAsia="Times New Roman" w:hAnsi="Times New Roman"/>
          <w:i/>
          <w:iCs/>
          <w:sz w:val="22"/>
          <w:szCs w:val="22"/>
        </w:rPr>
        <w:t xml:space="preserve">Качанова Л. С., Плакса М. А.</w:t>
      </w:r>
      <w:r>
        <w:rPr>
          <w:rFonts w:ascii="Times New Roman" w:cs="Times New Roman" w:eastAsia="Times New Roman" w:hAnsi="Times New Roman"/>
          <w:sz w:val="22"/>
          <w:szCs w:val="22"/>
        </w:rPr>
        <w:t xml:space="preserve"> Кастомизация информационных продуктов управления личными финансами граждан как средство обеспечения экономической безопасности домохозяйств // Экономика и предпринимательство. — 2025. — № 6 (179). — С. 1417–1425.</w:t>
      </w:r>
    </w:p>
    <w:p>
      <w:pPr>
        <w:spacing w:after="80" w:line="240"/>
        <w:jc w:val="both"/>
      </w:pPr>
      <w:r>
        <w:rPr>
          <w:rFonts w:ascii="Times New Roman" w:cs="Times New Roman" w:eastAsia="Times New Roman" w:hAnsi="Times New Roman"/>
          <w:i/>
          <w:iCs/>
          <w:sz w:val="18"/>
          <w:szCs w:val="18"/>
        </w:rPr>
        <w:t xml:space="preserve">Kachanova L. S., Plaksa M. A.</w:t>
      </w:r>
      <w:r>
        <w:rPr>
          <w:rFonts w:ascii="Times New Roman" w:cs="Times New Roman" w:eastAsia="Times New Roman" w:hAnsi="Times New Roman"/>
          <w:sz w:val="18"/>
          <w:szCs w:val="18"/>
        </w:rPr>
        <w:t xml:space="preserve"> Kastomizatsiya informatsionnykh produktov upravleniya lichnymi finansami grazhdan kak sredstvo obespecheniya ekonomicheskoy bezopasnosti domokhozyaystv [Customization of personal finance information products as a means of household economic security] // Ekonomika i predprinimatelstvo. — 2025. — No. 6 (179). — P. 1417–1425 (in Russian).</w:t>
      </w:r>
    </w:p>
    <w:p>
      <w:pPr>
        <w:spacing w:after="20" w:line="240"/>
        <w:ind w:left="0" w:hanging="0" w:firstLine="0"/>
        <w:jc w:val="both"/>
      </w:pPr>
      <w:r>
        <w:rPr>
          <w:rFonts w:ascii="Times New Roman" w:cs="Times New Roman" w:eastAsia="Times New Roman" w:hAnsi="Times New Roman"/>
          <w:i/>
          <w:iCs/>
          <w:sz w:val="22"/>
          <w:szCs w:val="22"/>
        </w:rPr>
        <w:t xml:space="preserve">Малёнкина Т. М., Поняева Е. В.</w:t>
      </w:r>
      <w:r>
        <w:rPr>
          <w:rFonts w:ascii="Times New Roman" w:cs="Times New Roman" w:eastAsia="Times New Roman" w:hAnsi="Times New Roman"/>
          <w:sz w:val="22"/>
          <w:szCs w:val="22"/>
        </w:rPr>
        <w:t xml:space="preserve"> Цифровизация управления личными финансами // Многоуровневое общественное воспроизводство: вопросы теории и практики. — 2024. — № 1 (42). — С. 77–81.</w:t>
      </w:r>
    </w:p>
    <w:p>
      <w:pPr>
        <w:spacing w:after="80" w:line="240"/>
        <w:jc w:val="both"/>
      </w:pPr>
      <w:r>
        <w:rPr>
          <w:rFonts w:ascii="Times New Roman" w:cs="Times New Roman" w:eastAsia="Times New Roman" w:hAnsi="Times New Roman"/>
          <w:i/>
          <w:iCs/>
          <w:sz w:val="18"/>
          <w:szCs w:val="18"/>
        </w:rPr>
        <w:t xml:space="preserve">Malyonkina T. M., Ponyaeva E. V.</w:t>
      </w:r>
      <w:r>
        <w:rPr>
          <w:rFonts w:ascii="Times New Roman" w:cs="Times New Roman" w:eastAsia="Times New Roman" w:hAnsi="Times New Roman"/>
          <w:sz w:val="18"/>
          <w:szCs w:val="18"/>
        </w:rPr>
        <w:t xml:space="preserve"> Tsifrovizatsiya upravleniya lichnymi finansami [Digitalization of personal finance management] // Mnogourovnevoe obshchestvennoe vosproizvodstvo: voprosy teorii i praktiki. — 2024. — No. 1 (42). — P. 77–81 (in Russian).</w:t>
      </w:r>
    </w:p>
    <w:p>
      <w:pPr>
        <w:spacing w:after="80" w:line="240"/>
        <w:ind w:left="0" w:hanging="0" w:firstLine="0"/>
        <w:jc w:val="both"/>
      </w:pPr>
      <w:r>
        <w:rPr>
          <w:rFonts w:ascii="Times New Roman" w:cs="Times New Roman" w:eastAsia="Times New Roman" w:hAnsi="Times New Roman"/>
          <w:i/>
          <w:iCs/>
          <w:sz w:val="22"/>
          <w:szCs w:val="22"/>
        </w:rPr>
        <w:t xml:space="preserve">Amar M., Ariely D., Ayal S., Cryder C. E., Rick S. I.</w:t>
      </w:r>
      <w:r>
        <w:rPr>
          <w:rFonts w:ascii="Times New Roman" w:cs="Times New Roman" w:eastAsia="Times New Roman" w:hAnsi="Times New Roman"/>
          <w:sz w:val="22"/>
          <w:szCs w:val="22"/>
        </w:rPr>
        <w:t xml:space="preserve"> Winning the battle but losing the war: the psychology of debt management // Journal of Marketing Research. — 2011. — Vol. 48, SPL. — P. S38–S50. DOI: 10.1509/jmkr.48.SPL.S38.</w:t>
      </w:r>
    </w:p>
    <w:p>
      <w:pPr>
        <w:spacing w:after="80" w:line="240"/>
        <w:ind w:left="0" w:hanging="0" w:firstLine="0"/>
        <w:jc w:val="both"/>
      </w:pPr>
      <w:r>
        <w:rPr>
          <w:rFonts w:ascii="Times New Roman" w:cs="Times New Roman" w:eastAsia="Times New Roman" w:hAnsi="Times New Roman"/>
          <w:i/>
          <w:iCs/>
          <w:sz w:val="22"/>
          <w:szCs w:val="22"/>
        </w:rPr>
        <w:t xml:space="preserve">Arrieta A. B., Díaz-Rodríguez N., Del Ser J. et al.</w:t>
      </w:r>
      <w:r>
        <w:rPr>
          <w:rFonts w:ascii="Times New Roman" w:cs="Times New Roman" w:eastAsia="Times New Roman" w:hAnsi="Times New Roman"/>
          <w:sz w:val="22"/>
          <w:szCs w:val="22"/>
        </w:rPr>
        <w:t xml:space="preserve"> Explainable artificial intelligence (XAI): concepts, taxonomies, opportunities and challenges toward responsible AI // Information Fusion. — 2020. — Vol. 58. — P. 82–115. DOI: 10.1016/j.inffus.2019.12.012.</w:t>
      </w:r>
    </w:p>
    <w:p>
      <w:pPr>
        <w:spacing w:after="80" w:line="240"/>
        <w:ind w:left="0" w:hanging="0" w:firstLine="0"/>
        <w:jc w:val="both"/>
      </w:pPr>
      <w:r>
        <w:rPr>
          <w:rFonts w:ascii="Times New Roman" w:cs="Times New Roman" w:eastAsia="Times New Roman" w:hAnsi="Times New Roman"/>
          <w:i/>
          <w:iCs/>
          <w:sz w:val="22"/>
          <w:szCs w:val="22"/>
        </w:rPr>
        <w:t xml:space="preserve">Bach D.</w:t>
      </w:r>
      <w:r>
        <w:rPr>
          <w:rFonts w:ascii="Times New Roman" w:cs="Times New Roman" w:eastAsia="Times New Roman" w:hAnsi="Times New Roman"/>
          <w:sz w:val="22"/>
          <w:szCs w:val="22"/>
        </w:rPr>
        <w:t xml:space="preserve"> The Automatic Millionaire: a powerful one-step plan to live and finish rich. — New York: Broadway Books, 2004. — 272 p.</w:t>
      </w:r>
    </w:p>
    <w:p>
      <w:pPr>
        <w:spacing w:after="80" w:line="240"/>
        <w:ind w:left="0" w:hanging="0" w:firstLine="0"/>
        <w:jc w:val="both"/>
      </w:pPr>
      <w:r>
        <w:rPr>
          <w:rFonts w:ascii="Times New Roman" w:cs="Times New Roman" w:eastAsia="Times New Roman" w:hAnsi="Times New Roman"/>
          <w:i/>
          <w:iCs/>
          <w:sz w:val="22"/>
          <w:szCs w:val="22"/>
        </w:rPr>
        <w:t xml:space="preserve">Becker G. S.</w:t>
      </w:r>
      <w:r>
        <w:rPr>
          <w:rFonts w:ascii="Times New Roman" w:cs="Times New Roman" w:eastAsia="Times New Roman" w:hAnsi="Times New Roman"/>
          <w:sz w:val="22"/>
          <w:szCs w:val="22"/>
        </w:rPr>
        <w:t xml:space="preserve"> Human capital: a theoretical and empirical analysis, with special reference to education. — New York: Columbia University Press, 1964. — 187 p.</w:t>
      </w:r>
    </w:p>
    <w:p>
      <w:pPr>
        <w:spacing w:after="80" w:line="240"/>
        <w:ind w:left="0" w:hanging="0" w:firstLine="0"/>
        <w:jc w:val="both"/>
      </w:pPr>
      <w:r>
        <w:rPr>
          <w:rFonts w:ascii="Times New Roman" w:cs="Times New Roman" w:eastAsia="Times New Roman" w:hAnsi="Times New Roman"/>
          <w:i/>
          <w:iCs/>
          <w:sz w:val="22"/>
          <w:szCs w:val="22"/>
        </w:rPr>
        <w:t xml:space="preserve">Fishburn P. C.</w:t>
      </w:r>
      <w:r>
        <w:rPr>
          <w:rFonts w:ascii="Times New Roman" w:cs="Times New Roman" w:eastAsia="Times New Roman" w:hAnsi="Times New Roman"/>
          <w:sz w:val="22"/>
          <w:szCs w:val="22"/>
        </w:rPr>
        <w:t xml:space="preserve"> Methods of estimating additive utilities // Management Science. — 1967. — Vol. 13, No. 7. — P. 435–453. DOI: 10.1287/mnsc.13.7.435.</w:t>
      </w:r>
    </w:p>
    <w:p>
      <w:pPr>
        <w:spacing w:after="80" w:line="240"/>
        <w:ind w:left="0" w:hanging="0" w:firstLine="0"/>
        <w:jc w:val="both"/>
      </w:pPr>
      <w:r>
        <w:rPr>
          <w:rFonts w:ascii="Times New Roman" w:cs="Times New Roman" w:eastAsia="Times New Roman" w:hAnsi="Times New Roman"/>
          <w:i/>
          <w:iCs/>
          <w:sz w:val="22"/>
          <w:szCs w:val="22"/>
        </w:rPr>
        <w:t xml:space="preserve">Gomber P., Koch J.-A., Siering M.</w:t>
      </w:r>
      <w:r>
        <w:rPr>
          <w:rFonts w:ascii="Times New Roman" w:cs="Times New Roman" w:eastAsia="Times New Roman" w:hAnsi="Times New Roman"/>
          <w:sz w:val="22"/>
          <w:szCs w:val="22"/>
        </w:rPr>
        <w:t xml:space="preserve"> Digital finance and FinTech: current research and future research directions // Journal of Business Economics. — 2017. — Vol. 87. — P. 537–580. DOI: 10.1007/s11573-017-0852-x.</w:t>
      </w:r>
    </w:p>
    <w:p>
      <w:pPr>
        <w:spacing w:after="80" w:line="240"/>
        <w:ind w:left="0" w:hanging="0" w:firstLine="0"/>
        <w:jc w:val="both"/>
      </w:pPr>
      <w:r>
        <w:rPr>
          <w:rFonts w:ascii="Times New Roman" w:cs="Times New Roman" w:eastAsia="Times New Roman" w:hAnsi="Times New Roman"/>
          <w:i/>
          <w:iCs/>
          <w:sz w:val="22"/>
          <w:szCs w:val="22"/>
        </w:rPr>
        <w:t xml:space="preserve">Greninger S. A., Hampton V. L., Kitt K. A., Achacoso J. A.</w:t>
      </w:r>
      <w:r>
        <w:rPr>
          <w:rFonts w:ascii="Times New Roman" w:cs="Times New Roman" w:eastAsia="Times New Roman" w:hAnsi="Times New Roman"/>
          <w:sz w:val="22"/>
          <w:szCs w:val="22"/>
        </w:rPr>
        <w:t xml:space="preserve"> Ratios and benchmarks for measuring the financial well-being of families and individuals // Financial Services Review. — 1996. — Vol. 5, No. 1. — P. 57–70. DOI: 10.1016/S1057-0810(96)90027-X.</w:t>
      </w:r>
    </w:p>
    <w:p>
      <w:pPr>
        <w:spacing w:after="80" w:line="240"/>
        <w:ind w:left="0" w:hanging="0" w:firstLine="0"/>
        <w:jc w:val="both"/>
      </w:pPr>
      <w:r>
        <w:rPr>
          <w:rFonts w:ascii="Times New Roman" w:cs="Times New Roman" w:eastAsia="Times New Roman" w:hAnsi="Times New Roman"/>
          <w:i/>
          <w:iCs/>
          <w:sz w:val="22"/>
          <w:szCs w:val="22"/>
        </w:rPr>
        <w:t xml:space="preserve">Hwang C. L., Yoon K.</w:t>
      </w:r>
      <w:r>
        <w:rPr>
          <w:rFonts w:ascii="Times New Roman" w:cs="Times New Roman" w:eastAsia="Times New Roman" w:hAnsi="Times New Roman"/>
          <w:sz w:val="22"/>
          <w:szCs w:val="22"/>
        </w:rPr>
        <w:t xml:space="preserve"> Multiple attribute decision making: methods and applications. — Berlin: Springer-Verlag, 1981. — 259 p.</w:t>
      </w:r>
    </w:p>
    <w:p>
      <w:pPr>
        <w:spacing w:after="80" w:line="240"/>
        <w:ind w:left="0" w:hanging="0" w:firstLine="0"/>
        <w:jc w:val="both"/>
      </w:pPr>
      <w:r>
        <w:rPr>
          <w:rFonts w:ascii="Times New Roman" w:cs="Times New Roman" w:eastAsia="Times New Roman" w:hAnsi="Times New Roman"/>
          <w:i/>
          <w:iCs/>
          <w:sz w:val="22"/>
          <w:szCs w:val="22"/>
        </w:rPr>
        <w:t xml:space="preserve">Hyndman R. J., Koehler A. B., Snyder R. D., Grose S.</w:t>
      </w:r>
      <w:r>
        <w:rPr>
          <w:rFonts w:ascii="Times New Roman" w:cs="Times New Roman" w:eastAsia="Times New Roman" w:hAnsi="Times New Roman"/>
          <w:sz w:val="22"/>
          <w:szCs w:val="22"/>
        </w:rPr>
        <w:t xml:space="preserve"> A state space framework for automatic forecasting using exponential smoothing methods // International Journal of Forecasting. — 2002. — Vol. 18, No. 3. — P. 439–454. DOI: 10.1016/S0169-2070(01)00110-8.</w:t>
      </w:r>
    </w:p>
    <w:p>
      <w:pPr>
        <w:spacing w:after="80" w:line="240"/>
        <w:ind w:left="0" w:hanging="0" w:firstLine="0"/>
        <w:jc w:val="both"/>
      </w:pPr>
      <w:r>
        <w:rPr>
          <w:rFonts w:ascii="Times New Roman" w:cs="Times New Roman" w:eastAsia="Times New Roman" w:hAnsi="Times New Roman"/>
          <w:i/>
          <w:iCs/>
          <w:sz w:val="22"/>
          <w:szCs w:val="22"/>
        </w:rPr>
        <w:t xml:space="preserve">Jain A., Nandakumar K., Ross A.</w:t>
      </w:r>
      <w:r>
        <w:rPr>
          <w:rFonts w:ascii="Times New Roman" w:cs="Times New Roman" w:eastAsia="Times New Roman" w:hAnsi="Times New Roman"/>
          <w:sz w:val="22"/>
          <w:szCs w:val="22"/>
        </w:rPr>
        <w:t xml:space="preserve"> Score normalization in multimodal biometric systems // Pattern Recognition. — 2005. — Vol. 38, No. 12. — P. 2270–2285. DOI: 10.1016/j.patcog.2005.01.012.</w:t>
      </w:r>
    </w:p>
    <w:p>
      <w:pPr>
        <w:spacing w:after="80" w:line="240"/>
        <w:ind w:left="0" w:hanging="0" w:firstLine="0"/>
        <w:jc w:val="both"/>
      </w:pPr>
      <w:r>
        <w:rPr>
          <w:rFonts w:ascii="Times New Roman" w:cs="Times New Roman" w:eastAsia="Times New Roman" w:hAnsi="Times New Roman"/>
          <w:i/>
          <w:iCs/>
          <w:sz w:val="22"/>
          <w:szCs w:val="22"/>
        </w:rPr>
        <w:t xml:space="preserve">Lusardi A., Mitchell O. S.</w:t>
      </w:r>
      <w:r>
        <w:rPr>
          <w:rFonts w:ascii="Times New Roman" w:cs="Times New Roman" w:eastAsia="Times New Roman" w:hAnsi="Times New Roman"/>
          <w:sz w:val="22"/>
          <w:szCs w:val="22"/>
        </w:rPr>
        <w:t xml:space="preserve"> The economic importance of financial literacy: theory and evidence // Journal of Economic Literature. — 2014. — Vol. 52, No. 1. — P. 5–44. DOI: 10.1257/jel.52.1.5.</w:t>
      </w:r>
    </w:p>
    <w:p>
      <w:pPr>
        <w:spacing w:after="80" w:line="240"/>
        <w:ind w:left="0" w:hanging="0" w:firstLine="0"/>
        <w:jc w:val="both"/>
      </w:pPr>
      <w:r>
        <w:rPr>
          <w:rFonts w:ascii="Times New Roman" w:cs="Times New Roman" w:eastAsia="Times New Roman" w:hAnsi="Times New Roman"/>
          <w:i/>
          <w:iCs/>
          <w:sz w:val="22"/>
          <w:szCs w:val="22"/>
        </w:rPr>
        <w:t xml:space="preserve">Lytton R. H., Garman E. T., Porter N. M.</w:t>
      </w:r>
      <w:r>
        <w:rPr>
          <w:rFonts w:ascii="Times New Roman" w:cs="Times New Roman" w:eastAsia="Times New Roman" w:hAnsi="Times New Roman"/>
          <w:sz w:val="22"/>
          <w:szCs w:val="22"/>
        </w:rPr>
        <w:t xml:space="preserve"> How to use financial ratios when advising clients // Financial Counseling and Planning. — 1991. — Vol. 2. — P. 3–23.</w:t>
      </w:r>
    </w:p>
    <w:p>
      <w:pPr>
        <w:spacing w:after="80" w:line="240"/>
        <w:ind w:left="0" w:hanging="0" w:firstLine="0"/>
        <w:jc w:val="both"/>
      </w:pPr>
      <w:r>
        <w:rPr>
          <w:rFonts w:ascii="Times New Roman" w:cs="Times New Roman" w:eastAsia="Times New Roman" w:hAnsi="Times New Roman"/>
          <w:i/>
          <w:iCs/>
          <w:sz w:val="22"/>
          <w:szCs w:val="22"/>
        </w:rPr>
        <w:t xml:space="preserve">Metropolis N., Ulam S.</w:t>
      </w:r>
      <w:r>
        <w:rPr>
          <w:rFonts w:ascii="Times New Roman" w:cs="Times New Roman" w:eastAsia="Times New Roman" w:hAnsi="Times New Roman"/>
          <w:sz w:val="22"/>
          <w:szCs w:val="22"/>
        </w:rPr>
        <w:t xml:space="preserve"> The Monte Carlo method // Journal of the American Statistical Association. — 1949. — Vol. 44, No. 247. — P. 335–341. DOI: 10.1080/01621459.1949.10483310.</w:t>
      </w:r>
    </w:p>
    <w:p>
      <w:pPr>
        <w:spacing w:after="80" w:line="240"/>
        <w:ind w:left="0" w:hanging="0" w:firstLine="0"/>
        <w:jc w:val="both"/>
      </w:pPr>
      <w:r>
        <w:rPr>
          <w:rFonts w:ascii="Times New Roman" w:cs="Times New Roman" w:eastAsia="Times New Roman" w:hAnsi="Times New Roman"/>
          <w:i/>
          <w:iCs/>
          <w:sz w:val="22"/>
          <w:szCs w:val="22"/>
        </w:rPr>
        <w:t xml:space="preserve">Miller T.</w:t>
      </w:r>
      <w:r>
        <w:rPr>
          <w:rFonts w:ascii="Times New Roman" w:cs="Times New Roman" w:eastAsia="Times New Roman" w:hAnsi="Times New Roman"/>
          <w:sz w:val="22"/>
          <w:szCs w:val="22"/>
        </w:rPr>
        <w:t xml:space="preserve"> Explanation in artificial intelligence: insights from the social sciences // Artificial Intelligence. — 2019. — Vol. 267. — P. 1–38. DOI: 10.1016/j.artint.2018.07.007.</w:t>
      </w:r>
    </w:p>
    <w:p>
      <w:pPr>
        <w:spacing w:after="80" w:line="240"/>
        <w:ind w:left="0" w:hanging="0" w:firstLine="0"/>
        <w:jc w:val="both"/>
      </w:pPr>
      <w:r>
        <w:rPr>
          <w:rFonts w:ascii="Times New Roman" w:cs="Times New Roman" w:eastAsia="Times New Roman" w:hAnsi="Times New Roman"/>
          <w:i/>
          <w:iCs/>
          <w:sz w:val="22"/>
          <w:szCs w:val="22"/>
        </w:rPr>
        <w:t xml:space="preserve">Rudin C.</w:t>
      </w:r>
      <w:r>
        <w:rPr>
          <w:rFonts w:ascii="Times New Roman" w:cs="Times New Roman" w:eastAsia="Times New Roman" w:hAnsi="Times New Roman"/>
          <w:sz w:val="22"/>
          <w:szCs w:val="22"/>
        </w:rPr>
        <w:t xml:space="preserve"> Stop explaining black box machine learning models for high stakes decisions and use interpretable models instead // Nature Machine Intelligence. — 2019. — Vol. 1. — P. 206–215. DOI: 10.1038/s42256-019-0048-x.</w:t>
      </w:r>
    </w:p>
    <w:p>
      <w:pPr>
        <w:spacing w:after="80" w:line="240"/>
        <w:ind w:left="0" w:hanging="0" w:firstLine="0"/>
        <w:jc w:val="both"/>
      </w:pPr>
      <w:r>
        <w:rPr>
          <w:rFonts w:ascii="Times New Roman" w:cs="Times New Roman" w:eastAsia="Times New Roman" w:hAnsi="Times New Roman"/>
          <w:i/>
          <w:iCs/>
          <w:sz w:val="22"/>
          <w:szCs w:val="22"/>
        </w:rPr>
        <w:t xml:space="preserve">Vafaei N., Ribeiro R. A., Camarinha-Matos L. M.</w:t>
      </w:r>
      <w:r>
        <w:rPr>
          <w:rFonts w:ascii="Times New Roman" w:cs="Times New Roman" w:eastAsia="Times New Roman" w:hAnsi="Times New Roman"/>
          <w:sz w:val="22"/>
          <w:szCs w:val="22"/>
        </w:rPr>
        <w:t xml:space="preserve"> Data normalisation techniques in decision making: case study with TOPSIS method // International Journal of Information and Decision Sciences. — 2018. — Vol. 10, No. 1. — P. 19–38. DOI: 10.1504/IJIDS.2018.090667.</w:t>
      </w:r>
    </w:p>
    <w:p>
      <w:pPr>
        <w:spacing w:after="80" w:line="240"/>
        <w:ind w:left="0" w:hanging="0" w:firstLine="0"/>
        <w:jc w:val="both"/>
      </w:pPr>
      <w:r>
        <w:rPr>
          <w:rFonts w:ascii="Times New Roman" w:cs="Times New Roman" w:eastAsia="Times New Roman" w:hAnsi="Times New Roman"/>
          <w:i/>
          <w:iCs/>
          <w:sz w:val="22"/>
          <w:szCs w:val="22"/>
        </w:rPr>
        <w:t xml:space="preserve">Velasquez M., Hester P. T.</w:t>
      </w:r>
      <w:r>
        <w:rPr>
          <w:rFonts w:ascii="Times New Roman" w:cs="Times New Roman" w:eastAsia="Times New Roman" w:hAnsi="Times New Roman"/>
          <w:sz w:val="22"/>
          <w:szCs w:val="22"/>
        </w:rPr>
        <w:t xml:space="preserve"> An analysis of multi-criteria decision making methods // International Journal of Operations Research. — 2013. — Vol. 10, No. 2. — P. 56–66.</w:t>
      </w:r>
    </w:p>
    <w:p>
      <w:pPr>
        <w:spacing w:after="80" w:line="240"/>
        <w:ind w:left="0" w:hanging="0" w:firstLine="0"/>
        <w:jc w:val="both"/>
      </w:pPr>
      <w:r>
        <w:rPr>
          <w:rFonts w:ascii="Times New Roman" w:cs="Times New Roman" w:eastAsia="Times New Roman" w:hAnsi="Times New Roman"/>
          <w:i/>
          <w:iCs/>
          <w:sz w:val="22"/>
          <w:szCs w:val="22"/>
        </w:rPr>
        <w:t xml:space="preserve">Zopounidis C., Doumpos M.</w:t>
      </w:r>
      <w:r>
        <w:rPr>
          <w:rFonts w:ascii="Times New Roman" w:cs="Times New Roman" w:eastAsia="Times New Roman" w:hAnsi="Times New Roman"/>
          <w:sz w:val="22"/>
          <w:szCs w:val="22"/>
        </w:rPr>
        <w:t xml:space="preserve"> Multi-criteria decision aid in financial decision making: methodologies and literature review // Journal of Multi-Criteria Decision Analysis. — 2002. — Vol. 11, No. 4–5. — P. 167–186. DOI: 10.1002/mcda.333.</w:t>
      </w:r>
    </w:p>
    <w:p>
      <w:pPr>
        <w:spacing w:after="120" w:before="240"/>
        <w:jc w:val="left"/>
      </w:pPr>
      <w:r>
        <w:rPr>
          <w:rFonts w:ascii="Times New Roman" w:cs="Times New Roman" w:eastAsia="Times New Roman" w:hAnsi="Times New Roman"/>
          <w:b/>
          <w:bCs/>
          <w:sz w:val="24"/>
          <w:szCs w:val="24"/>
        </w:rPr>
        <w:t xml:space="preserve">Сведения об авторе</w:t>
      </w:r>
    </w:p>
    <w:p>
      <w:pPr>
        <w:spacing w:after="60" w:line="276"/>
        <w:ind w:firstLine="567"/>
        <w:jc w:val="both"/>
      </w:pPr>
      <w:r>
        <w:rPr>
          <w:rFonts w:ascii="Times New Roman" w:cs="Times New Roman" w:eastAsia="Times New Roman" w:hAnsi="Times New Roman"/>
          <w:b/>
          <w:bCs/>
          <w:sz w:val="22"/>
          <w:szCs w:val="22"/>
        </w:rPr>
        <w:t xml:space="preserve">Евдокимов Василий Максимович</w:t>
      </w:r>
      <w:r>
        <w:rPr>
          <w:rFonts w:ascii="Times New Roman" w:cs="Times New Roman" w:eastAsia="Times New Roman" w:hAnsi="Times New Roman"/>
          <w:sz w:val="22"/>
          <w:szCs w:val="22"/>
        </w:rPr>
        <w:t xml:space="preserve"> — кафедра автоматизированных систем управления, Национальный исследовательский технологический университет «МИСИС», 119049, г. Москва, Ленинский проспект, д. 4, стр. 1; e-mail: m2201058@edu.misis.ru; ORCID: 0009-0004-8821-8414.</w:t>
      </w:r>
    </w:p>
    <w:p>
      <w:pPr>
        <w:spacing w:after="60" w:line="276"/>
        <w:ind w:firstLine="567"/>
        <w:jc w:val="both"/>
      </w:pPr>
      <w:r>
        <w:rPr>
          <w:rFonts w:ascii="Times New Roman" w:cs="Times New Roman" w:eastAsia="Times New Roman" w:hAnsi="Times New Roman"/>
          <w:b/>
          <w:bCs/>
          <w:sz w:val="22"/>
          <w:szCs w:val="22"/>
        </w:rPr>
        <w:t xml:space="preserve">Vasilii M. Evdokimov</w:t>
      </w:r>
      <w:r>
        <w:rPr>
          <w:rFonts w:ascii="Times New Roman" w:cs="Times New Roman" w:eastAsia="Times New Roman" w:hAnsi="Times New Roman"/>
          <w:sz w:val="22"/>
          <w:szCs w:val="22"/>
        </w:rPr>
        <w:t xml:space="preserve"> — Department of Automated Control Systems, National University of Science and Technology MISIS, 4 Leninskiy Prospekt, Moscow, 119049, Russia; e-mail: m2201058@edu.misis.ru; ORCID: 0009-0004-8821-8414.</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e3b92a85dbd79f25197160fdda4f701bd00a45.png"/><Relationship Id="rId8" Type="http://schemas.openxmlformats.org/officeDocument/2006/relationships/image" Target="media/f33739640b35ab608ec29c3301262c51df035027.png"/><Relationship Id="rId9" Type="http://schemas.openxmlformats.org/officeDocument/2006/relationships/image" Target="media/63378457ab3a949d39c7f8e2808325cb6645837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2026-06-10T19:40:31.830Z</dcterms:created>
  <dcterms:modified xsi:type="dcterms:W3CDTF">2026-06-10T19:40:31.830Z</dcterms:modified>
</cp:coreProperties>
</file>

<file path=docProps/custom.xml><?xml version="1.0" encoding="utf-8"?>
<Properties xmlns="http://schemas.openxmlformats.org/officeDocument/2006/custom-properties" xmlns:vt="http://schemas.openxmlformats.org/officeDocument/2006/docPropsVTypes"/>
</file>