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EU R&amp;I in Geopolitical Context — Additions, May–August 2026</w:t>
      </w:r>
    </w:p>
    <w:p>
      <w:pPr>
        <w:spacing w:after="120"/>
      </w:pPr>
      <w:r>
        <w:rPr>
          <w:b w:val="false"/>
          <w:bCs w:val="false"/>
          <w:i/>
          <w:iCs/>
        </w:rPr>
        <w:t xml:space="preserve">Supplement to EU_RI_Key_Papers_May-Aug_2026. No item repeats the existing list. Compiled 25 August 2026.</w:t>
      </w:r>
    </w:p>
    <w:p>
      <w:pPr>
        <w:spacing w:after="120"/>
      </w:pPr>
      <w:r>
        <w:rPr>
          <w:b w:val="false"/>
          <w:bCs w:val="false"/>
          <w:i/>
          <w:iCs/>
        </w:rPr>
        <w:t xml:space="preserve">Organised by the four rows of the Sovereignty Frontier rather than by the earlier A–D thematic split, so each item carries an explicit cell mapping. Cell codes follow the grid: row initial + column letter, e.g. K-A = Knowledge &amp; people / Talent windfall; I-D = Infrastructure &amp; inputs / Cut supply; C-C = Conversion / Foreign exit; R-B = Rules &amp; institutions / Fortress rules.</w:t>
      </w:r>
    </w:p>
    <w:p>
      <w:pPr>
        <w:pStyle w:val="Heading1"/>
        <w:spacing w:after="160" w:before="320"/>
      </w:pPr>
      <w:r>
        <w:t xml:space="preserve">1. Knowledge &amp; people</w:t>
      </w:r>
    </w:p>
    <w:p>
      <w:pPr>
        <w:spacing w:after="40" w:before="160"/>
      </w:pPr>
      <w:r>
        <w:rPr>
          <w:b/>
          <w:bCs/>
        </w:rPr>
        <w:t xml:space="preserve">K1  </w:t>
      </w:r>
      <w:r>
        <w:t xml:space="preserve">Nature (Editorial feature) (23 June 2026). Europe as science superpower: what it will take to rival the US and China. Nature, d41586-026-01955-1.</w:t>
      </w:r>
    </w:p>
    <w:p>
      <w:pPr>
        <w:spacing w:after="40"/>
      </w:pPr>
      <w:hyperlink w:history="1" r:id="rId7tmnlkymgctl2t_0n78wv">
        <w:r>
          <w:rPr>
            <w:rStyle w:val="Hyperlink"/>
            <w:sz w:val="18"/>
            <w:szCs w:val="18"/>
          </w:rPr>
          <w:t xml:space="preserve">https://www.nature.com/articles/d41586-026-01955-1</w:t>
        </w:r>
      </w:hyperlink>
    </w:p>
    <w:p>
      <w:pPr>
        <w:spacing w:after="40"/>
      </w:pPr>
      <w:r>
        <w:rPr>
          <w:sz w:val="19"/>
          <w:szCs w:val="19"/>
        </w:rPr>
        <w:t xml:space="preserve">Type 4 – Stakeholder positions &amp; expert analysis. Cells: K-A, K-D (frames the whole row); secondary R-D.</w:t>
      </w:r>
    </w:p>
    <w:p>
      <w:pPr>
        <w:spacing w:after="120"/>
      </w:pPr>
      <w:r>
        <w:rPr>
          <w:sz w:val="19"/>
          <w:szCs w:val="19"/>
        </w:rPr>
        <w:t xml:space="preserve">Long-form assessment of whether the Choose Europe framing survives contact with funding and innovation realities. The most useful single piece for setting the K-row hypothesis space: it holds the talent-windfall and the structural-weakness readings together instead of choosing one.</w:t>
      </w:r>
    </w:p>
    <w:p>
      <w:pPr>
        <w:spacing w:after="40" w:before="160"/>
      </w:pPr>
      <w:r>
        <w:rPr>
          <w:b/>
          <w:bCs/>
        </w:rPr>
        <w:t xml:space="preserve">K2  </w:t>
      </w:r>
      <w:r>
        <w:t xml:space="preserve">Nature (2026). Prestigious European science funder scraps stricter rules after researcher backlash. Nature 653, 336–337. DOI: 10.1038/d41586-026-01435-6.</w:t>
      </w:r>
    </w:p>
    <w:p>
      <w:pPr>
        <w:spacing w:after="40"/>
      </w:pPr>
      <w:hyperlink w:history="1" r:id="rIdm2icemhtj1w50henff5ms">
        <w:r>
          <w:rPr>
            <w:rStyle w:val="Hyperlink"/>
            <w:sz w:val="18"/>
            <w:szCs w:val="18"/>
          </w:rPr>
          <w:t xml:space="preserve">https://www.nature.com/articles/d41586-026-01435-6</w:t>
        </w:r>
      </w:hyperlink>
    </w:p>
    <w:p>
      <w:pPr>
        <w:spacing w:after="40"/>
      </w:pPr>
      <w:r>
        <w:rPr>
          <w:sz w:val="19"/>
          <w:szCs w:val="19"/>
        </w:rPr>
        <w:t xml:space="preserve">Type 4 – Stakeholder positions &amp; expert analysis. Cells: K-A, R-D.</w:t>
      </w:r>
    </w:p>
    <w:p>
      <w:pPr>
        <w:spacing w:after="120"/>
      </w:pPr>
      <w:r>
        <w:rPr>
          <w:sz w:val="19"/>
          <w:szCs w:val="19"/>
        </w:rPr>
        <w:t xml:space="preserve">ERC reversal of tightened resubmission eligibility after community pushback. Evidence on decision speed and reversibility in EU-level research governance — a governance-capacity signal, not only a careers one.</w:t>
      </w:r>
    </w:p>
    <w:p>
      <w:pPr>
        <w:spacing w:after="40" w:before="160"/>
      </w:pPr>
      <w:r>
        <w:rPr>
          <w:b/>
          <w:bCs/>
        </w:rPr>
        <w:t xml:space="preserve">K3  </w:t>
      </w:r>
      <w:r>
        <w:t xml:space="preserve">Conde, J. (2026). European funder must increase capacity to meet the ambition of scientists. Nature, d41586-026-01411-0 (Comment).</w:t>
      </w:r>
    </w:p>
    <w:p>
      <w:pPr>
        <w:spacing w:after="40"/>
      </w:pPr>
      <w:hyperlink w:history="1" r:id="rIdrgfvfkr15w_tdzohbb8mh">
        <w:r>
          <w:rPr>
            <w:rStyle w:val="Hyperlink"/>
            <w:sz w:val="18"/>
            <w:szCs w:val="18"/>
          </w:rPr>
          <w:t xml:space="preserve">https://www.nature.com/articles/d41586-026-01411-0</w:t>
        </w:r>
      </w:hyperlink>
    </w:p>
    <w:p>
      <w:pPr>
        <w:spacing w:after="40"/>
      </w:pPr>
      <w:r>
        <w:rPr>
          <w:sz w:val="19"/>
          <w:szCs w:val="19"/>
        </w:rPr>
        <w:t xml:space="preserve">Type 4 – Stakeholder positions &amp; expert analysis. Cells: K-A, K-D.</w:t>
      </w:r>
    </w:p>
    <w:p>
      <w:pPr>
        <w:spacing w:after="120"/>
      </w:pPr>
      <w:r>
        <w:rPr>
          <w:sz w:val="19"/>
          <w:szCs w:val="19"/>
        </w:rPr>
        <w:t xml:space="preserve">Argues ERC capacity, not ambition, is the binding constraint on absorbing inbound talent. Companion to K2; useful as the explicit "windfall requires absorptive capacity" claim.</w:t>
      </w:r>
    </w:p>
    <w:p>
      <w:pPr>
        <w:spacing w:after="40" w:before="160"/>
      </w:pPr>
      <w:r>
        <w:rPr>
          <w:b/>
          <w:bCs/>
        </w:rPr>
        <w:t xml:space="preserve">K4  </w:t>
      </w:r>
      <w:r>
        <w:t xml:space="preserve">Nature (June 2026). Scientists fight back against far-right plans to restrict academic freedom in Germany. Nature, d41586-026-01496-7.</w:t>
      </w:r>
    </w:p>
    <w:p>
      <w:pPr>
        <w:spacing w:after="40"/>
      </w:pPr>
      <w:hyperlink w:history="1" r:id="rId1u_t1xemdylqrqaegyhsw">
        <w:r>
          <w:rPr>
            <w:rStyle w:val="Hyperlink"/>
            <w:sz w:val="18"/>
            <w:szCs w:val="18"/>
          </w:rPr>
          <w:t xml:space="preserve">https://www.nature.com/articles/d41586-026-01496-7</w:t>
        </w:r>
      </w:hyperlink>
    </w:p>
    <w:p>
      <w:pPr>
        <w:spacing w:after="40"/>
      </w:pPr>
      <w:r>
        <w:rPr>
          <w:sz w:val="19"/>
          <w:szCs w:val="19"/>
        </w:rPr>
        <w:t xml:space="preserve">Type 4 – Stakeholder positions &amp; expert analysis. Cells: K-D, R-B.</w:t>
      </w:r>
    </w:p>
    <w:p>
      <w:pPr>
        <w:spacing w:after="120"/>
      </w:pPr>
      <w:r>
        <w:rPr>
          <w:sz w:val="19"/>
          <w:szCs w:val="19"/>
        </w:rPr>
        <w:t xml:space="preserve">Domestic political risk to academic freedom inside a core Member State. Relevant because most K-row analysis treats the attractiveness threat as exogenous (US-driven); this is the endogenous version.</w:t>
      </w:r>
    </w:p>
    <w:p>
      <w:pPr>
        <w:spacing w:after="40" w:before="160"/>
      </w:pPr>
      <w:r>
        <w:rPr>
          <w:b/>
          <w:bCs/>
        </w:rPr>
        <w:t xml:space="preserve">K5  </w:t>
      </w:r>
      <w:r>
        <w:t xml:space="preserve">Walker-Munro, B. (2026). Research security by roundtable: analysis of Germany’s committees for the ethics of security-relevant research. Science and Public Policy, scag028 (advance article). DOI: 10.1093/scipol/scag028.</w:t>
      </w:r>
    </w:p>
    <w:p>
      <w:pPr>
        <w:spacing w:after="40"/>
      </w:pPr>
      <w:hyperlink w:history="1" r:id="rIdsusatwujjm5dje1nnqfzs">
        <w:r>
          <w:rPr>
            <w:rStyle w:val="Hyperlink"/>
            <w:sz w:val="18"/>
            <w:szCs w:val="18"/>
          </w:rPr>
          <w:t xml:space="preserve">https://academic.oup.com/spp/advance-article/doi/10.1093/scipol/scag028/8664218</w:t>
        </w:r>
      </w:hyperlink>
    </w:p>
    <w:p>
      <w:pPr>
        <w:spacing w:after="40"/>
      </w:pPr>
      <w:r>
        <w:rPr>
          <w:sz w:val="19"/>
          <w:szCs w:val="19"/>
        </w:rPr>
        <w:t xml:space="preserve">Type 3 – Science-for-policy &amp; academic. Cells: K-B, R-B.</w:t>
      </w:r>
    </w:p>
    <w:p>
      <w:pPr>
        <w:spacing w:after="120"/>
      </w:pPr>
      <w:r>
        <w:rPr>
          <w:sz w:val="19"/>
          <w:szCs w:val="19"/>
        </w:rPr>
        <w:t xml:space="preserve">Flagged: online April 2026 — just outside the 4-month window; include as the anchor academic reference for K-B. Empirical study of the German KEF model (nearly 170 institutions engaged in ethical review of security-relevant research; committees more than tripled in four years). Contrasts institution-led ethical review with Dutch pre-engagement screening. The best available peer-reviewed evidence that research-security instruments differ sharply in their collaboration cost.</w:t>
      </w:r>
    </w:p>
    <w:p>
      <w:pPr>
        <w:spacing w:after="40" w:before="160"/>
      </w:pPr>
      <w:r>
        <w:rPr>
          <w:b/>
          <w:bCs/>
        </w:rPr>
        <w:t xml:space="preserve">K6  </w:t>
      </w:r>
      <w:r>
        <w:t xml:space="preserve">Mollaki, V.; Ziouvelou, X.; Giouvanopoulou, K.; Karkaletsis, V.; and the CHANGER Consortium (2026). Challenges and recommendations for research security: Learning from research ethics and integrity. Research Ethics (SAGE). DOI: 10.1177/17470161251404962.</w:t>
      </w:r>
    </w:p>
    <w:p>
      <w:pPr>
        <w:spacing w:after="40"/>
      </w:pPr>
      <w:hyperlink w:history="1" r:id="rIdi10pbknktmjesahqtzm9g">
        <w:r>
          <w:rPr>
            <w:rStyle w:val="Hyperlink"/>
            <w:sz w:val="18"/>
            <w:szCs w:val="18"/>
          </w:rPr>
          <w:t xml:space="preserve">https://journals.sagepub.com/doi/10.1177/17470161251404962</w:t>
        </w:r>
      </w:hyperlink>
    </w:p>
    <w:p>
      <w:pPr>
        <w:spacing w:after="40"/>
      </w:pPr>
      <w:r>
        <w:rPr>
          <w:sz w:val="19"/>
          <w:szCs w:val="19"/>
        </w:rPr>
        <w:t xml:space="preserve">Type 3 – Science-for-policy &amp; academic. Cells: K-B, R-A, R-C.</w:t>
      </w:r>
    </w:p>
    <w:p>
      <w:pPr>
        <w:spacing w:after="120"/>
      </w:pPr>
      <w:r>
        <w:rPr>
          <w:sz w:val="19"/>
          <w:szCs w:val="19"/>
        </w:rPr>
        <w:t xml:space="preserve">Flagged: publication date within the window not yet confirmed — verify issue assignment before citing as in-window. Positions the EU research-security model (proportionality, trust-building, ethics-derived) against the US compliance-driven model (NSPM-33, CHIPS and Science Act). Directly supplies the R-A vs R-C distinction: whether Europe exports its own regime or absorbs someone else’s.</w:t>
      </w:r>
    </w:p>
    <w:p>
      <w:pPr>
        <w:spacing w:after="40" w:before="160"/>
      </w:pPr>
      <w:r>
        <w:rPr>
          <w:b/>
          <w:bCs/>
        </w:rPr>
        <w:t xml:space="preserve">K7  </w:t>
      </w:r>
      <w:r>
        <w:t xml:space="preserve">European Think-tank Network on China (ETNC) (Bartsch, B.; Wessling, C., eds.) (June 2026). Fragmented Europe: Dealing with China as a technology and innovation power. MERICS, Berlin (12th ETNC report; 22 country chapters).</w:t>
      </w:r>
    </w:p>
    <w:p>
      <w:pPr>
        <w:spacing w:after="40"/>
      </w:pPr>
      <w:hyperlink w:history="1" r:id="rIdzurixpsc_n5rk1dwpu9pm">
        <w:r>
          <w:rPr>
            <w:rStyle w:val="Hyperlink"/>
            <w:sz w:val="18"/>
            <w:szCs w:val="18"/>
          </w:rPr>
          <w:t xml:space="preserve">https://merics.org/en/report/fragmented-europe-dealing-china-technology-and-innovation-power</w:t>
        </w:r>
      </w:hyperlink>
    </w:p>
    <w:p>
      <w:pPr>
        <w:spacing w:after="40"/>
      </w:pPr>
      <w:r>
        <w:rPr>
          <w:sz w:val="19"/>
          <w:szCs w:val="19"/>
        </w:rPr>
        <w:t xml:space="preserve">Type 4 – Stakeholder positions &amp; expert analysis. Cells: K-B, K-C, R-D (primary); I-D, C-D.</w:t>
      </w:r>
    </w:p>
    <w:p>
      <w:pPr>
        <w:spacing w:after="120"/>
      </w:pPr>
      <w:r>
        <w:rPr>
          <w:sz w:val="19"/>
          <w:szCs w:val="19"/>
        </w:rPr>
        <w:t xml:space="preserve">The single most important addition. Twenty-two national approaches to China as research partner and technology power, plus an EU chapter (Arcesati) and a survey of the author network. Its central finding — convergence in rhetoric, continued fragmentation in instruments — is the empirical basis for R-D (Gridlock) as a live outcome rather than a rhetorical one. Also carries the 15th Five-Year Plan (March 2026) as the intensifying external driver.</w:t>
      </w:r>
    </w:p>
    <w:p>
      <w:pPr>
        <w:pStyle w:val="Heading1"/>
        <w:spacing w:after="160" w:before="320"/>
      </w:pPr>
      <w:r>
        <w:t xml:space="preserve">2. Infrastructure &amp; inputs</w:t>
      </w:r>
    </w:p>
    <w:p>
      <w:pPr>
        <w:spacing w:after="40" w:before="160"/>
      </w:pPr>
      <w:r>
        <w:rPr>
          <w:b/>
          <w:bCs/>
        </w:rPr>
        <w:t xml:space="preserve">I1  </w:t>
      </w:r>
      <w:r>
        <w:t xml:space="preserve">García-Herrero, A.; Martens, B. (19 May 2026). Europe needs a strategy to close the artificial intelligence compute gap. Analysis 13/2026, Bruegel, Brussels. DOI: 10.64153/HFQM9739.</w:t>
      </w:r>
    </w:p>
    <w:p>
      <w:pPr>
        <w:spacing w:after="40"/>
      </w:pPr>
      <w:hyperlink w:history="1" r:id="rIdv5g9q2o6mistty7bqwzfr">
        <w:r>
          <w:rPr>
            <w:rStyle w:val="Hyperlink"/>
            <w:sz w:val="18"/>
            <w:szCs w:val="18"/>
          </w:rPr>
          <w:t xml:space="preserve">https://www.bruegel.org/analysis/europe-needs-strategy-close-artificial-intelligence-compute-gap</w:t>
        </w:r>
      </w:hyperlink>
    </w:p>
    <w:p>
      <w:pPr>
        <w:spacing w:after="40"/>
      </w:pPr>
      <w:r>
        <w:rPr>
          <w:sz w:val="19"/>
          <w:szCs w:val="19"/>
        </w:rPr>
        <w:t xml:space="preserve">Type 3 – Science-for-policy &amp; academic. Cells: I-B, I-C (primary); I-A, C-B.</w:t>
      </w:r>
    </w:p>
    <w:p>
      <w:pPr>
        <w:spacing w:after="120"/>
      </w:pPr>
      <w:r>
        <w:rPr>
          <w:sz w:val="19"/>
          <w:szCs w:val="19"/>
        </w:rPr>
        <w:t xml:space="preserve">The clearest statement of the I-row trade-off in the window. Argues Europe holds genuine upstream chokepoints (ASML in EUV lithography, IMEC in advanced fabrication research) but exports the advantage; recommends a two-track China-style strategy — keep buying NVIDIA while building domestic capacity — organised on Airbus lines around genuine comparative advantage rather than territorial distribution. Crucially, it prices the B column honestly: firms switching to domestic hardware face slower training, higher energy per computation and CUDA migration friction, and the paper asks openly whether the EU should compensate them. That is the Expensive-mirror cell stated as a policy cost, not a risk.</w:t>
      </w:r>
    </w:p>
    <w:p>
      <w:pPr>
        <w:spacing w:after="40" w:before="160"/>
      </w:pPr>
      <w:r>
        <w:rPr>
          <w:b/>
          <w:bCs/>
        </w:rPr>
        <w:t xml:space="preserve">I2  </w:t>
      </w:r>
      <w:r>
        <w:t xml:space="preserve">Poitiers, N.; Schenk, T. (2026). Revamping Europe’s chips strategy: indispensability, not self-sufficiency. Analysis 12/2026, Bruegel, Brussels. DOI: 10.64153/DADR3364.</w:t>
      </w:r>
    </w:p>
    <w:p>
      <w:pPr>
        <w:spacing w:after="40"/>
      </w:pPr>
      <w:hyperlink w:history="1" r:id="rIdiyfbqnlw2v0is_1nqkejd">
        <w:r>
          <w:rPr>
            <w:rStyle w:val="Hyperlink"/>
            <w:sz w:val="18"/>
            <w:szCs w:val="18"/>
          </w:rPr>
          <w:t xml:space="preserve">https://www.bruegel.org/publications/analyses</w:t>
        </w:r>
      </w:hyperlink>
    </w:p>
    <w:p>
      <w:pPr>
        <w:spacing w:after="40"/>
      </w:pPr>
      <w:r>
        <w:rPr>
          <w:sz w:val="19"/>
          <w:szCs w:val="19"/>
        </w:rPr>
        <w:t xml:space="preserve">Type 3 – Science-for-policy &amp; academic. Cells: I-A (primary); I-B, C-B.</w:t>
      </w:r>
    </w:p>
    <w:p>
      <w:pPr>
        <w:spacing w:after="120"/>
      </w:pPr>
      <w:r>
        <w:rPr>
          <w:sz w:val="19"/>
          <w:szCs w:val="19"/>
        </w:rPr>
        <w:t xml:space="preserve">Flagged: cited via I1’s reference list; confirm exact publication date and landing URL on the Bruegel Analyses index. The explicit argument for playing the Home-chokepoint cell rather than the Expensive-mirror one: leverage over an indispensable segment beats attempted self-sufficiency across the stack. The direct counterweight to Chips Act 2.0 framing in the existing list (B3, C10, C11).</w:t>
      </w:r>
    </w:p>
    <w:p>
      <w:pPr>
        <w:spacing w:after="40" w:before="160"/>
      </w:pPr>
      <w:r>
        <w:rPr>
          <w:b/>
          <w:bCs/>
        </w:rPr>
        <w:t xml:space="preserve">I4  </w:t>
      </w:r>
      <w:r>
        <w:t xml:space="preserve">CSIS (26 May 2026). Understanding U.S. Allies’ Current Legal Authority to Implement AI and Semiconductor Export Controls. Center for Strategic and International Studies, Washington DC.</w:t>
      </w:r>
    </w:p>
    <w:p>
      <w:pPr>
        <w:spacing w:after="40"/>
      </w:pPr>
      <w:hyperlink w:history="1" r:id="rIdbmonuzhiwvsq6frjupljy">
        <w:r>
          <w:rPr>
            <w:rStyle w:val="Hyperlink"/>
            <w:sz w:val="18"/>
            <w:szCs w:val="18"/>
          </w:rPr>
          <w:t xml:space="preserve">https://www.csis.org/analysis/understanding-us-allies-current-legal-authority-implement-ai-and-semiconductor-export</w:t>
        </w:r>
      </w:hyperlink>
    </w:p>
    <w:p>
      <w:pPr>
        <w:spacing w:after="40"/>
      </w:pPr>
      <w:r>
        <w:rPr>
          <w:sz w:val="19"/>
          <w:szCs w:val="19"/>
        </w:rPr>
        <w:t xml:space="preserve">Type 3 – Science-for-policy &amp; academic. Cells: R-C (primary); I-C, I-D.</w:t>
      </w:r>
    </w:p>
    <w:p>
      <w:pPr>
        <w:spacing w:after="120"/>
      </w:pPr>
      <w:r>
        <w:rPr>
          <w:sz w:val="19"/>
          <w:szCs w:val="19"/>
        </w:rPr>
        <w:t xml:space="preserve">Assesses whether allied jurisdictions — including EU Member States and the Netherlands specifically — have the domestic legal authority to implement US-aligned semiconductor controls. The mechanism by which R-C (Rule-taker) actually operates: not adoption by choice but legal accommodation of an extraterritorial regime.</w:t>
      </w:r>
    </w:p>
    <w:p>
      <w:pPr>
        <w:spacing w:after="40" w:before="160"/>
      </w:pPr>
      <w:r>
        <w:rPr>
          <w:b/>
          <w:bCs/>
        </w:rPr>
        <w:t xml:space="preserve">I5  </w:t>
      </w:r>
      <w:r>
        <w:t xml:space="preserve">Chatham House (April 2026). AI export controls are not the best bargaining chip. Royal Institute of International Affairs, London (Expert comment).</w:t>
      </w:r>
    </w:p>
    <w:p>
      <w:pPr>
        <w:spacing w:after="40"/>
      </w:pPr>
      <w:hyperlink w:history="1" r:id="rIdcytnh-vdyumb-ewqrgiuy">
        <w:r>
          <w:rPr>
            <w:rStyle w:val="Hyperlink"/>
            <w:sz w:val="18"/>
            <w:szCs w:val="18"/>
          </w:rPr>
          <w:t xml:space="preserve">https://www.chathamhouse.org/2026/04/ai-export-controls-are-not-best-bargaining-chip</w:t>
        </w:r>
      </w:hyperlink>
    </w:p>
    <w:p>
      <w:pPr>
        <w:spacing w:after="40"/>
      </w:pPr>
      <w:r>
        <w:rPr>
          <w:sz w:val="19"/>
          <w:szCs w:val="19"/>
        </w:rPr>
        <w:t xml:space="preserve">Type 4 – Stakeholder positions &amp; expert analysis. Cells: I-C, R-C.</w:t>
      </w:r>
    </w:p>
    <w:p>
      <w:pPr>
        <w:spacing w:after="120"/>
      </w:pPr>
      <w:r>
        <w:rPr>
          <w:sz w:val="19"/>
          <w:szCs w:val="19"/>
        </w:rPr>
        <w:t xml:space="preserve">Flagged: April 2026 — outside the strict window; context only. Reads the post-AI-Diffusion-Rule regime as discretionary deal-making rather than rule-based control, which is the condition that makes access terms unpredictable for third parties including the EU.</w:t>
      </w:r>
    </w:p>
    <w:p>
      <w:pPr>
        <w:pStyle w:val="Heading1"/>
        <w:spacing w:after="160" w:before="320"/>
      </w:pPr>
      <w:r>
        <w:t xml:space="preserve">3. Conversion</w:t>
      </w:r>
    </w:p>
    <w:p>
      <w:pPr>
        <w:spacing w:after="40" w:before="160"/>
      </w:pPr>
      <w:r>
        <w:rPr>
          <w:b/>
          <w:bCs/>
        </w:rPr>
        <w:t xml:space="preserve">C1  </w:t>
      </w:r>
      <w:r>
        <w:t xml:space="preserve">European Central Bank (2026). Europe’s venture capital gap and the financing of high-growth firms. ECB Economic Bulletin, Issue 5/2026, box.</w:t>
      </w:r>
    </w:p>
    <w:p>
      <w:pPr>
        <w:spacing w:after="40"/>
      </w:pPr>
      <w:hyperlink w:history="1" r:id="rIdpcoa5f6xe5_orli6wtuzt">
        <w:r>
          <w:rPr>
            <w:rStyle w:val="Hyperlink"/>
            <w:sz w:val="18"/>
            <w:szCs w:val="18"/>
          </w:rPr>
          <w:t xml:space="preserve">https://www.ecb.europa.eu/press/economic-bulletin/focus/2026/html/ecb.ebbox202605_01~4453cc2a34.en.html</w:t>
        </w:r>
      </w:hyperlink>
    </w:p>
    <w:p>
      <w:pPr>
        <w:spacing w:after="40"/>
      </w:pPr>
      <w:r>
        <w:rPr>
          <w:sz w:val="19"/>
          <w:szCs w:val="19"/>
        </w:rPr>
        <w:t xml:space="preserve">Type 2 – Statistical &amp; monitoring reports. Cells: C-C (primary); C-D.</w:t>
      </w:r>
    </w:p>
    <w:p>
      <w:pPr>
        <w:spacing w:after="120"/>
      </w:pPr>
      <w:r>
        <w:rPr>
          <w:sz w:val="19"/>
          <w:szCs w:val="19"/>
        </w:rPr>
        <w:t xml:space="preserve">The strongest in-window quantitative basis for the Foreign-exit cell. US VC fund capital is roughly six times the EU total (c. €930bn vs c. €150bn); the gap is concentrated in later-stage financing, a narrow institutional investor base and thin cross-border investment within the EU. The box states the mechanism the C-column needs: reliance on non-EU investors at later stages raises the likelihood that headquarters, management, talent, IP or listing move out. Explicitly frames the concern as Europe’s capacity to retain value rather than foreign investment as such — which is exactly the independent–competitive distinction the grid encodes.</w:t>
      </w:r>
    </w:p>
    <w:p>
      <w:pPr>
        <w:spacing w:after="40" w:before="160"/>
      </w:pPr>
      <w:r>
        <w:rPr>
          <w:b/>
          <w:bCs/>
        </w:rPr>
        <w:t xml:space="preserve">C2  </w:t>
      </w:r>
      <w:r>
        <w:t xml:space="preserve">Banu, E.; Derin, T.; Evrard, J.; Lambert, C.; Legran, D.; Schuster, W. E. (7 May 2026). Exploring the investor landscape for venture capital. In: Financial Integration and Structure in the Euro Area 2026, ECB, box.</w:t>
      </w:r>
    </w:p>
    <w:p>
      <w:pPr>
        <w:spacing w:after="40"/>
      </w:pPr>
      <w:hyperlink w:history="1" r:id="rIdw5gn3ntvfwfovzesa-llt">
        <w:r>
          <w:rPr>
            <w:rStyle w:val="Hyperlink"/>
            <w:sz w:val="18"/>
            <w:szCs w:val="18"/>
          </w:rPr>
          <w:t xml:space="preserve">https://www.ecb.europa.eu/press/fie/box/html/ecb.fiebox202605_04.en.html</w:t>
        </w:r>
      </w:hyperlink>
    </w:p>
    <w:p>
      <w:pPr>
        <w:spacing w:after="40"/>
      </w:pPr>
      <w:r>
        <w:rPr>
          <w:sz w:val="19"/>
          <w:szCs w:val="19"/>
        </w:rPr>
        <w:t xml:space="preserve">Type 2 – Statistical &amp; monitoring reports. Cells: C-C, C-B.</w:t>
      </w:r>
    </w:p>
    <w:p>
      <w:pPr>
        <w:spacing w:after="120"/>
      </w:pPr>
      <w:r>
        <w:rPr>
          <w:sz w:val="19"/>
          <w:szCs w:val="19"/>
        </w:rPr>
        <w:t xml:space="preserve">Companion to C1 on the supply side: limited institutional-investor participation constrains EU VC fund scale, and the European Investment Fund’s role could be leveraged to crowd in private capital. Maps the fund landscape against the regulatory framework ahead of its review. Note it links VC capacity to strategic autonomy directly — useful for arguing the C-row is a sovereignty variable, not only a growth one.</w:t>
      </w:r>
    </w:p>
    <w:p>
      <w:pPr>
        <w:spacing w:after="40" w:before="160"/>
      </w:pPr>
      <w:r>
        <w:rPr>
          <w:b/>
          <w:bCs/>
        </w:rPr>
        <w:t xml:space="preserve">C3  </w:t>
      </w:r>
      <w:r>
        <w:t xml:space="preserve">European Innovation Council (17 June 2026). The European Innovation Council opens to defence and dual-use technologies — amended EIC Work Programme 2026. European Commission, Brussels.</w:t>
      </w:r>
    </w:p>
    <w:p>
      <w:pPr>
        <w:spacing w:after="40"/>
      </w:pPr>
      <w:hyperlink w:history="1" r:id="rIdah3zsra7_m9cbughpkso5">
        <w:r>
          <w:rPr>
            <w:rStyle w:val="Hyperlink"/>
            <w:sz w:val="18"/>
            <w:szCs w:val="18"/>
          </w:rPr>
          <w:t xml:space="preserve">https://eic.ec.europa.eu/news/european-innovation-council-opens-defence-and-dual-use-technologies-2026-06-17_en</w:t>
        </w:r>
      </w:hyperlink>
    </w:p>
    <w:p>
      <w:pPr>
        <w:spacing w:after="40"/>
      </w:pPr>
      <w:r>
        <w:rPr>
          <w:sz w:val="19"/>
          <w:szCs w:val="19"/>
        </w:rPr>
        <w:t xml:space="preserve">Type 1 – EU legislative &amp; institutional acts / positions. Cells: C-A, C-B (primary); R-B.</w:t>
      </w:r>
    </w:p>
    <w:p>
      <w:pPr>
        <w:spacing w:after="120"/>
      </w:pPr>
      <w:r>
        <w:rPr>
          <w:sz w:val="19"/>
          <w:szCs w:val="19"/>
        </w:rPr>
        <w:t xml:space="preserve">Operative rather than proposed: EIC Accelerator grants up to €2.5m and equity up to €30m now available for dual-use, with named priority areas including air and missile defence and drones/counter-drones. Ends the civilian-only condition in practice ahead of the FP10 decision, so it converts the dual-use question from a legislative debate (existing list D4) into an observable instrument.</w:t>
      </w:r>
    </w:p>
    <w:p>
      <w:pPr>
        <w:spacing w:after="40" w:before="160"/>
      </w:pPr>
      <w:r>
        <w:rPr>
          <w:b/>
          <w:bCs/>
        </w:rPr>
        <w:t xml:space="preserve">C4  </w:t>
      </w:r>
      <w:r>
        <w:t xml:space="preserve">Eigner, L. (20 May 2026). Dual-use and Defence Research in Europe. Center for Security Studies (CSS), ETH Zürich.</w:t>
      </w:r>
    </w:p>
    <w:p>
      <w:pPr>
        <w:spacing w:after="40"/>
      </w:pPr>
      <w:hyperlink w:history="1" r:id="rIdgnkrhqqraoqyteymjjwcp">
        <w:r>
          <w:rPr>
            <w:rStyle w:val="Hyperlink"/>
            <w:sz w:val="18"/>
            <w:szCs w:val="18"/>
          </w:rPr>
          <w:t xml:space="preserve">https://css.ethz.ch/en/center/CSS-news/2026/05/dual-use-and-defence-research-in-europe.html</w:t>
        </w:r>
      </w:hyperlink>
    </w:p>
    <w:p>
      <w:pPr>
        <w:spacing w:after="40"/>
      </w:pPr>
      <w:r>
        <w:rPr>
          <w:sz w:val="19"/>
          <w:szCs w:val="19"/>
        </w:rPr>
        <w:t xml:space="preserve">Type 3 – Science-for-policy &amp; academic. Cells: C-A, C-B, R-B.</w:t>
      </w:r>
    </w:p>
    <w:p>
      <w:pPr>
        <w:spacing w:after="120"/>
      </w:pPr>
      <w:r>
        <w:rPr>
          <w:sz w:val="19"/>
          <w:szCs w:val="19"/>
        </w:rPr>
        <w:t xml:space="preserve">Analytical framing of the civil–military reorientation: distinguishes defence R&amp;D policy (integrating new actors into military ecosystems) from dual-use policy (reorienting whole innovation systems toward dual outputs). Notes the ERC remains civil for now and expects that to change. The conceptual apparatus the C-row needs to avoid treating "dual-use" as one thing.</w:t>
      </w:r>
    </w:p>
    <w:p>
      <w:pPr>
        <w:spacing w:after="40" w:before="160"/>
      </w:pPr>
      <w:r>
        <w:rPr>
          <w:b/>
          <w:bCs/>
        </w:rPr>
        <w:t xml:space="preserve">C5  </w:t>
      </w:r>
      <w:r>
        <w:t xml:space="preserve">SIPRI (2026). The growth of dual-use by design research in Europe: Export control risks and challenges. Stockholm International Peace Research Institute (Topical backgrounder).</w:t>
      </w:r>
    </w:p>
    <w:p>
      <w:pPr>
        <w:spacing w:after="40"/>
      </w:pPr>
      <w:hyperlink w:history="1" r:id="rIdzlycfts_9hxgn1rhl2ek1">
        <w:r>
          <w:rPr>
            <w:rStyle w:val="Hyperlink"/>
            <w:sz w:val="18"/>
            <w:szCs w:val="18"/>
          </w:rPr>
          <w:t xml:space="preserve">https://www.sipri.org/commentary/topical-backgrounder/2026/growth-dual-use-design-research-europe-export-control-risks-and-challenges</w:t>
        </w:r>
      </w:hyperlink>
    </w:p>
    <w:p>
      <w:pPr>
        <w:spacing w:after="40"/>
      </w:pPr>
      <w:r>
        <w:rPr>
          <w:sz w:val="19"/>
          <w:szCs w:val="19"/>
        </w:rPr>
        <w:t xml:space="preserve">Type 3 – Science-for-policy &amp; academic. Cells: C-B, R-B, I-D.</w:t>
      </w:r>
    </w:p>
    <w:p>
      <w:pPr>
        <w:spacing w:after="120"/>
      </w:pPr>
      <w:r>
        <w:rPr>
          <w:sz w:val="19"/>
          <w:szCs w:val="19"/>
        </w:rPr>
        <w:t xml:space="preserve">Flagged: exact 2026 publication date not established; verify before assigning to the window. Traces how Regulation (EU) 2025/2653 (ReArm Europe) modified civilian funding mechanisms to enable dual-use-by-design, and what this implies for export-control exposure of universities and research institutes. The compliance-cost side of the C-B cell.</w:t>
      </w:r>
    </w:p>
    <w:p>
      <w:pPr>
        <w:spacing w:after="40" w:before="160"/>
      </w:pPr>
      <w:r>
        <w:rPr>
          <w:b/>
          <w:bCs/>
        </w:rPr>
        <w:t xml:space="preserve">C6  </w:t>
      </w:r>
      <w:r>
        <w:t xml:space="preserve">European Investment Bank (14 July 2026). European Tech Champions Initiative 2.0 — launch. EIB Group, Brussels/Luxembourg.</w:t>
      </w:r>
    </w:p>
    <w:p>
      <w:pPr>
        <w:spacing w:after="40"/>
      </w:pPr>
      <w:hyperlink w:history="1" r:id="rIdbnu-he2ymuren4hgyac7f">
        <w:r>
          <w:rPr>
            <w:rStyle w:val="Hyperlink"/>
            <w:sz w:val="18"/>
            <w:szCs w:val="18"/>
          </w:rPr>
          <w:t xml:space="preserve">https://fintechmagazine.com/news/eib-group-scaling-startup-innovation-with-80bn-funding</w:t>
        </w:r>
      </w:hyperlink>
    </w:p>
    <w:p>
      <w:pPr>
        <w:spacing w:after="40"/>
      </w:pPr>
      <w:r>
        <w:rPr>
          <w:sz w:val="19"/>
          <w:szCs w:val="19"/>
        </w:rPr>
        <w:t xml:space="preserve">Type 1 – EU legislative &amp; institutional acts / positions. Cells: C-A, C-C.</w:t>
      </w:r>
    </w:p>
    <w:p>
      <w:pPr>
        <w:spacing w:after="120"/>
      </w:pPr>
      <w:r>
        <w:rPr>
          <w:sz w:val="19"/>
          <w:szCs w:val="19"/>
        </w:rPr>
        <w:t xml:space="preserve">Flagged: secondary source; substitute the EIB press release once located. Second-phase instrument aimed explicitly at letting scale-ups grow without relocating to the US; adds mid-sized funds and institutional investors. Phase one supported 15 funds and is credited with 12 unicorns. The policy response to C1/C2 — include so the C-row has both diagnosis and instrument.</w:t>
      </w:r>
    </w:p>
    <w:p>
      <w:pPr>
        <w:spacing w:after="40" w:before="160"/>
      </w:pPr>
      <w:r>
        <w:rPr>
          <w:b/>
          <w:bCs/>
        </w:rPr>
        <w:t xml:space="preserve">C7  </w:t>
      </w:r>
      <w:r>
        <w:t xml:space="preserve">Council of the EU / European Parliament (10–18 June 2026). Provisional political agreement on the Programme for Agile and Rapid Defence Innovation (AGILE), €115 million, and on the defence simplification package (procurement, permitting, cross-border cooperation).</w:t>
      </w:r>
    </w:p>
    <w:p>
      <w:pPr>
        <w:spacing w:after="40"/>
      </w:pPr>
      <w:hyperlink w:history="1" r:id="rIdyfw4i-4ckincgpfrormuz">
        <w:r>
          <w:rPr>
            <w:rStyle w:val="Hyperlink"/>
            <w:sz w:val="18"/>
            <w:szCs w:val="18"/>
          </w:rPr>
          <w:t xml:space="preserve">https://consilium-europa.libguides.com/EuropeofDefence/Council_EUI</w:t>
        </w:r>
      </w:hyperlink>
    </w:p>
    <w:p>
      <w:pPr>
        <w:spacing w:after="40"/>
      </w:pPr>
      <w:r>
        <w:rPr>
          <w:sz w:val="19"/>
          <w:szCs w:val="19"/>
        </w:rPr>
        <w:t xml:space="preserve">Type 1 – EU legislative &amp; institutional acts / positions. Cells: C-A, R-B.</w:t>
      </w:r>
    </w:p>
    <w:p>
      <w:pPr>
        <w:spacing w:after="120"/>
      </w:pPr>
      <w:r>
        <w:rPr>
          <w:sz w:val="19"/>
          <w:szCs w:val="19"/>
        </w:rPr>
        <w:t xml:space="preserve">Small instrument, large signal: an EU-level channel targeted at SMEs, start-ups and scale-ups in emerging and disruptive defence technologies, agreed in-window. Relevant to the existing list’s unverified D13.</w:t>
      </w:r>
    </w:p>
    <w:p>
      <w:pPr>
        <w:pStyle w:val="Heading1"/>
        <w:spacing w:after="160" w:before="320"/>
      </w:pPr>
      <w:r>
        <w:t xml:space="preserve">4. Rules &amp; institutions</w:t>
      </w:r>
    </w:p>
    <w:p>
      <w:pPr>
        <w:spacing w:after="40" w:before="160"/>
      </w:pPr>
      <w:r>
        <w:rPr>
          <w:b/>
          <w:bCs/>
        </w:rPr>
        <w:t xml:space="preserve">R1  </w:t>
      </w:r>
      <w:r>
        <w:t xml:space="preserve">Council of the European Union (29 May 2026). Council Recommendation on a European Union framework for science diplomacy. Council of the EU, Brussels (Commission proposal COM(2026) 97, 27 February 2026).</w:t>
      </w:r>
    </w:p>
    <w:p>
      <w:pPr>
        <w:spacing w:after="40"/>
      </w:pPr>
      <w:hyperlink w:history="1" r:id="rIdk70glehwseizhsh3ksau2">
        <w:r>
          <w:rPr>
            <w:rStyle w:val="Hyperlink"/>
            <w:sz w:val="18"/>
            <w:szCs w:val="18"/>
          </w:rPr>
          <w:t xml:space="preserve">https://www.consilium.europa.eu/en/press/press-releases/2026/05/29/council-defines-a-new-framework-for-science-diplomacy/</w:t>
        </w:r>
      </w:hyperlink>
    </w:p>
    <w:p>
      <w:pPr>
        <w:spacing w:after="40"/>
      </w:pPr>
      <w:r>
        <w:rPr>
          <w:sz w:val="19"/>
          <w:szCs w:val="19"/>
        </w:rPr>
        <w:t xml:space="preserve">Type 1 – EU legislative &amp; institutional acts / positions. Cells: R-A (primary); K-C.</w:t>
      </w:r>
    </w:p>
    <w:p>
      <w:pPr>
        <w:spacing w:after="120"/>
      </w:pPr>
      <w:r>
        <w:rPr>
          <w:sz w:val="19"/>
          <w:szCs w:val="19"/>
        </w:rPr>
        <w:t xml:space="preserve">The main in-window legislative act missing from the existing list. Adopted, not proposed. Establishes a shared framework and code of conduct for EU science diplomacy, with a Mediterranean science diplomacy centre proposed and Member State–level coordination between diplomatic services and research institutions encouraged. Directly instantiates R-A: the EU attempting to set the terms of scientific engagement rather than absorb others’. Pairs with the Research Security Monitor 2025 and the Global Approach Implementation Report 2023–2025 from the same 27 February package (both pre-window, both worth listing as context).</w:t>
      </w:r>
    </w:p>
    <w:p>
      <w:pPr>
        <w:spacing w:after="40" w:before="160"/>
      </w:pPr>
      <w:r>
        <w:rPr>
          <w:b/>
          <w:bCs/>
        </w:rPr>
        <w:t xml:space="preserve">R2  </w:t>
      </w:r>
      <w:r>
        <w:t xml:space="preserve">Loket Kennisveiligheid / Government of the Netherlands (9 July 2026). Nationale Leidraad Kennisveiligheid — fully revised National Knowledge Security Guideline (first complete rewrite since April 2022).</w:t>
      </w:r>
    </w:p>
    <w:p>
      <w:pPr>
        <w:spacing w:after="40"/>
      </w:pPr>
      <w:hyperlink w:history="1" r:id="rIdnfv3ofthociux01mtipt6">
        <w:r>
          <w:rPr>
            <w:rStyle w:val="Hyperlink"/>
            <w:sz w:val="18"/>
            <w:szCs w:val="18"/>
          </w:rPr>
          <w:t xml:space="preserve">https://casrai.org/news/netherlands-national-knowledge-security-guideline-2026-revision</w:t>
        </w:r>
      </w:hyperlink>
    </w:p>
    <w:p>
      <w:pPr>
        <w:spacing w:after="40"/>
      </w:pPr>
      <w:r>
        <w:rPr>
          <w:sz w:val="19"/>
          <w:szCs w:val="19"/>
        </w:rPr>
        <w:t xml:space="preserve">Type 1 – EU legislative &amp; institutional acts / positions. Cells: R-B (primary); K-B.</w:t>
      </w:r>
    </w:p>
    <w:p>
      <w:pPr>
        <w:spacing w:after="120"/>
      </w:pPr>
      <w:r>
        <w:rPr>
          <w:sz w:val="19"/>
          <w:szCs w:val="19"/>
        </w:rPr>
        <w:t xml:space="preserve">Flagged: secondary source for the 9 July revision; substitute the Loket Kennisveiligheid primary page when citing. Updated threat assessment developed with the Dutch intelligence and security services; sharpened definition of knowledge security; the 2025 risk-assessment indicators folded in as a formal appendix; clearer separation of binding from non-binding content. Read alongside the pending Wet screening kennisveiligheid (mandatory screening of researchers and master’s students in sensitive fields; c. 8,000 people a year on the draft figures). The Netherlands is the Member State furthest into the R-B cell and therefore the natural case for measuring its collaboration cost.</w:t>
      </w:r>
    </w:p>
    <w:p>
      <w:pPr>
        <w:spacing w:after="40" w:before="160"/>
      </w:pPr>
      <w:r>
        <w:rPr>
          <w:b/>
          <w:bCs/>
        </w:rPr>
        <w:t xml:space="preserve">R3  </w:t>
      </w:r>
      <w:r>
        <w:t xml:space="preserve">Rikap, C. (29 June 2026). Does Europe Really Have a Plan for Tech Sovereignty? Tech Policy Press (AI hype and European policymaking series).</w:t>
      </w:r>
    </w:p>
    <w:p>
      <w:pPr>
        <w:spacing w:after="40"/>
      </w:pPr>
      <w:hyperlink w:history="1" r:id="rIdnmslhbyxopjxbl6e7ijma">
        <w:r>
          <w:rPr>
            <w:rStyle w:val="Hyperlink"/>
            <w:sz w:val="18"/>
            <w:szCs w:val="18"/>
          </w:rPr>
          <w:t xml:space="preserve">https://www.techpolicy.press/does-europe-really-have-a-plan-for-tech-sovereignty/</w:t>
        </w:r>
      </w:hyperlink>
    </w:p>
    <w:p>
      <w:pPr>
        <w:spacing w:after="40"/>
      </w:pPr>
      <w:r>
        <w:rPr>
          <w:sz w:val="19"/>
          <w:szCs w:val="19"/>
        </w:rPr>
        <w:t xml:space="preserve">Type 4 – Stakeholder positions &amp; expert analysis. Cells: R-C (primary); I-B, C-B.</w:t>
      </w:r>
    </w:p>
    <w:p>
      <w:pPr>
        <w:spacing w:after="120"/>
      </w:pPr>
      <w:r>
        <w:rPr>
          <w:sz w:val="19"/>
          <w:szCs w:val="19"/>
        </w:rPr>
        <w:t xml:space="preserve">The strongest critical reading of the 3 June package in-window: argues Brussels misread US AI strategy and that framing AI development as an urgent geopolitical necessity forecloses the prior questions — what technology, built by whom, for what. Its claim is an R-C claim in disguise: sovereignty pursued through an agenda set elsewhere is rule-taking. Include as the adversarial reading against C2/C9–C12 in the existing list.</w:t>
      </w:r>
    </w:p>
    <w:p>
      <w:pPr>
        <w:spacing w:after="40" w:before="160"/>
      </w:pPr>
      <w:r>
        <w:rPr>
          <w:b/>
          <w:bCs/>
        </w:rPr>
        <w:t xml:space="preserve">R4  </w:t>
      </w:r>
      <w:r>
        <w:t xml:space="preserve">Bruegel (11 June 2026). To achieve tech sovereignty, Europe must not mimic its rivals. First Glance, Bruegel, Brussels.</w:t>
      </w:r>
    </w:p>
    <w:p>
      <w:pPr>
        <w:spacing w:after="40"/>
      </w:pPr>
      <w:hyperlink w:history="1" r:id="rIdydcunbqampt-rj_nbvtba">
        <w:r>
          <w:rPr>
            <w:rStyle w:val="Hyperlink"/>
            <w:sz w:val="18"/>
            <w:szCs w:val="18"/>
          </w:rPr>
          <w:t xml:space="preserve">https://www.bruegel.org/first-glance/achieve-tech-sovereignty-europe-must-not-mimic-its-rivals</w:t>
        </w:r>
      </w:hyperlink>
    </w:p>
    <w:p>
      <w:pPr>
        <w:spacing w:after="40"/>
      </w:pPr>
      <w:r>
        <w:rPr>
          <w:sz w:val="19"/>
          <w:szCs w:val="19"/>
        </w:rPr>
        <w:t xml:space="preserve">Type 4 – Stakeholder positions &amp; expert analysis. Cells: R-B (primary); C-B.</w:t>
      </w:r>
    </w:p>
    <w:p>
      <w:pPr>
        <w:spacing w:after="120"/>
      </w:pPr>
      <w:r>
        <w:rPr>
          <w:sz w:val="19"/>
          <w:szCs w:val="19"/>
        </w:rPr>
        <w:t xml:space="preserve">Identifies a protectionist turn in the Tech Sovereignty Package: nationality used as a proxy for security in contract awards, closing markets to foreign competition, with the Commission’s assumed 5% price premium for sovereign services judged unrealistic. Notes the internal tension — the package simultaneously assumes EU firms are not close substitutes and treats them as such in procurement. This is the Costly-autonomy cell argued on price, which is what B-column claims need if they are to be more than assertion.</w:t>
      </w:r>
    </w:p>
    <w:p>
      <w:pPr>
        <w:spacing w:after="40" w:before="160"/>
      </w:pPr>
      <w:r>
        <w:rPr>
          <w:b/>
          <w:bCs/>
        </w:rPr>
        <w:t xml:space="preserve">R5  </w:t>
      </w:r>
      <w:r>
        <w:t xml:space="preserve">CEPA (August 2026). Simplifying European Union Policy: Tech Sovereignty Package — virtual discussion summary. Center for European Policy Analysis, Washington DC.</w:t>
      </w:r>
    </w:p>
    <w:p>
      <w:pPr>
        <w:spacing w:after="40"/>
      </w:pPr>
      <w:hyperlink w:history="1" r:id="rIduapigl51j9ddzpi8awgcj">
        <w:r>
          <w:rPr>
            <w:rStyle w:val="Hyperlink"/>
            <w:sz w:val="18"/>
            <w:szCs w:val="18"/>
          </w:rPr>
          <w:t xml:space="preserve">https://cepa.org/private-events/simplifying-european-union-policy-tech-sovereignty-package/</w:t>
        </w:r>
      </w:hyperlink>
    </w:p>
    <w:p>
      <w:pPr>
        <w:spacing w:after="40"/>
      </w:pPr>
      <w:r>
        <w:rPr>
          <w:sz w:val="19"/>
          <w:szCs w:val="19"/>
        </w:rPr>
        <w:t xml:space="preserve">Type 4 – Stakeholder positions &amp; expert analysis. Cells: R-B, I-B, C-B.</w:t>
      </w:r>
    </w:p>
    <w:p>
      <w:pPr>
        <w:spacing w:after="120"/>
      </w:pPr>
      <w:r>
        <w:rPr>
          <w:sz w:val="19"/>
          <w:szCs w:val="19"/>
        </w:rPr>
        <w:t xml:space="preserve">Useful for two things the legal analyses in the existing list omit: the funding constraint on the package as a whole, and the explicit expectation that the Open Source Strategy is not meant to produce an EU frontier-model competitor but to let Europe compete at the application layer and lead on adoption. That is a deliberate C-column bet stated as such. Also raises the OVHcloud case on the limits of jurisdictional resilience.</w:t>
      </w:r>
    </w:p>
    <w:p>
      <w:pPr>
        <w:spacing w:after="40" w:before="160"/>
      </w:pPr>
      <w:r>
        <w:rPr>
          <w:b/>
          <w:bCs/>
        </w:rPr>
        <w:t xml:space="preserve">R6  </w:t>
      </w:r>
      <w:r>
        <w:t xml:space="preserve">Greens/EFA Group, European Parliament (May 2026). European Tech Sovereignty Policy Paper.</w:t>
      </w:r>
    </w:p>
    <w:p>
      <w:pPr>
        <w:spacing w:after="40"/>
      </w:pPr>
      <w:hyperlink w:history="1" r:id="rIdbribjghwgeojvvhdsiea0">
        <w:r>
          <w:rPr>
            <w:rStyle w:val="Hyperlink"/>
            <w:sz w:val="18"/>
            <w:szCs w:val="18"/>
          </w:rPr>
          <w:t xml:space="preserve">https://extranet.greens-efa-service.eu/public/media/file/1/9255</w:t>
        </w:r>
      </w:hyperlink>
    </w:p>
    <w:p>
      <w:pPr>
        <w:spacing w:after="40"/>
      </w:pPr>
      <w:r>
        <w:rPr>
          <w:sz w:val="19"/>
          <w:szCs w:val="19"/>
        </w:rPr>
        <w:t xml:space="preserve">Type 4 – Stakeholder positions &amp; expert analysis. Cells: R-B, I-A, C-B.</w:t>
      </w:r>
    </w:p>
    <w:p>
      <w:pPr>
        <w:spacing w:after="120"/>
      </w:pPr>
      <w:r>
        <w:rPr>
          <w:sz w:val="19"/>
          <w:szCs w:val="19"/>
        </w:rPr>
        <w:t xml:space="preserve">Flagged: May 2026 — edge of window. Party-group position advocating indispensability-through-capability: European preference in public procurement, coordinated buffer stocks of essential components, a Quantum Chips Act extension with dedicated QPU pilot lines. Included as the political-supply side of the R-B/I-A argument; treat as advocacy, not evidence.</w:t>
      </w:r>
    </w:p>
    <w:p>
      <w:pPr>
        <w:pStyle w:val="Heading1"/>
        <w:spacing w:after="160" w:before="320"/>
      </w:pPr>
      <w:r>
        <w:t xml:space="preserve">5. Weak signals</w:t>
      </w:r>
    </w:p>
    <w:p>
      <w:pPr>
        <w:spacing w:after="120"/>
      </w:pPr>
      <w:r>
        <w:rPr>
          <w:b w:val="false"/>
          <w:bCs w:val="false"/>
          <w:i/>
          <w:iCs/>
        </w:rPr>
        <w:t xml:space="preserve">Defined against the claims made in sections 1–4. Each entry names the proposition it would disturb. Secondary priority throughout.</w:t>
      </w:r>
    </w:p>
    <w:p>
      <w:pPr>
        <w:pStyle w:val="Heading3"/>
        <w:spacing w:after="80" w:before="200"/>
      </w:pPr>
      <w:r>
        <w:t xml:space="preserve">5.1 Against the Infrastructure row — access assumed, access withdrawn</w:t>
      </w:r>
    </w:p>
    <w:p>
      <w:pPr>
        <w:spacing w:after="40" w:before="160"/>
      </w:pPr>
      <w:r>
        <w:rPr>
          <w:b/>
          <w:bCs/>
        </w:rPr>
        <w:t xml:space="preserve">W1  </w:t>
      </w:r>
      <w:r>
        <w:t xml:space="preserve">AFP / South China Morning Post / MLex (24–25 July 2026). China places 14 EU entities on its export control list, barring dual-use exports with immediate effect — including Rheinmetall (DE), Vigo Photonics (PL), Tatra Trucks (CZ), IHC (NL) and Lafert (IT), plus several technology and research organisations. Response to the EU’s 21st Russia sanctions package (Council, 23 July 2026), which listed 14 mainland China and Hong Kong entities.</w:t>
      </w:r>
    </w:p>
    <w:p>
      <w:pPr>
        <w:spacing w:after="40"/>
      </w:pPr>
      <w:hyperlink w:history="1" r:id="rId2zvnc6agjyfnmqbf2jxyr">
        <w:r>
          <w:rPr>
            <w:rStyle w:val="Hyperlink"/>
            <w:sz w:val="18"/>
            <w:szCs w:val="18"/>
          </w:rPr>
          <w:t xml:space="preserve">https://www.scmp.com/economy/global-economy/article/3361732/china-adds-eu-entities-export-control-list</w:t>
        </w:r>
      </w:hyperlink>
    </w:p>
    <w:p>
      <w:pPr>
        <w:spacing w:after="40"/>
      </w:pPr>
      <w:r>
        <w:rPr>
          <w:sz w:val="19"/>
          <w:szCs w:val="19"/>
        </w:rPr>
        <w:t xml:space="preserve">Type 5 – Weak signal (news media / primary announcement). Cells: I-D (primary); R-B, C-D.</w:t>
      </w:r>
    </w:p>
    <w:p>
      <w:pPr>
        <w:spacing w:after="120"/>
      </w:pPr>
      <w:r>
        <w:rPr>
          <w:sz w:val="19"/>
          <w:szCs w:val="19"/>
        </w:rPr>
        <w:t xml:space="preserve">Disturbs: the assumption running through I1, I2 and the Chips Act 2.0 material that Europe’s input constraint is a capability and cost problem to be solved over a decade. Direct entity-level denial to named European research organisations, effective immediately and framed as retaliation, makes I-D (Cut supply) an event class rather than a scenario. Note the reciprocity dynamic: the EU’s own listing action triggered it, which means the R-row and I-row are coupled in a way none of the papers model.</w:t>
      </w:r>
    </w:p>
    <w:p>
      <w:pPr>
        <w:spacing w:after="40" w:before="160"/>
      </w:pPr>
      <w:r>
        <w:rPr>
          <w:b/>
          <w:bCs/>
        </w:rPr>
        <w:t xml:space="preserve">W2  </w:t>
      </w:r>
      <w:r>
        <w:t xml:space="preserve">Reuters / IEA, as reported (22 June and 24 July 2026). China widens rare-earth and critical-mineral export controls — 10 US firms in June, 14 EU entities in July; IEA warning that full enforcement could place substantial downstream production at risk worldwide. Second wave of the October 2025 controls suspended until 10 November 2026.</w:t>
      </w:r>
    </w:p>
    <w:p>
      <w:pPr>
        <w:spacing w:after="40"/>
      </w:pPr>
      <w:hyperlink w:history="1" r:id="rIdwldpqdws7syjonm5jcwbw">
        <w:r>
          <w:rPr>
            <w:rStyle w:val="Hyperlink"/>
            <w:sz w:val="18"/>
            <w:szCs w:val="18"/>
          </w:rPr>
          <w:t xml:space="preserve">https://www.europarl.europa.eu/RegData/etudes/ATAG/2025/779220/EPRS_ATA(2025)779220_EN.pdf</w:t>
        </w:r>
      </w:hyperlink>
    </w:p>
    <w:p>
      <w:pPr>
        <w:spacing w:after="40"/>
      </w:pPr>
      <w:r>
        <w:rPr>
          <w:sz w:val="19"/>
          <w:szCs w:val="19"/>
        </w:rPr>
        <w:t xml:space="preserve">Type 5 – Weak signal (news media / primary announcement). Cells: I-D, I-A.</w:t>
      </w:r>
    </w:p>
    <w:p>
      <w:pPr>
        <w:spacing w:after="120"/>
      </w:pPr>
      <w:r>
        <w:rPr>
          <w:sz w:val="19"/>
          <w:szCs w:val="19"/>
        </w:rPr>
        <w:t xml:space="preserve">Flagged: the EPRS link is the November 2025 briefing on the underlying controls; the June–July 2026 escalation is currently sourced from news reporting only. Disturbs: the timing assumption. The suspension expires inside the FP10 negotiation and the AI Gigafactory selection window (existing list B1: call closes 12 November 2026, selection early 2027). Worth tracking as a dated decision point rather than a background condition.</w:t>
      </w:r>
    </w:p>
    <w:p>
      <w:pPr>
        <w:spacing w:after="40" w:before="160"/>
      </w:pPr>
      <w:r>
        <w:rPr>
          <w:b/>
          <w:bCs/>
        </w:rPr>
        <w:t xml:space="preserve">W3  </w:t>
      </w:r>
      <w:r>
        <w:t xml:space="preserve">Reported in García-Herrero &amp; Martens (I1), citing Bloomsbury Intelligence and Security Institute and East Asia Forum (February–March 2026). US Department of Commerce shifts NVIDIA H200 review for China from presumption of denial to case-by-case approval subject to a 25% tariff; AI Diffusion Rule rescinded; higher-tier exports approved.</w:t>
      </w:r>
    </w:p>
    <w:p>
      <w:pPr>
        <w:spacing w:after="40"/>
      </w:pPr>
      <w:hyperlink w:history="1" r:id="rIdup0v1ki5lzfnxwg6qdyt3">
        <w:r>
          <w:rPr>
            <w:rStyle w:val="Hyperlink"/>
            <w:sz w:val="18"/>
            <w:szCs w:val="18"/>
          </w:rPr>
          <w:t xml:space="preserve">https://www.bruegel.org/analysis/europe-needs-strategy-close-artificial-intelligence-compute-gap</w:t>
        </w:r>
      </w:hyperlink>
    </w:p>
    <w:p>
      <w:pPr>
        <w:spacing w:after="40"/>
      </w:pPr>
      <w:r>
        <w:rPr>
          <w:sz w:val="19"/>
          <w:szCs w:val="19"/>
        </w:rPr>
        <w:t xml:space="preserve">Type 5 – Weak signal (news media / primary announcement). Cells: I-C (primary); R-C.</w:t>
      </w:r>
    </w:p>
    <w:p>
      <w:pPr>
        <w:spacing w:after="120"/>
      </w:pPr>
      <w:r>
        <w:rPr>
          <w:sz w:val="19"/>
          <w:szCs w:val="19"/>
        </w:rPr>
        <w:t xml:space="preserve">Disturbs: the premise that US export controls are a stable rule-based regime European planning can be built around. If access terms are set transactionally, I-C (Rented frontier) is not a stable equilibrium but a renegotiated one — which changes the expected value of the I-B investment case in I1 and I2.</w:t>
      </w:r>
    </w:p>
    <w:p>
      <w:pPr>
        <w:spacing w:after="40" w:before="160"/>
      </w:pPr>
      <w:r>
        <w:rPr>
          <w:b/>
          <w:bCs/>
        </w:rPr>
        <w:t xml:space="preserve">W4  </w:t>
      </w:r>
      <w:r>
        <w:t xml:space="preserve">South China Morning Post (2 March 2026), as cited in I1. Tencent expands cloud computing presence in Europe with new data centres in Germany; Chinese firms reported to be training AI models in Southeast Asia and Europe to work around export controls.</w:t>
      </w:r>
    </w:p>
    <w:p>
      <w:pPr>
        <w:spacing w:after="40"/>
      </w:pPr>
      <w:hyperlink w:history="1" r:id="rIdlby04fucrxuleh0dmoyuc">
        <w:r>
          <w:rPr>
            <w:rStyle w:val="Hyperlink"/>
            <w:sz w:val="18"/>
            <w:szCs w:val="18"/>
          </w:rPr>
          <w:t xml:space="preserve">https://www.scmp.com/tech/tech-trends/article/3345069/tencent-expands-cloud-computing-presence-europe-new-data-centres-germany</w:t>
        </w:r>
      </w:hyperlink>
    </w:p>
    <w:p>
      <w:pPr>
        <w:spacing w:after="40"/>
      </w:pPr>
      <w:r>
        <w:rPr>
          <w:sz w:val="19"/>
          <w:szCs w:val="19"/>
        </w:rPr>
        <w:t xml:space="preserve">Type 5 – Weak signal (news media / primary announcement). Cells: I-C, R-D.</w:t>
      </w:r>
    </w:p>
    <w:p>
      <w:pPr>
        <w:spacing w:after="120"/>
      </w:pPr>
      <w:r>
        <w:rPr>
          <w:sz w:val="19"/>
          <w:szCs w:val="19"/>
        </w:rPr>
        <w:t xml:space="preserve">Flagged: March 2026 — outside window; retained because it is load-bearing for I1’s argument. Disturbs: the assumption that European compute build-out is a European-controlled asset. If EU capacity becomes a route around third-country controls, the EU acquires a research-security and export-control exposure it has not legislated for — an R-D risk generated by an I-row success.</w:t>
      </w:r>
    </w:p>
    <w:p>
      <w:pPr>
        <w:pStyle w:val="Heading3"/>
        <w:spacing w:after="80" w:before="200"/>
      </w:pPr>
      <w:r>
        <w:t xml:space="preserve">5.2 Against the Knowledge row — how large is the windfall, actually</w:t>
      </w:r>
    </w:p>
    <w:p>
      <w:pPr>
        <w:spacing w:after="40" w:before="160"/>
      </w:pPr>
      <w:r>
        <w:rPr>
          <w:b/>
          <w:bCs/>
        </w:rPr>
        <w:t xml:space="preserve">W5  </w:t>
      </w:r>
      <w:r>
        <w:t xml:space="preserve">European Research Council (23 June 2026). Advanced Grants 2025 results: €838 million to 319 researchers. Thirteen grantees (4% of winners) were based outside Europe — nine in the US, two Australia, two Canada — up from four (1.4%) the previous year; seven used the additional relocation funding. Applications from outside Europe rose from 44 to 164.</w:t>
      </w:r>
    </w:p>
    <w:p>
      <w:pPr>
        <w:spacing w:after="40"/>
      </w:pPr>
      <w:hyperlink w:history="1" r:id="rId0alpwml5jc6cviyqxqiax">
        <w:r>
          <w:rPr>
            <w:rStyle w:val="Hyperlink"/>
            <w:sz w:val="18"/>
            <w:szCs w:val="18"/>
          </w:rPr>
          <w:t xml:space="preserve">https://erc.europa.eu/news-events/news/erc-2025-starting-grants-results</w:t>
        </w:r>
      </w:hyperlink>
    </w:p>
    <w:p>
      <w:pPr>
        <w:spacing w:after="40"/>
      </w:pPr>
      <w:r>
        <w:rPr>
          <w:sz w:val="19"/>
          <w:szCs w:val="19"/>
        </w:rPr>
        <w:t xml:space="preserve">Type 5 – Weak signal (news media / primary announcement). Cells: K-A (primary); K-D.</w:t>
      </w:r>
    </w:p>
    <w:p>
      <w:pPr>
        <w:spacing w:after="120"/>
      </w:pPr>
      <w:r>
        <w:rPr>
          <w:sz w:val="19"/>
          <w:szCs w:val="19"/>
        </w:rPr>
        <w:t xml:space="preserve">Flagged: link is to the Starting Grants page; substitute the Advanced Grants 2025 results release. Disturbs: both directions at once, which is why it matters. Applications from outside Europe roughly tripled — but successful outside-Europe grantees went from four to thirteen out of 319. The interest signal and the realised-inflow signal differ by an order of magnitude. Any K-A claim built on Choose Europe should be tested against the conversion rate, not the application count.</w:t>
      </w:r>
    </w:p>
    <w:p>
      <w:pPr>
        <w:spacing w:after="40" w:before="160"/>
      </w:pPr>
      <w:r>
        <w:rPr>
          <w:b/>
          <w:bCs/>
        </w:rPr>
        <w:t xml:space="preserve">W6  </w:t>
      </w:r>
      <w:r>
        <w:t xml:space="preserve">ERC Work Programme 2027 (confirmed 22 July 2026). ERC Plus continued into a second year, with relocation provisions; €7 million lump sum, 30 grants, no field quotas.</w:t>
      </w:r>
    </w:p>
    <w:p>
      <w:pPr>
        <w:spacing w:after="40"/>
      </w:pPr>
      <w:hyperlink w:history="1" r:id="rIdtbdqpg3bi-3gkbazkewze">
        <w:r>
          <w:rPr>
            <w:rStyle w:val="Hyperlink"/>
            <w:sz w:val="18"/>
            <w:szCs w:val="18"/>
          </w:rPr>
          <w:t xml:space="preserve">https://thesciencetalk.com/news/erc-plus-grants-2026-everything-scientists-need-to-know/</w:t>
        </w:r>
      </w:hyperlink>
    </w:p>
    <w:p>
      <w:pPr>
        <w:spacing w:after="40"/>
      </w:pPr>
      <w:r>
        <w:rPr>
          <w:sz w:val="19"/>
          <w:szCs w:val="19"/>
        </w:rPr>
        <w:t xml:space="preserve">Type 5 – Weak signal (news media / primary announcement). Cells: K-A, R-A.</w:t>
      </w:r>
    </w:p>
    <w:p>
      <w:pPr>
        <w:spacing w:after="120"/>
      </w:pPr>
      <w:r>
        <w:rPr>
          <w:sz w:val="19"/>
          <w:szCs w:val="19"/>
        </w:rPr>
        <w:t xml:space="preserve">Flagged: secondary source; confirm against the published ERC Work Programme 2027. Disturbs: the reading in K2/K3 that ERC capacity is static. Institutional persistence of the relocation instrument beyond its pilot year is the thing to watch — a one-off campaign and a standing instrument imply different K-row trajectories.</w:t>
      </w:r>
    </w:p>
    <w:p>
      <w:pPr>
        <w:pStyle w:val="Heading3"/>
        <w:spacing w:after="80" w:before="200"/>
      </w:pPr>
      <w:r>
        <w:t xml:space="preserve">5.3 Against the Conversion row</w:t>
      </w:r>
    </w:p>
    <w:p>
      <w:pPr>
        <w:spacing w:after="40" w:before="160"/>
      </w:pPr>
      <w:r>
        <w:rPr>
          <w:b/>
          <w:bCs/>
        </w:rPr>
        <w:t xml:space="preserve">W7  </w:t>
      </w:r>
      <w:r>
        <w:t xml:space="preserve">Reuters (30 March 2026), as cited in I1. Mistral raises €830 million in debt for data-centre build-out in France and Sweden; Mistral Compute built in partnership with NVIDIA; flagship models trained on Microsoft Azure infrastructure; Palo Alto office opened to access engineers and Silicon Valley venture capital.</w:t>
      </w:r>
    </w:p>
    <w:p>
      <w:pPr>
        <w:spacing w:after="40"/>
      </w:pPr>
      <w:hyperlink w:history="1" r:id="rId7krj7z3sfhw4apfhw9qdj">
        <w:r>
          <w:rPr>
            <w:rStyle w:val="Hyperlink"/>
            <w:sz w:val="18"/>
            <w:szCs w:val="18"/>
          </w:rPr>
          <w:t xml:space="preserve">https://www.reuters.com/business/finance/frances-mistral-raises-830-million-debt-ai-data-centre-build-up-2026-03-30/</w:t>
        </w:r>
      </w:hyperlink>
    </w:p>
    <w:p>
      <w:pPr>
        <w:spacing w:after="40"/>
      </w:pPr>
      <w:r>
        <w:rPr>
          <w:sz w:val="19"/>
          <w:szCs w:val="19"/>
        </w:rPr>
        <w:t xml:space="preserve">Type 5 – Weak signal (news media / primary announcement). Cells: C-C (primary); I-C, C-A.</w:t>
      </w:r>
    </w:p>
    <w:p>
      <w:pPr>
        <w:spacing w:after="120"/>
      </w:pPr>
      <w:r>
        <w:rPr>
          <w:sz w:val="19"/>
          <w:szCs w:val="19"/>
        </w:rPr>
        <w:t xml:space="preserve">Flagged: March 2026 — outside window; the pattern, not the event, is the signal. Disturbs: the Home-champion reading of European AI. The EU’s flagship model company is simultaneously the C-A candidate and the C-C illustration — sovereign in ownership, dependent in compute, capital and talent sourcing. Useful precisely because it does not resolve cleanly into one cell; a good test case for whether the grid’s columns are exhaustive.</w:t>
      </w:r>
    </w:p>
    <w:p>
      <w:pPr>
        <w:pStyle w:val="Heading1"/>
        <w:spacing w:after="160" w:before="320"/>
      </w:pPr>
      <w:r>
        <w:t xml:space="preserve">6. Judgment calls and open items</w:t>
      </w:r>
    </w:p>
    <w:p>
      <w:pPr>
        <w:spacing w:after="140"/>
      </w:pPr>
      <w:r>
        <w:rPr>
          <w:sz w:val="20"/>
          <w:szCs w:val="20"/>
        </w:rPr>
        <w:t xml:space="preserve">— Organising principle. I have filed by the four grid rows rather than continuing the existing A–D thematic split. This makes cell assignment explicit but breaks continuity with the existing document. If you want the two merged, the mapping is: A → Knowledge &amp; people; B → Infrastructure &amp; inputs; C → split across Infrastructure and Rules; D → split across Conversion and Rules.</w:t>
      </w:r>
    </w:p>
    <w:p>
      <w:pPr>
        <w:spacing w:after="140"/>
      </w:pPr>
      <w:r>
        <w:rPr>
          <w:sz w:val="20"/>
          <w:szCs w:val="20"/>
        </w:rPr>
        <w:t xml:space="preserve">— Cell assignment is mine, not the sources’. None of these papers uses your grid. Where an item bears on more than one cell I have named a primary and listed the others; the primary reflects the claim the source actually argues, not the topic it covers.</w:t>
      </w:r>
    </w:p>
    <w:p>
      <w:pPr>
        <w:spacing w:after="140"/>
      </w:pPr>
      <w:r>
        <w:rPr>
          <w:sz w:val="20"/>
          <w:szCs w:val="20"/>
        </w:rPr>
        <w:t xml:space="preserve">— The four-month window. Strictly applied, this is 25 April – 25 August 2026. I have flagged every item outside it rather than dropping it, because several — K5, I2, W3, W4, W7 — are load-bearing for in-window arguments. Yours to cut.</w:t>
      </w:r>
    </w:p>
    <w:p>
      <w:pPr>
        <w:spacing w:after="140"/>
      </w:pPr>
      <w:r>
        <w:rPr>
          <w:sz w:val="20"/>
          <w:szCs w:val="20"/>
        </w:rPr>
        <w:t xml:space="preserve">— Weak signals are thin on the K row and the C row. The I row and R row generated most of them, which may be a real asymmetry (supply and regulation produce dated events; talent and capital produce trends) or an artefact of what news media report. Worth deciding which before treating the distribution as informative.</w:t>
      </w:r>
    </w:p>
    <w:p>
      <w:pPr>
        <w:spacing w:after="140"/>
      </w:pPr>
      <w:r>
        <w:rPr>
          <w:sz w:val="20"/>
          <w:szCs w:val="20"/>
        </w:rPr>
        <w:t xml:space="preserve">— Peer-reviewed coverage of the R and I rows is scarce in the window. K5 and K6 are the only journal articles here, both on research security, both on the K/R boundary. The compute, chips and capital material is think-tank and central-bank output. If the deliverable needs academic weight in the I and C rows, that is a gap to name rather than paper over — the literature has not caught up with the June 2026 package.</w:t>
      </w:r>
    </w:p>
    <w:p>
      <w:pPr>
        <w:spacing w:after="140"/>
      </w:pPr>
      <w:r>
        <w:rPr>
          <w:sz w:val="20"/>
          <w:szCs w:val="20"/>
        </w:rPr>
        <w:t xml:space="preserve">— Verification outstanding: I2 (date and URL), C5 (date), C6 (primary source), K6 (issue), R2 (primary source), W2 (primary sourcing for the June–July escalation), W5 (correct results release), W6 (published Work Programme).</w:t>
      </w:r>
    </w:p>
    <w:p>
      <w:pPr>
        <w:spacing w:after="140"/>
      </w:pPr>
      <w:r>
        <w:rPr>
          <w:sz w:val="20"/>
          <w:szCs w:val="20"/>
        </w:rPr>
        <w:t xml:space="preserve">— Not included: the 27 February 2026 package (science diplomacy proposal, Research Security Monitor 2025, Global Approach Implementation Report 2023–2025) sits before the window, but the Council Recommendation adopting it (R1) falls inside. I have listed R1 only. The three underlying documents belong in your section 5 context list.</w:t>
      </w:r>
    </w:p>
    <w:p>
      <w:pPr>
        <w:spacing w:after="140"/>
      </w:pPr>
      <w:r>
        <w:rPr>
          <w:sz w:val="20"/>
          <w:szCs w:val="20"/>
        </w:rPr>
        <w:t xml:space="preserve">— Also not included: OECD STI Outlook 2025 (October 2025). Outside the window by a wide margin, but it is the source of the 250 research-security policy initiatives in 2025 against roughly 25 in 2018, and 41 countries against 12 — the standard citation for the R-row trend. Recommend adding to context rather than to the window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tmnlkymgctl2t_0n78wv" Type="http://schemas.openxmlformats.org/officeDocument/2006/relationships/hyperlink" Target="https://www.nature.com/articles/d41586-026-01955-1" TargetMode="External"/><Relationship Id="rIdm2icemhtj1w50henff5ms" Type="http://schemas.openxmlformats.org/officeDocument/2006/relationships/hyperlink" Target="https://www.nature.com/articles/d41586-026-01435-6" TargetMode="External"/><Relationship Id="rIdrgfvfkr15w_tdzohbb8mh" Type="http://schemas.openxmlformats.org/officeDocument/2006/relationships/hyperlink" Target="https://www.nature.com/articles/d41586-026-01411-0" TargetMode="External"/><Relationship Id="rId1u_t1xemdylqrqaegyhsw" Type="http://schemas.openxmlformats.org/officeDocument/2006/relationships/hyperlink" Target="https://www.nature.com/articles/d41586-026-01496-7" TargetMode="External"/><Relationship Id="rIdsusatwujjm5dje1nnqfzs" Type="http://schemas.openxmlformats.org/officeDocument/2006/relationships/hyperlink" Target="https://academic.oup.com/spp/advance-article/doi/10.1093/scipol/scag028/8664218" TargetMode="External"/><Relationship Id="rIdi10pbknktmjesahqtzm9g" Type="http://schemas.openxmlformats.org/officeDocument/2006/relationships/hyperlink" Target="https://journals.sagepub.com/doi/10.1177/17470161251404962" TargetMode="External"/><Relationship Id="rIdzurixpsc_n5rk1dwpu9pm" Type="http://schemas.openxmlformats.org/officeDocument/2006/relationships/hyperlink" Target="https://merics.org/en/report/fragmented-europe-dealing-china-technology-and-innovation-power" TargetMode="External"/><Relationship Id="rIdv5g9q2o6mistty7bqwzfr" Type="http://schemas.openxmlformats.org/officeDocument/2006/relationships/hyperlink" Target="https://www.bruegel.org/analysis/europe-needs-strategy-close-artificial-intelligence-compute-gap" TargetMode="External"/><Relationship Id="rIdiyfbqnlw2v0is_1nqkejd" Type="http://schemas.openxmlformats.org/officeDocument/2006/relationships/hyperlink" Target="https://www.bruegel.org/publications/analyses" TargetMode="External"/><Relationship Id="rIdbmonuzhiwvsq6frjupljy" Type="http://schemas.openxmlformats.org/officeDocument/2006/relationships/hyperlink" Target="https://www.csis.org/analysis/understanding-us-allies-current-legal-authority-implement-ai-and-semiconductor-export" TargetMode="External"/><Relationship Id="rIdcytnh-vdyumb-ewqrgiuy" Type="http://schemas.openxmlformats.org/officeDocument/2006/relationships/hyperlink" Target="https://www.chathamhouse.org/2026/04/ai-export-controls-are-not-best-bargaining-chip" TargetMode="External"/><Relationship Id="rIdpcoa5f6xe5_orli6wtuzt" Type="http://schemas.openxmlformats.org/officeDocument/2006/relationships/hyperlink" Target="https://www.ecb.europa.eu/press/economic-bulletin/focus/2026/html/ecb.ebbox202605_01~4453cc2a34.en.html" TargetMode="External"/><Relationship Id="rIdw5gn3ntvfwfovzesa-llt" Type="http://schemas.openxmlformats.org/officeDocument/2006/relationships/hyperlink" Target="https://www.ecb.europa.eu/press/fie/box/html/ecb.fiebox202605_04.en.html" TargetMode="External"/><Relationship Id="rIdah3zsra7_m9cbughpkso5" Type="http://schemas.openxmlformats.org/officeDocument/2006/relationships/hyperlink" Target="https://eic.ec.europa.eu/news/european-innovation-council-opens-defence-and-dual-use-technologies-2026-06-17_en" TargetMode="External"/><Relationship Id="rIdgnkrhqqraoqyteymjjwcp" Type="http://schemas.openxmlformats.org/officeDocument/2006/relationships/hyperlink" Target="https://css.ethz.ch/en/center/CSS-news/2026/05/dual-use-and-defence-research-in-europe.html" TargetMode="External"/><Relationship Id="rIdzlycfts_9hxgn1rhl2ek1" Type="http://schemas.openxmlformats.org/officeDocument/2006/relationships/hyperlink" Target="https://www.sipri.org/commentary/topical-backgrounder/2026/growth-dual-use-design-research-europe-export-control-risks-and-challenges" TargetMode="External"/><Relationship Id="rIdbnu-he2ymuren4hgyac7f" Type="http://schemas.openxmlformats.org/officeDocument/2006/relationships/hyperlink" Target="https://fintechmagazine.com/news/eib-group-scaling-startup-innovation-with-80bn-funding" TargetMode="External"/><Relationship Id="rIdyfw4i-4ckincgpfrormuz" Type="http://schemas.openxmlformats.org/officeDocument/2006/relationships/hyperlink" Target="https://consilium-europa.libguides.com/EuropeofDefence/Council_EUI" TargetMode="External"/><Relationship Id="rIdk70glehwseizhsh3ksau2" Type="http://schemas.openxmlformats.org/officeDocument/2006/relationships/hyperlink" Target="https://www.consilium.europa.eu/en/press/press-releases/2026/05/29/council-defines-a-new-framework-for-science-diplomacy/" TargetMode="External"/><Relationship Id="rIdnfv3ofthociux01mtipt6" Type="http://schemas.openxmlformats.org/officeDocument/2006/relationships/hyperlink" Target="https://casrai.org/news/netherlands-national-knowledge-security-guideline-2026-revision" TargetMode="External"/><Relationship Id="rIdnmslhbyxopjxbl6e7ijma" Type="http://schemas.openxmlformats.org/officeDocument/2006/relationships/hyperlink" Target="https://www.techpolicy.press/does-europe-really-have-a-plan-for-tech-sovereignty/" TargetMode="External"/><Relationship Id="rIdydcunbqampt-rj_nbvtba" Type="http://schemas.openxmlformats.org/officeDocument/2006/relationships/hyperlink" Target="https://www.bruegel.org/first-glance/achieve-tech-sovereignty-europe-must-not-mimic-its-rivals" TargetMode="External"/><Relationship Id="rIduapigl51j9ddzpi8awgcj" Type="http://schemas.openxmlformats.org/officeDocument/2006/relationships/hyperlink" Target="https://cepa.org/private-events/simplifying-european-union-policy-tech-sovereignty-package/" TargetMode="External"/><Relationship Id="rIdbribjghwgeojvvhdsiea0" Type="http://schemas.openxmlformats.org/officeDocument/2006/relationships/hyperlink" Target="https://extranet.greens-efa-service.eu/public/media/file/1/9255" TargetMode="External"/><Relationship Id="rId2zvnc6agjyfnmqbf2jxyr" Type="http://schemas.openxmlformats.org/officeDocument/2006/relationships/hyperlink" Target="https://www.scmp.com/economy/global-economy/article/3361732/china-adds-eu-entities-export-control-list" TargetMode="External"/><Relationship Id="rIdwldpqdws7syjonm5jcwbw" Type="http://schemas.openxmlformats.org/officeDocument/2006/relationships/hyperlink" Target="https://www.europarl.europa.eu/RegData/etudes/ATAG/2025/779220/EPRS_ATA(2025)779220_EN.pdf" TargetMode="External"/><Relationship Id="rIdup0v1ki5lzfnxwg6qdyt3" Type="http://schemas.openxmlformats.org/officeDocument/2006/relationships/hyperlink" Target="https://www.bruegel.org/analysis/europe-needs-strategy-close-artificial-intelligence-compute-gap" TargetMode="External"/><Relationship Id="rIdlby04fucrxuleh0dmoyuc" Type="http://schemas.openxmlformats.org/officeDocument/2006/relationships/hyperlink" Target="https://www.scmp.com/tech/tech-trends/article/3345069/tencent-expands-cloud-computing-presence-europe-new-data-centres-germany" TargetMode="External"/><Relationship Id="rId0alpwml5jc6cviyqxqiax" Type="http://schemas.openxmlformats.org/officeDocument/2006/relationships/hyperlink" Target="https://erc.europa.eu/news-events/news/erc-2025-starting-grants-results" TargetMode="External"/><Relationship Id="rIdtbdqpg3bi-3gkbazkewze" Type="http://schemas.openxmlformats.org/officeDocument/2006/relationships/hyperlink" Target="https://thesciencetalk.com/news/erc-plus-grants-2026-everything-scientists-need-to-know/" TargetMode="External"/><Relationship Id="rId7krj7z3sfhw4apfhw9qdj" Type="http://schemas.openxmlformats.org/officeDocument/2006/relationships/hyperlink" Target="https://www.reuters.com/business/finance/frances-mistral-raises-830-million-debt-ai-data-centre-build-up-2026-03-30/"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2026-08-25T08:10:31.286Z</dcterms:created>
  <dcterms:modified xsi:type="dcterms:W3CDTF">2026-08-25T08:10:31.286Z</dcterms:modified>
</cp:coreProperties>
</file>

<file path=docProps/custom.xml><?xml version="1.0" encoding="utf-8"?>
<Properties xmlns="http://schemas.openxmlformats.org/officeDocument/2006/custom-properties" xmlns:vt="http://schemas.openxmlformats.org/officeDocument/2006/docPropsVTypes"/>
</file>