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was said about Europe’s future</w:t>
      </w:r>
    </w:p>
    <w:p>
      <w:r>
        <w:t>A catalogue of future-oriented passages from studies dated 2011–2022. These are indexed excerpts, not independently checked full-text quotations or evaluated predictions.</w:t>
      </w:r>
    </w:p>
    <w:p>
      <w:r>
        <w:t>502 historical claim records  ·  2011–2022  ·  Original publication links included</w:t>
      </w:r>
    </w:p>
    <w:p>
      <w:pPr>
        <w:pStyle w:val="Heading1"/>
      </w:pPr>
      <w:r>
        <w:t>001.  (Re)politicization of climate change mitigating projects: environmental forms and motives of the Seine Nord Europe canal  (2022)</w:t>
      </w:r>
    </w:p>
    <w:p>
      <w:r>
        <w:t>Based on the concepts of environmental forms and motives, we reconstructed the environmental ontologies ignored by the dominant discourse and assembled them into three alternative scenarios. Using the example of the Seine Nord Europe Canal project, we show a politicization of the territorial future and a depoliticization of the environmental future.</w:t>
      </w:r>
    </w:p>
    <w:p>
      <w:pPr>
        <w:spacing w:after="240"/>
      </w:pPr>
      <w:r>
        <w:rPr>
          <w:b/>
          <w:sz w:val="16"/>
        </w:rPr>
        <w:t xml:space="preserve">ORIGINAL STUDY   </w:t>
      </w:r>
      <w:r>
        <w:rPr>
          <w:sz w:val="16"/>
        </w:rPr>
        <w:t>https://doi.org/10.1186/s40309-022-00195-6</w:t>
      </w:r>
    </w:p>
    <w:p>
      <w:pPr>
        <w:pStyle w:val="Heading1"/>
      </w:pPr>
      <w:r>
        <w:t>002.  A new approach on renewable energy as a support for regional economic development among the European Union  (2022)</w:t>
      </w:r>
    </w:p>
    <w:p>
      <w:r>
        <w:t>The modelling results will enable the creation of an EU-wide sustainability profile useful to supranational decision-makers for adjusting energy policies to ensure the energy transition towards 2050. The methods and procedures used will be represented by a critical literature review in order to verify the working hypotheses and to design, test and validate a new statistical model of energy sustainability seasonality.</w:t>
      </w:r>
    </w:p>
    <w:p>
      <w:pPr>
        <w:spacing w:after="240"/>
      </w:pPr>
      <w:r>
        <w:rPr>
          <w:b/>
          <w:sz w:val="16"/>
        </w:rPr>
        <w:t xml:space="preserve">ORIGINAL STUDY   </w:t>
      </w:r>
      <w:r>
        <w:rPr>
          <w:sz w:val="16"/>
        </w:rPr>
        <w:t>https://doi.org/10.1016/j.techfore.2022.121998</w:t>
      </w:r>
    </w:p>
    <w:p>
      <w:pPr>
        <w:pStyle w:val="Heading1"/>
      </w:pPr>
      <w:r>
        <w:t>003.  Achieving agricultural greenhouse gas emission reductions in the EU post‐2030: What options do we have?  (2022)</w:t>
      </w:r>
    </w:p>
    <w:p>
      <w:r>
        <w:t>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pPr>
        <w:spacing w:after="240"/>
      </w:pPr>
      <w:r>
        <w:rPr>
          <w:b/>
          <w:sz w:val="16"/>
        </w:rPr>
        <w:t xml:space="preserve">ORIGINAL STUDY   </w:t>
      </w:r>
      <w:r>
        <w:rPr>
          <w:sz w:val="16"/>
        </w:rPr>
        <w:t>https://doi.org/10.1111/reel.12448</w:t>
      </w:r>
    </w:p>
    <w:p>
      <w:pPr>
        <w:pStyle w:val="Heading1"/>
      </w:pPr>
      <w:r>
        <w:t>004.  Agent‐Based Modeling of Alternative Futures in the British Land Use System  (2022)</w:t>
      </w:r>
    </w:p>
    <w:p>
      <w:r>
        <w:t>Socio‐economic scenarios such as the Shared Socioeconomic Pathways (SSPs) have been widely used to analyze global change impacts, but representing their diversity is a challenge for the analytical tools applied to them. Taking Great Britain as an example, we represent a set of stakeholder‐elaborated UK‐SSP scenarios, linked to climate change scenarios (Representative Concentration Pathways), in a globally‐embedded agent‐based modeling framework.</w:t>
      </w:r>
    </w:p>
    <w:p>
      <w:pPr>
        <w:spacing w:after="240"/>
      </w:pPr>
      <w:r>
        <w:rPr>
          <w:b/>
          <w:sz w:val="16"/>
        </w:rPr>
        <w:t xml:space="preserve">ORIGINAL STUDY   </w:t>
      </w:r>
      <w:r>
        <w:rPr>
          <w:sz w:val="16"/>
        </w:rPr>
        <w:t>https://doi.org/10.1029/2022ef002905</w:t>
      </w:r>
    </w:p>
    <w:p>
      <w:pPr>
        <w:pStyle w:val="Heading1"/>
      </w:pPr>
      <w:r>
        <w:t>005.  Balancing GHG mitigation and land-use conflicts: Alternative Northern European energy system scenarios  (2022)</w:t>
      </w:r>
    </w:p>
    <w:p>
      <w:r>
        <w:t>The results show that the least-cost solution requires 1.2%–3.6% of the land in the modeled countries in 2040 for onshore wind and solar PV installations. Nuclear energy may also be an option if both onshore and offshore areas are to be reduced, or in a less flexible system.</w:t>
      </w:r>
    </w:p>
    <w:p>
      <w:pPr>
        <w:spacing w:after="240"/>
      </w:pPr>
      <w:r>
        <w:rPr>
          <w:b/>
          <w:sz w:val="16"/>
        </w:rPr>
        <w:t xml:space="preserve">ORIGINAL STUDY   </w:t>
      </w:r>
      <w:r>
        <w:rPr>
          <w:sz w:val="16"/>
        </w:rPr>
        <w:t>https://doi.org/10.1016/j.apenergy.2022.118557</w:t>
      </w:r>
    </w:p>
    <w:p>
      <w:pPr>
        <w:pStyle w:val="Heading1"/>
      </w:pPr>
      <w:r>
        <w:t>006.  Business ecosystems and the view from the future: The use of corporate foresight by stakeholders of the Ro-Ro shipping ecosystem in the Baltic Sea Region  (2022)</w:t>
      </w:r>
    </w:p>
    <w:p>
      <w:r>
        <w:t>Corporate foresight tools, as applied to an ecosystem: 1) Target a diverse set of ecosystem actors beyond the segment's focal firm, including complementary firms, investors, and non-market actors; 2) Engage ecosystem actors, rather than only the focal firm, in shared strategy development based on a diverse mix of foresight tools; and 3) serve to orient and reify the ecosystem by charting the collective anticipation of innovations, policies, etc., in a shared set of future options.</w:t>
      </w:r>
    </w:p>
    <w:p>
      <w:pPr>
        <w:spacing w:after="240"/>
      </w:pPr>
      <w:r>
        <w:rPr>
          <w:b/>
          <w:sz w:val="16"/>
        </w:rPr>
        <w:t xml:space="preserve">ORIGINAL STUDY   </w:t>
      </w:r>
      <w:r>
        <w:rPr>
          <w:sz w:val="16"/>
        </w:rPr>
        <w:t>https://doi.org/10.1016/j.techfore.2022.121966</w:t>
      </w:r>
    </w:p>
    <w:p>
      <w:pPr>
        <w:pStyle w:val="Heading1"/>
      </w:pPr>
      <w:r>
        <w:t>007.  Carbon intensity of the Ukrainian industry: current state and foresight  (2022)</w:t>
      </w:r>
    </w:p>
    <w:p>
      <w:r>
        <w:t>According to the basic scenario of the decarbonization of the Ukrainian industry (preservation of current trends and phenomena), an exhaustion of the national quota for greenhouse gas emissions by 2040, further deindustrialization of the economy, an increase in technological gaps with the developed countries of the world and an aggravate in the competitive vulnerability of national exporters are expected. The optimistic scenario assumes successful decarbonization and digitalization of the technological structure of the industrial complex.</w:t>
      </w:r>
    </w:p>
    <w:p>
      <w:pPr>
        <w:spacing w:after="240"/>
      </w:pPr>
      <w:r>
        <w:rPr>
          <w:b/>
          <w:sz w:val="16"/>
        </w:rPr>
        <w:t xml:space="preserve">ORIGINAL STUDY   </w:t>
      </w:r>
      <w:r>
        <w:rPr>
          <w:sz w:val="16"/>
        </w:rPr>
        <w:t>https://doi.org/10.15407/econindustry2022.01.061</w:t>
      </w:r>
    </w:p>
    <w:p>
      <w:pPr>
        <w:pStyle w:val="Heading1"/>
      </w:pPr>
      <w:r>
        <w:t>008.  Carrying out a multi-model integrated assessment of European energy transition pathways: Challenges and benefits  (2022)</w:t>
      </w:r>
    </w:p>
    <w:p>
      <w:r>
        <w:t>Without the insights gained from an impact assessment framework reaching beyond the techno-economic perspective, the pursuit of direct emission reductions may lead to counterproductive outcomes in the long run. We find the highest added value of the framework in additional insights it provides on the technical feasibility of decarbonisation pathways, on vulnerability aspects and on unintended environmental and health impacts on national and sub-national scale.</w:t>
      </w:r>
    </w:p>
    <w:p>
      <w:pPr>
        <w:spacing w:after="240"/>
      </w:pPr>
      <w:r>
        <w:rPr>
          <w:b/>
          <w:sz w:val="16"/>
        </w:rPr>
        <w:t xml:space="preserve">ORIGINAL STUDY   </w:t>
      </w:r>
      <w:r>
        <w:rPr>
          <w:sz w:val="16"/>
        </w:rPr>
        <w:t>https://doi.org/10.1016/j.energy.2022.124329</w:t>
      </w:r>
    </w:p>
    <w:p>
      <w:pPr>
        <w:pStyle w:val="Heading1"/>
      </w:pPr>
      <w:r>
        <w:t>009.  Central Europe: Possible Scenarios  (2022)</w:t>
      </w:r>
    </w:p>
    <w:p>
      <w:r>
        <w:t>One of the most pressing issues of future development is meeting the needs for energy resources, which is still difficult to assess and will have a significant impact on the prospects of the region. The innovation sector is one of the weaknesses of the Central European countries, development dynamics of which indicates that the region is lagging behind and that the situation will continue in the future, which also determines its future development.</w:t>
      </w:r>
    </w:p>
    <w:p>
      <w:pPr>
        <w:spacing w:after="240"/>
      </w:pPr>
      <w:r>
        <w:rPr>
          <w:b/>
          <w:sz w:val="16"/>
        </w:rPr>
        <w:t xml:space="preserve">ORIGINAL STUDY   </w:t>
      </w:r>
      <w:r>
        <w:rPr>
          <w:sz w:val="16"/>
        </w:rPr>
        <w:t>https://doi.org/10.20542/0131-2227-2022-66-11-14-20</w:t>
      </w:r>
    </w:p>
    <w:p>
      <w:pPr>
        <w:pStyle w:val="Heading1"/>
      </w:pPr>
      <w:r>
        <w:t>010.  Climate Change and Renewable Energy Generation in Europe—Long-Term Impact Assessment on Solar and Wind Energy Using High-Resolution Future Climate Data and Considering Climate Uncertainties  (2022)</w:t>
      </w:r>
    </w:p>
    <w:p>
      <w:r>
        <w:t>Thirteen future climate scenarios, including five global climate models (GCMs) and three representative concentration pathways (RCPs), are downscaled by the RCA4 regional climate model (RCM) over 90 years (2010–2099), divided into three 30-year periods. The results showed that the uncertainty caused by GCMs has the most substantial impact on projecting renewable energy generation.</w:t>
      </w:r>
    </w:p>
    <w:p>
      <w:pPr>
        <w:spacing w:after="240"/>
      </w:pPr>
      <w:r>
        <w:rPr>
          <w:b/>
          <w:sz w:val="16"/>
        </w:rPr>
        <w:t xml:space="preserve">ORIGINAL STUDY   </w:t>
      </w:r>
      <w:r>
        <w:rPr>
          <w:sz w:val="16"/>
        </w:rPr>
        <w:t>https://doi.org/10.3390/en15010302</w:t>
      </w:r>
    </w:p>
    <w:p>
      <w:pPr>
        <w:pStyle w:val="Heading1"/>
      </w:pPr>
      <w:r>
        <w:t>011.  Climate, Energy – and Environment? Reconciliation of EU Environmental Law with the Implementation Realities of EU Climate Law  (2022)</w:t>
      </w:r>
    </w:p>
    <w:p>
      <w:r>
        <w:t>The objective of environmental protection, ‘to preserve, protect and improve the quality of the environment’, does not fully align with the objectives of climate mitigation, which are designed to safeguard the needs of future generations and the long-term environment.</w:t>
      </w:r>
    </w:p>
    <w:p>
      <w:pPr>
        <w:spacing w:after="240"/>
      </w:pPr>
      <w:r>
        <w:rPr>
          <w:b/>
          <w:sz w:val="16"/>
        </w:rPr>
        <w:t xml:space="preserve">ORIGINAL STUDY   </w:t>
      </w:r>
      <w:r>
        <w:rPr>
          <w:sz w:val="16"/>
        </w:rPr>
        <w:t>https://doi.org/10.1163/18786561-12030003</w:t>
      </w:r>
    </w:p>
    <w:p>
      <w:pPr>
        <w:pStyle w:val="Heading1"/>
      </w:pPr>
      <w:r>
        <w:t>012.  Convergence of Population Structures of the European Union Member States—The Past and the Future  (2022)</w:t>
      </w:r>
    </w:p>
    <w:p>
      <w:r>
        <w:t>The Eurostat projections indicate that, by 2050, most of the European Union member states will see a fall in their population size, a drop in the share of young people, and a simultaneous rise in the share of elderly persons. The goal of the study was to assess the stage of advancement and diversity of the ageing of population in the past and in the year 2050.</w:t>
      </w:r>
    </w:p>
    <w:p>
      <w:pPr>
        <w:spacing w:after="240"/>
      </w:pPr>
      <w:r>
        <w:rPr>
          <w:b/>
          <w:sz w:val="16"/>
        </w:rPr>
        <w:t xml:space="preserve">ORIGINAL STUDY   </w:t>
      </w:r>
      <w:r>
        <w:rPr>
          <w:sz w:val="16"/>
        </w:rPr>
        <w:t>https://doi.org/10.3390/su14021024</w:t>
      </w:r>
    </w:p>
    <w:p>
      <w:pPr>
        <w:pStyle w:val="Heading1"/>
      </w:pPr>
      <w:r>
        <w:t>013.  Czech Republic as A Deferring Factor for European Union to Achieve Climate Change Measures  (2022)</w:t>
      </w:r>
    </w:p>
    <w:p>
      <w:r>
        <w:t>The researcher conducts an analysis based on two research questions: what are causal factors for Czech Republic yet to decide on phasing out coal-fired power plant and what impact will it have on the EU's efforts to reduce greenhouse gas emissions by 2030 and become fully carbon neutral by 2050.</w:t>
      </w:r>
    </w:p>
    <w:p>
      <w:pPr>
        <w:spacing w:after="240"/>
      </w:pPr>
      <w:r>
        <w:rPr>
          <w:b/>
          <w:sz w:val="16"/>
        </w:rPr>
        <w:t xml:space="preserve">ORIGINAL STUDY   </w:t>
      </w:r>
      <w:r>
        <w:rPr>
          <w:sz w:val="16"/>
        </w:rPr>
        <w:t>https://doi.org/10.7454/jsgs.v5i2.1099</w:t>
      </w:r>
    </w:p>
    <w:p>
      <w:pPr>
        <w:pStyle w:val="Heading1"/>
      </w:pPr>
      <w:r>
        <w:t>014.  Efficiency of the European Union farm types: Scenarios with and without the 2013 CAP measures  (2022)</w:t>
      </w:r>
    </w:p>
    <w:p>
      <w:r>
        <w:t>We analyse the evolution of the EU farm types in the last two decades with significant scenario changes like two large common agricultural policy (CAP) reforms (2003 and 2013) and suggest new approaches to the design for future measures. The analysis of these impacts may bring relevant insights, especially, for adjustments in the design of future strategies and plans.</w:t>
      </w:r>
    </w:p>
    <w:p>
      <w:pPr>
        <w:spacing w:after="240"/>
      </w:pPr>
      <w:r>
        <w:rPr>
          <w:b/>
          <w:sz w:val="16"/>
        </w:rPr>
        <w:t xml:space="preserve">ORIGINAL STUDY   </w:t>
      </w:r>
      <w:r>
        <w:rPr>
          <w:sz w:val="16"/>
        </w:rPr>
        <w:t>https://doi.org/10.1515/opag-2022-0071</w:t>
      </w:r>
    </w:p>
    <w:p>
      <w:pPr>
        <w:pStyle w:val="Heading1"/>
      </w:pPr>
      <w:r>
        <w:t>015.  Eliciting knowledge from stakeholders to identify critical issues of the transition to climate neutrality in Greece, the Nordic Region, and the European Union  (2022)</w:t>
      </w:r>
    </w:p>
    <w:p>
      <w:r>
        <w:t>They also reveal cross-cutting issues and challenges among the three case studies, which could lead to further improvement of the cross-country collaboration to foster the European energy transition. The European Union's commitment to climate neutrality by 2050 requires a better understanding of the energy transition in different contexts and scales to improve cooperation of involved actors.</w:t>
      </w:r>
    </w:p>
    <w:p>
      <w:pPr>
        <w:spacing w:after="240"/>
      </w:pPr>
      <w:r>
        <w:rPr>
          <w:b/>
          <w:sz w:val="16"/>
        </w:rPr>
        <w:t xml:space="preserve">ORIGINAL STUDY   </w:t>
      </w:r>
      <w:r>
        <w:rPr>
          <w:sz w:val="16"/>
        </w:rPr>
        <w:t>https://doi.org/10.1016/j.erss.2022.102836</w:t>
      </w:r>
    </w:p>
    <w:p>
      <w:pPr>
        <w:pStyle w:val="Heading1"/>
      </w:pPr>
      <w:r>
        <w:t>016.  Emerging smart city, transport and energy trends in urban settings: Results of a pan-European foresight exercise with 120 experts  (2022)</w:t>
      </w:r>
    </w:p>
    <w:p>
      <w:r>
        <w:t>In this work, we explore how the domains of smart cities, smart transport, and smart energy will evolve until 2030 from a scientific and technological perspective, as a means to inform future policies for urban development in Europe.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w:t>
      </w:r>
    </w:p>
    <w:p>
      <w:pPr>
        <w:spacing w:after="240"/>
      </w:pPr>
      <w:r>
        <w:rPr>
          <w:b/>
          <w:sz w:val="16"/>
        </w:rPr>
        <w:t xml:space="preserve">ORIGINAL STUDY   </w:t>
      </w:r>
      <w:r>
        <w:rPr>
          <w:sz w:val="16"/>
        </w:rPr>
        <w:t>https://doi.org/10.1016/j.techfore.2022.121915</w:t>
      </w:r>
    </w:p>
    <w:p>
      <w:pPr>
        <w:pStyle w:val="Heading1"/>
      </w:pPr>
      <w:r>
        <w:t>017.  Enabling forecasts of environmental exposure to chemicals in European agriculture under global change  (2022)</w:t>
      </w:r>
    </w:p>
    <w:p>
      <w:r>
        <w:t>We discuss current knowledge in these three areas, the impact global change drivers may have on them, and we identify knowledge and data gaps that must be overcome to enable predictive scenario-based forecasts of environmental exposure under global change. The type and quantity of chemicals used, emitted, and cycled through agricultural systems in Europe will change, driven by shifts in the use patterns of pesticides, veterinary pharmaceuticals, reclaimed wastewater used for irrigation, and biosolids.</w:t>
      </w:r>
    </w:p>
    <w:p>
      <w:pPr>
        <w:spacing w:after="240"/>
      </w:pPr>
      <w:r>
        <w:rPr>
          <w:b/>
          <w:sz w:val="16"/>
        </w:rPr>
        <w:t xml:space="preserve">ORIGINAL STUDY   </w:t>
      </w:r>
      <w:r>
        <w:rPr>
          <w:sz w:val="16"/>
        </w:rPr>
        <w:t>https://doi.org/10.1016/j.scitotenv.2022.156478</w:t>
      </w:r>
    </w:p>
    <w:p>
      <w:pPr>
        <w:pStyle w:val="Heading1"/>
      </w:pPr>
      <w:r>
        <w:t>018.  Energy Community in Action—Energy Citizenship Contract as Tool for Climate Neutrality  (2022)</w:t>
      </w:r>
    </w:p>
    <w:p>
      <w:r>
        <w:t>Incisive actions are fundamental to bring cities towards climate neutrality by 2050 working by and for the citizens. For this reason, the “100 climate-neutral cities Mission” anticipates the target of climate neutrality by 2030.</w:t>
      </w:r>
    </w:p>
    <w:p>
      <w:pPr>
        <w:spacing w:after="240"/>
      </w:pPr>
      <w:r>
        <w:rPr>
          <w:b/>
          <w:sz w:val="16"/>
        </w:rPr>
        <w:t xml:space="preserve">ORIGINAL STUDY   </w:t>
      </w:r>
      <w:r>
        <w:rPr>
          <w:sz w:val="16"/>
        </w:rPr>
        <w:t>https://doi.org/10.3390/smartcities5010018</w:t>
      </w:r>
    </w:p>
    <w:p>
      <w:pPr>
        <w:pStyle w:val="Heading1"/>
      </w:pPr>
      <w:r>
        <w:t>019.  Energy futures as societal futures: Co-evolutionary scenarios linking futures of society and decarbonized energy systems in Switzerland 2050  (2022)</w:t>
      </w:r>
    </w:p>
    <w:p>
      <w:r>
        <w:t>There is consensus that the global energy system will have to change substantially in the next decades to reach carbon neutrality. However, there are many visions of future energy systems and possible pathways leading to the corresponding futures.</w:t>
      </w:r>
    </w:p>
    <w:p>
      <w:pPr>
        <w:spacing w:after="240"/>
      </w:pPr>
      <w:r>
        <w:rPr>
          <w:b/>
          <w:sz w:val="16"/>
        </w:rPr>
        <w:t xml:space="preserve">ORIGINAL STUDY   </w:t>
      </w:r>
      <w:r>
        <w:rPr>
          <w:sz w:val="16"/>
        </w:rPr>
        <w:t>https://doi.org/10.1016/j.futures.2022.102955</w:t>
      </w:r>
    </w:p>
    <w:p>
      <w:pPr>
        <w:pStyle w:val="Heading1"/>
      </w:pPr>
      <w:r>
        <w:t>020.  European Union, transnational terrorism and the strategic choice of counterterrorism policies in democratic countries  (2022)</w:t>
      </w:r>
    </w:p>
    <w:p>
      <w:r>
        <w:t>This article highlights the combined effect of voter propensity towards defensive policies, certain intelligence policies and different institutional scenarios on the (in)efficient strategic choice of counterterrorism defensive policies in democratic countries, where efficiency means maximising the joint welfare of countries.</w:t>
      </w:r>
    </w:p>
    <w:p>
      <w:pPr>
        <w:spacing w:after="240"/>
      </w:pPr>
      <w:r>
        <w:rPr>
          <w:b/>
          <w:sz w:val="16"/>
        </w:rPr>
        <w:t xml:space="preserve">ORIGINAL STUDY   </w:t>
      </w:r>
      <w:r>
        <w:rPr>
          <w:sz w:val="16"/>
        </w:rPr>
        <w:t>https://doi.org/10.1177/14651165221120370</w:t>
      </w:r>
    </w:p>
    <w:p>
      <w:pPr>
        <w:pStyle w:val="Heading1"/>
      </w:pPr>
      <w:r>
        <w:t>021.  FRESHER: Challenges and opportunities for building Health/Healthy futures  (2022)</w:t>
      </w:r>
    </w:p>
    <w:p>
      <w:r>
        <w:t>Results In the Scenario Building phase, the combination of different evolutions of the selected trends resulted in four alternative futures: a Business as Usual Scenario, “The rich get healthier”, two response Scenarios, “We will Health you” and “Healthy together”, and a worst case Scenario “Desolation Health”. The scenarios imagine different futures and depict how health would subsequently change in such worlds.</w:t>
      </w:r>
    </w:p>
    <w:p>
      <w:pPr>
        <w:spacing w:after="240"/>
      </w:pPr>
      <w:r>
        <w:rPr>
          <w:b/>
          <w:sz w:val="16"/>
        </w:rPr>
        <w:t xml:space="preserve">ORIGINAL STUDY   </w:t>
      </w:r>
      <w:r>
        <w:rPr>
          <w:sz w:val="16"/>
        </w:rPr>
        <w:t>https://doi.org/10.1093/eurpub/ckac129.121</w:t>
      </w:r>
    </w:p>
    <w:p>
      <w:pPr>
        <w:pStyle w:val="Heading1"/>
      </w:pPr>
      <w:r>
        <w:t>022.  Facilitating transformative science education through futures thinking  (2022)</w:t>
      </w:r>
    </w:p>
    <w:p>
      <w:r>
        <w:t>Findings Recent research has shown that future-oriented science learning activities, involving systems thinking, scenario development and backcasting, can let students broaden their futures perceptions, imagine alternatives and navigate uncertainty.</w:t>
      </w:r>
    </w:p>
    <w:p>
      <w:pPr>
        <w:spacing w:after="240"/>
      </w:pPr>
      <w:r>
        <w:rPr>
          <w:b/>
          <w:sz w:val="16"/>
        </w:rPr>
        <w:t xml:space="preserve">ORIGINAL STUDY   </w:t>
      </w:r>
      <w:r>
        <w:rPr>
          <w:sz w:val="16"/>
        </w:rPr>
        <w:t>https://doi.org/10.1108/oth-09-2021-0114</w:t>
      </w:r>
    </w:p>
    <w:p>
      <w:pPr>
        <w:pStyle w:val="Heading1"/>
      </w:pPr>
      <w:r>
        <w:t>023.  Forecast for the zone of viticulture in European Russia under climate change  (2022)</w:t>
      </w:r>
    </w:p>
    <w:p>
      <w:r>
        <w:t>At the same time, a possible decrease in the minimum winter temperature at the south of European Russia will require additional protective measures in winter, while an increase in the aridity of the climate on the northwest coast of the Caspian Sea will reduce the area under non-irrigated vineyards. The increase in heat supply during the growing season in European Russia implies a possibility of expanding the ZCV northward, beyond the present-day terminal latitude of 46.6° N, to 51.8° N under the existing conditions, and up to 60.7° N by 2050.</w:t>
      </w:r>
    </w:p>
    <w:p>
      <w:pPr>
        <w:spacing w:after="240"/>
      </w:pPr>
      <w:r>
        <w:rPr>
          <w:b/>
          <w:sz w:val="16"/>
        </w:rPr>
        <w:t xml:space="preserve">ORIGINAL STUDY   </w:t>
      </w:r>
      <w:r>
        <w:rPr>
          <w:sz w:val="16"/>
        </w:rPr>
        <w:t>https://doi.org/10.18699/vjgb-22-33</w:t>
      </w:r>
    </w:p>
    <w:p>
      <w:pPr>
        <w:pStyle w:val="Heading1"/>
      </w:pPr>
      <w:r>
        <w:t>024.  Forecasting the Volatility of European Union Allowance Futures with Climate Policy Uncertainty Using the EGARCH-MIDAS Model  (2022)</w:t>
      </w:r>
    </w:p>
    <w:p>
      <w:r>
        <w:t>There is room for further application of the model, such as this model could be applied to price carbon futures, so as to improve the liquidity of the carbon market and achieve carbon peak and carbon neutrality as soon as possible.</w:t>
      </w:r>
    </w:p>
    <w:p>
      <w:pPr>
        <w:spacing w:after="240"/>
      </w:pPr>
      <w:r>
        <w:rPr>
          <w:b/>
          <w:sz w:val="16"/>
        </w:rPr>
        <w:t xml:space="preserve">ORIGINAL STUDY   </w:t>
      </w:r>
      <w:r>
        <w:rPr>
          <w:sz w:val="16"/>
        </w:rPr>
        <w:t>https://doi.org/10.3390/su14074306</w:t>
      </w:r>
    </w:p>
    <w:p>
      <w:pPr>
        <w:pStyle w:val="Heading1"/>
      </w:pPr>
      <w:r>
        <w:t>025.  Foresight Research as а Strategic Planning Component  (2022)</w:t>
      </w:r>
    </w:p>
    <w:p>
      <w:r>
        <w:t>While forecasting tries to predict a single «correct» version of the future, Forsythe uses several alternative plausible futures based on their usefulness to develop sound, forward-looking policies.</w:t>
      </w:r>
    </w:p>
    <w:p>
      <w:pPr>
        <w:spacing w:after="240"/>
      </w:pPr>
      <w:r>
        <w:rPr>
          <w:b/>
          <w:sz w:val="16"/>
        </w:rPr>
        <w:t xml:space="preserve">ORIGINAL STUDY   </w:t>
      </w:r>
      <w:r>
        <w:rPr>
          <w:sz w:val="16"/>
        </w:rPr>
        <w:t>https://doi.org/10.37491/unz.85-86.15</w:t>
      </w:r>
    </w:p>
    <w:p>
      <w:pPr>
        <w:pStyle w:val="Heading1"/>
      </w:pPr>
      <w:r>
        <w:t>026.  Foresight of teachers’ professional challenges  (2022)</w:t>
      </w:r>
    </w:p>
    <w:p>
      <w:r>
        <w:t>As a result of the study, it was found that the main challenge in the future will be the lack of competencies and skills of teachers to apply the necessary techniques and technologies. From the teachers’ point of view, the main challenge in the future will be the lack of time for the necessary changes.</w:t>
      </w:r>
    </w:p>
    <w:p>
      <w:pPr>
        <w:spacing w:after="240"/>
      </w:pPr>
      <w:r>
        <w:rPr>
          <w:b/>
          <w:sz w:val="16"/>
        </w:rPr>
        <w:t xml:space="preserve">ORIGINAL STUDY   </w:t>
      </w:r>
      <w:r>
        <w:rPr>
          <w:sz w:val="16"/>
        </w:rPr>
        <w:t>https://doi.org/10.17853/1994-5639-2022-6-60-83</w:t>
      </w:r>
    </w:p>
    <w:p>
      <w:pPr>
        <w:pStyle w:val="Heading1"/>
      </w:pPr>
      <w:r>
        <w:t>027.  Future population ageing and productivity in Finland under different education and fertility scenarios  (2022)</w:t>
      </w:r>
    </w:p>
    <w:p>
      <w:r>
        <w:t>Applying a multidimensional demographic approach through a discrete-time microsimulation model, we project the newly introduced productivity-weighted labour force dependency ratio for Finnish scenarios until 2060 and compared it with the labour force dependency ratio and the traditional age dependency ratio. Provided a more rapid increase in educational attainment, the last indicator is expected to increase less, with 21 per cent until 2060.</w:t>
      </w:r>
    </w:p>
    <w:p>
      <w:pPr>
        <w:spacing w:after="240"/>
      </w:pPr>
      <w:r>
        <w:rPr>
          <w:b/>
          <w:sz w:val="16"/>
        </w:rPr>
        <w:t xml:space="preserve">ORIGINAL STUDY   </w:t>
      </w:r>
      <w:r>
        <w:rPr>
          <w:sz w:val="16"/>
        </w:rPr>
        <w:t>https://doi.org/10.23979/fypr.119666</w:t>
      </w:r>
    </w:p>
    <w:p>
      <w:pPr>
        <w:pStyle w:val="Heading1"/>
      </w:pPr>
      <w:r>
        <w:t>028.  Futures and foresight of Croatian cultural heritage  (2022)</w:t>
      </w:r>
    </w:p>
    <w:p>
      <w:r>
        <w:t>This paper is primarily about anticipating the future, and not predicting it, by showing the methods and techniques that identify processes that could affect the future of heritage protection and management in the Republic of Croatia. Based on established trends, several scenarios are developed with certainties and uncertainties.</w:t>
      </w:r>
    </w:p>
    <w:p>
      <w:pPr>
        <w:spacing w:after="240"/>
      </w:pPr>
      <w:r>
        <w:rPr>
          <w:b/>
          <w:sz w:val="16"/>
        </w:rPr>
        <w:t xml:space="preserve">ORIGINAL STUDY   </w:t>
      </w:r>
      <w:r>
        <w:rPr>
          <w:sz w:val="16"/>
        </w:rPr>
        <w:t>https://doi.org/10.17018/portal.2022.10</w:t>
      </w:r>
    </w:p>
    <w:p>
      <w:pPr>
        <w:pStyle w:val="Heading1"/>
      </w:pPr>
      <w:r>
        <w:t>029.  GHG emissions, trade balance, and carbon leakage: Insights from modeling thirty-one European decarbonization pathways towards 2050  (2022)</w:t>
      </w:r>
    </w:p>
    <w:p>
      <w:r>
        <w:t>Recognizing the urgent need for concrete sectoral information in designing European climate change mitigation pathways of policy relevance, this study formulates, simulates and compares 31 European decarbonization pathways, focusing on changes in trade flows and GHG emissions.</w:t>
      </w:r>
    </w:p>
    <w:p>
      <w:pPr>
        <w:spacing w:after="240"/>
      </w:pPr>
      <w:r>
        <w:rPr>
          <w:b/>
          <w:sz w:val="16"/>
        </w:rPr>
        <w:t xml:space="preserve">ORIGINAL STUDY   </w:t>
      </w:r>
      <w:r>
        <w:rPr>
          <w:sz w:val="16"/>
        </w:rPr>
        <w:t>https://doi.org/10.1016/j.eneco.2022.106240</w:t>
      </w:r>
    </w:p>
    <w:p>
      <w:pPr>
        <w:pStyle w:val="Heading1"/>
      </w:pPr>
      <w:r>
        <w:t>030.  Health horizons: Future trends and technologies from the European Medicines Agency’s horizon scanning collaborations  (2022)</w:t>
      </w:r>
    </w:p>
    <w:p>
      <w:r>
        <w:t>In this context, the European Medicines Agency uses horizon scanning to shine a light on early signals of relevant innovation and technological trends with impact on medicinal products. For each of these trends, the expected impact and challenges for their adoption are discussed, along with recommendations for developers, regulators and policy makers.</w:t>
      </w:r>
    </w:p>
    <w:p>
      <w:pPr>
        <w:spacing w:after="240"/>
      </w:pPr>
      <w:r>
        <w:rPr>
          <w:b/>
          <w:sz w:val="16"/>
        </w:rPr>
        <w:t xml:space="preserve">ORIGINAL STUDY   </w:t>
      </w:r>
      <w:r>
        <w:rPr>
          <w:sz w:val="16"/>
        </w:rPr>
        <w:t>https://doi.org/10.3389/fmed.2022.1064003</w:t>
      </w:r>
    </w:p>
    <w:p>
      <w:pPr>
        <w:pStyle w:val="Heading1"/>
      </w:pPr>
      <w:r>
        <w:t>031.  Horizon scanning exercise on preparedness for future risk assessment requirements and possible challenges in regulatory science  (2022)</w:t>
      </w:r>
    </w:p>
    <w:p>
      <w:r>
        <w:t>The horizon scan resulted in a set of recommended actions for the six thematic areas that could contribute in EFSA’s preparedness and in preventing challenges and potential divergences from materialising. The findings of this horizon scanning exercise should not be considered as an indication of the direction that ongoing EU policy initiatives in the food system may take.</w:t>
      </w:r>
    </w:p>
    <w:p>
      <w:pPr>
        <w:spacing w:after="240"/>
      </w:pPr>
      <w:r>
        <w:rPr>
          <w:b/>
          <w:sz w:val="16"/>
        </w:rPr>
        <w:t xml:space="preserve">ORIGINAL STUDY   </w:t>
      </w:r>
      <w:r>
        <w:rPr>
          <w:sz w:val="16"/>
        </w:rPr>
        <w:t>https://doi.org/10.2903/sp.efsa.2022.en-7297</w:t>
      </w:r>
    </w:p>
    <w:p>
      <w:pPr>
        <w:pStyle w:val="Heading1"/>
      </w:pPr>
      <w:r>
        <w:t>032.  How Sustainable Development Goals interlinkages influence European Union countries’ progress towards the 2030 Agenda  (2022)</w:t>
      </w:r>
    </w:p>
    <w:p>
      <w:r>
        <w:t>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In order to achieve the SDGs by 2030, it is thus crucial to not only exploit synergies between the goals but also to overcome trade‐offs.</w:t>
      </w:r>
    </w:p>
    <w:p>
      <w:pPr>
        <w:spacing w:after="240"/>
      </w:pPr>
      <w:r>
        <w:rPr>
          <w:b/>
          <w:sz w:val="16"/>
        </w:rPr>
        <w:t xml:space="preserve">ORIGINAL STUDY   </w:t>
      </w:r>
      <w:r>
        <w:rPr>
          <w:sz w:val="16"/>
        </w:rPr>
        <w:t>https://doi.org/10.1002/sd.2290</w:t>
      </w:r>
    </w:p>
    <w:p>
      <w:pPr>
        <w:pStyle w:val="Heading1"/>
      </w:pPr>
      <w:r>
        <w:t>033.  Impact of demographic changes and screening colonoscopy on long-term projection of incident colorectal cancer cases in Germany: A modelling study  (2022)</w:t>
      </w:r>
    </w:p>
    <w:p>
      <w:r>
        <w:t>We estimated the number of new CRC cases until 2060, assuming screening colonoscopy use to be constant or to increase to between 1·5 and 3 times the current levels. Assuming no change in screening colonoscopy use, the overall annual caseload was predicted to increase from approximately 62,000 cases in 2020 to more than 70,000 cases by the year 2040 and more than 75,000 cases by 2050.</w:t>
      </w:r>
    </w:p>
    <w:p>
      <w:pPr>
        <w:spacing w:after="240"/>
      </w:pPr>
      <w:r>
        <w:rPr>
          <w:b/>
          <w:sz w:val="16"/>
        </w:rPr>
        <w:t xml:space="preserve">ORIGINAL STUDY   </w:t>
      </w:r>
      <w:r>
        <w:rPr>
          <w:sz w:val="16"/>
        </w:rPr>
        <w:t>https://doi.org/10.1016/j.lanepe.2022.100451</w:t>
      </w:r>
    </w:p>
    <w:p>
      <w:pPr>
        <w:pStyle w:val="Heading1"/>
      </w:pPr>
      <w:r>
        <w:t>034.  Impacts of Scaling up Agroecology on the Sustainability of European Agriculture in 2050  (2022)</w:t>
      </w:r>
    </w:p>
    <w:p>
      <w:r>
        <w:t>We here assess socio‐economic and environmental implications of multiple agroecological futures in the European Union in 2050, based on a novel diagnostic scenario approach, i.e. the biomass balancing model BioBaM‐GHG 2.0.</w:t>
      </w:r>
    </w:p>
    <w:p>
      <w:pPr>
        <w:spacing w:after="240"/>
      </w:pPr>
      <w:r>
        <w:rPr>
          <w:b/>
          <w:sz w:val="16"/>
        </w:rPr>
        <w:t xml:space="preserve">ORIGINAL STUDY   </w:t>
      </w:r>
      <w:r>
        <w:rPr>
          <w:sz w:val="16"/>
        </w:rPr>
        <w:t>https://doi.org/10.1111/1746-692x.12373</w:t>
      </w:r>
    </w:p>
    <w:p>
      <w:pPr>
        <w:pStyle w:val="Heading1"/>
      </w:pPr>
      <w:r>
        <w:t>035.  Implementing Systemic Innovation Strategies for a More Sustainable Future: The Case of Three Overseas Countries and Territories  (2022)</w:t>
      </w:r>
    </w:p>
    <w:p>
      <w:r>
        <w:t>We conclude by discussing the potential implications of this foresight approach for the sustainable development and transformation of other less-favoured regions and territories.</w:t>
      </w:r>
    </w:p>
    <w:p>
      <w:pPr>
        <w:spacing w:after="240"/>
      </w:pPr>
      <w:r>
        <w:rPr>
          <w:b/>
          <w:sz w:val="16"/>
        </w:rPr>
        <w:t xml:space="preserve">ORIGINAL STUDY   </w:t>
      </w:r>
      <w:r>
        <w:rPr>
          <w:sz w:val="16"/>
        </w:rPr>
        <w:t>https://doi.org/10.3389/frma.2021.801789</w:t>
      </w:r>
    </w:p>
    <w:p>
      <w:pPr>
        <w:pStyle w:val="Heading1"/>
      </w:pPr>
      <w:r>
        <w:t>036.  Integrated energy planning to meet 2050 European targets: A Southern Italian region case study  (2022)</w:t>
      </w:r>
    </w:p>
    <w:p>
      <w:r>
        <w:t>The 2030 ‘transition scenario’ is characterized by a reduction in GHG emissions. The results obtained show that the 2030 ‘transition’ scenario is characterized by a reduction in the “1990 CO2 emissions” of approximately 45%.</w:t>
      </w:r>
    </w:p>
    <w:p>
      <w:pPr>
        <w:spacing w:after="240"/>
      </w:pPr>
      <w:r>
        <w:rPr>
          <w:b/>
          <w:sz w:val="16"/>
        </w:rPr>
        <w:t xml:space="preserve">ORIGINAL STUDY   </w:t>
      </w:r>
      <w:r>
        <w:rPr>
          <w:sz w:val="16"/>
        </w:rPr>
        <w:t>https://doi.org/10.1016/j.esr.2022.100844</w:t>
      </w:r>
    </w:p>
    <w:p>
      <w:pPr>
        <w:pStyle w:val="Heading1"/>
      </w:pPr>
      <w:r>
        <w:t>037.  Investigating European Union Decarbonization Strategies: Evaluating the Pathway to Carbon Neutrality by 2050  (2022)</w:t>
      </w:r>
    </w:p>
    <w:p>
      <w:r>
        <w:t>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pPr>
        <w:spacing w:after="240"/>
      </w:pPr>
      <w:r>
        <w:rPr>
          <w:b/>
          <w:sz w:val="16"/>
        </w:rPr>
        <w:t xml:space="preserve">ORIGINAL STUDY   </w:t>
      </w:r>
      <w:r>
        <w:rPr>
          <w:sz w:val="16"/>
        </w:rPr>
        <w:t>https://doi.org/10.3390/su14084728</w:t>
      </w:r>
    </w:p>
    <w:p>
      <w:pPr>
        <w:pStyle w:val="Heading1"/>
      </w:pPr>
      <w:r>
        <w:t>038.  Long term impact of residue management on soil organic carbon stocks and nitrous oxide emissions from European croplands  (2022)</w:t>
      </w:r>
    </w:p>
    <w:p>
      <w:r>
        <w:t>For a scenario with 100% residues retention and reduced tillage we calculated that in average SOC stocks may increase over 50–100 years by 19–23% under RCP8.5 and RCP4.5. CERES-EGC, LandscapeDNDC and LandscapeDNDC-MeTrx, were used in an ensemble approach on a grid of 0.25° × 0.25° spatial resolution for calculating EU-27 wide inventories of changes in SOC stocks and N2O emissions due to residue management for the years 2000–2100 using different climate change projections (RCP4.5 and RCP8.5).</w:t>
      </w:r>
    </w:p>
    <w:p>
      <w:pPr>
        <w:spacing w:after="240"/>
      </w:pPr>
      <w:r>
        <w:rPr>
          <w:b/>
          <w:sz w:val="16"/>
        </w:rPr>
        <w:t xml:space="preserve">ORIGINAL STUDY   </w:t>
      </w:r>
      <w:r>
        <w:rPr>
          <w:sz w:val="16"/>
        </w:rPr>
        <w:t>https://doi.org/10.1016/j.scitotenv.2022.154932</w:t>
      </w:r>
    </w:p>
    <w:p>
      <w:pPr>
        <w:pStyle w:val="Heading1"/>
      </w:pPr>
      <w:r>
        <w:t>039.  Long-term transport decarbonization pathways in the European Union: a strategic energy-economy analysis  (2022)</w:t>
      </w:r>
    </w:p>
    <w:p>
      <w:r>
        <w:t>Owing to their uncertain and disruptive role, we assess the potential contribution of e-fuels deployment to the EU transport decarbonization in line with the region’s climate neutrality ambition in 2050. However, the two scenarios differ in the other technology and fuel choices, with implications on road freight transport, infrastructure, R&amp;D spending, and maturity requirements for alternative vehicles.</w:t>
      </w:r>
    </w:p>
    <w:p>
      <w:pPr>
        <w:spacing w:after="240"/>
      </w:pPr>
      <w:r>
        <w:rPr>
          <w:b/>
          <w:sz w:val="16"/>
        </w:rPr>
        <w:t xml:space="preserve">ORIGINAL STUDY   </w:t>
      </w:r>
      <w:r>
        <w:rPr>
          <w:sz w:val="16"/>
        </w:rPr>
        <w:t>https://doi.org/10.1080/15567249.2022.2101712</w:t>
      </w:r>
    </w:p>
    <w:p>
      <w:pPr>
        <w:pStyle w:val="Heading1"/>
      </w:pPr>
      <w:r>
        <w:t>040.  Materials for Sustainable Nuclear Energy: A European Strategic Research and Innovation Agenda for All Reactor Generations  (2022)</w:t>
      </w:r>
    </w:p>
    <w:p>
      <w:r>
        <w:t>Nuclear energy is presently the single major low-carbon electricity source in Europe and is overall expected to maintain (perhaps eventually even increase) its current installed power from now to 2045.</w:t>
      </w:r>
    </w:p>
    <w:p>
      <w:pPr>
        <w:spacing w:after="240"/>
      </w:pPr>
      <w:r>
        <w:rPr>
          <w:b/>
          <w:sz w:val="16"/>
        </w:rPr>
        <w:t xml:space="preserve">ORIGINAL STUDY   </w:t>
      </w:r>
      <w:r>
        <w:rPr>
          <w:sz w:val="16"/>
        </w:rPr>
        <w:t>https://doi.org/10.3390/en15051845</w:t>
      </w:r>
    </w:p>
    <w:p>
      <w:pPr>
        <w:pStyle w:val="Heading1"/>
      </w:pPr>
      <w:r>
        <w:t>041.  Mismatch, empowerment, fatigue or balance? Four scenarios of physical activity up to 2030 in Finland  (2022)</w:t>
      </w:r>
    </w:p>
    <w:p>
      <w:r>
        <w:t>Building on the experts’ perceptions on alternative futures, we formulated four scenarios for PA up to 2030, which we named Mismatch, Empowerment, Fatigue and Balance. In this study, we explore future scenarios in the intersections of PA and active lifestyles as well as related environmental and health benefits in Finland.</w:t>
      </w:r>
    </w:p>
    <w:p>
      <w:pPr>
        <w:spacing w:after="240"/>
      </w:pPr>
      <w:r>
        <w:rPr>
          <w:b/>
          <w:sz w:val="16"/>
        </w:rPr>
        <w:t xml:space="preserve">ORIGINAL STUDY   </w:t>
      </w:r>
      <w:r>
        <w:rPr>
          <w:sz w:val="16"/>
        </w:rPr>
        <w:t>https://doi.org/10.1016/j.futures.2022.103036</w:t>
      </w:r>
    </w:p>
    <w:p>
      <w:pPr>
        <w:pStyle w:val="Heading1"/>
      </w:pPr>
      <w:r>
        <w:t>042.  On the Future(s) of Energy Communities in the German Energy Transition: A Derivation of Transformation Pathways  (2022)</w:t>
      </w:r>
    </w:p>
    <w:p>
      <w:r>
        <w:t>In order to understand how such a development could come about, and if desired, how it could be ensured, we developed and applied a quasi-dynamic model using the Cross-Impact Balance (CIB) approach and with it analyzed and assessed such a transition in detail. Main results obtained from the application of the model are possible transformation pathways of citizen participation in the energy transition of Germany.</w:t>
      </w:r>
    </w:p>
    <w:p>
      <w:pPr>
        <w:spacing w:after="240"/>
      </w:pPr>
      <w:r>
        <w:rPr>
          <w:b/>
          <w:sz w:val="16"/>
        </w:rPr>
        <w:t xml:space="preserve">ORIGINAL STUDY   </w:t>
      </w:r>
      <w:r>
        <w:rPr>
          <w:sz w:val="16"/>
        </w:rPr>
        <w:t>https://doi.org/10.3390/su14063169</w:t>
      </w:r>
    </w:p>
    <w:p>
      <w:pPr>
        <w:pStyle w:val="Heading1"/>
      </w:pPr>
      <w:r>
        <w:t>043.  Organic farming in the European Union – perspectives for 2030  (2022)</w:t>
      </w:r>
    </w:p>
    <w:p>
      <w:r>
        <w:t>At the same time, the objectives set by the European Community to be achieved by 2030 are presented. This type of agriculture involves the use of a set of techniques and practices that result in yield that provides the food needed by the population considering the sustainable use of resources.</w:t>
      </w:r>
    </w:p>
    <w:p>
      <w:pPr>
        <w:spacing w:after="240"/>
      </w:pPr>
      <w:r>
        <w:rPr>
          <w:b/>
          <w:sz w:val="16"/>
        </w:rPr>
        <w:t xml:space="preserve">ORIGINAL STUDY   </w:t>
      </w:r>
      <w:r>
        <w:rPr>
          <w:sz w:val="16"/>
        </w:rPr>
        <w:t>https://doi.org/10.2478/picbe-2022-0042</w:t>
      </w:r>
    </w:p>
    <w:p>
      <w:pPr>
        <w:pStyle w:val="Heading1"/>
      </w:pPr>
      <w:r>
        <w:t>044.  Past and Future Trends in Refugee Migration on the Regional Level in Germany – An Analysis and Projection of Labor Market Effects  (2022)</w:t>
      </w:r>
    </w:p>
    <w:p>
      <w:r>
        <w:t>Next, we calculate corresponding future employment effects conditional on our projected refugee figures, our estimation results, and official regional demographic forecasts until 2030. Our findings suggest that refugee migration does not affect German labor market regions equally, but instead has and will continue to lead to distinct regional employment effects.</w:t>
      </w:r>
    </w:p>
    <w:p>
      <w:pPr>
        <w:spacing w:after="240"/>
      </w:pPr>
      <w:r>
        <w:rPr>
          <w:b/>
          <w:sz w:val="16"/>
        </w:rPr>
        <w:t xml:space="preserve">ORIGINAL STUDY   </w:t>
      </w:r>
      <w:r>
        <w:rPr>
          <w:sz w:val="16"/>
        </w:rPr>
        <w:t>https://doi.org/10.12765/cpos-2022-17</w:t>
      </w:r>
    </w:p>
    <w:p>
      <w:pPr>
        <w:pStyle w:val="Heading1"/>
      </w:pPr>
      <w:r>
        <w:t>045.  Policy Modelling for Ambitious Energy Efficiency Investment in the EU Residential Buildings  (2022)</w:t>
      </w:r>
    </w:p>
    <w:p>
      <w:r>
        <w:t>This paper presents the challenges of increasing the energy efficiency investments in European Union (EU) residential buildings in the context of achieving climate neutrality by 2050.</w:t>
      </w:r>
    </w:p>
    <w:p>
      <w:pPr>
        <w:spacing w:after="240"/>
      </w:pPr>
      <w:r>
        <w:rPr>
          <w:b/>
          <w:sz w:val="16"/>
        </w:rPr>
        <w:t xml:space="preserve">ORIGINAL STUDY   </w:t>
      </w:r>
      <w:r>
        <w:rPr>
          <w:sz w:val="16"/>
        </w:rPr>
        <w:t>https://doi.org/10.3390/en15062233</w:t>
      </w:r>
    </w:p>
    <w:p>
      <w:pPr>
        <w:pStyle w:val="Heading1"/>
      </w:pPr>
      <w:r>
        <w:t>046.  Soil Governance in current European Union Law and in the European Green Deal  (2022)</w:t>
      </w:r>
    </w:p>
    <w:p>
      <w:r>
        <w:t>This is all the more true as the United Nations' 2030 Agenda has set in motion a process that will have far-reaching implications for connected thinking: Sustainable Development Goal 15 and its target 15.3 stipulate that land degradation neutrality should be achieved by 2030, although this is not binding.</w:t>
      </w:r>
    </w:p>
    <w:p>
      <w:pPr>
        <w:spacing w:after="240"/>
      </w:pPr>
      <w:r>
        <w:rPr>
          <w:b/>
          <w:sz w:val="16"/>
        </w:rPr>
        <w:t xml:space="preserve">ORIGINAL STUDY   </w:t>
      </w:r>
      <w:r>
        <w:rPr>
          <w:sz w:val="16"/>
        </w:rPr>
        <w:t>https://doi.org/10.1016/j.soisec.2022.100053</w:t>
      </w:r>
    </w:p>
    <w:p>
      <w:pPr>
        <w:pStyle w:val="Heading1"/>
      </w:pPr>
      <w:r>
        <w:t>047.  Surveillance and Foresight Process of the Sustainable City Context: Innovation Potential Niches and Trends at the European Level  (2022)</w:t>
      </w:r>
    </w:p>
    <w:p>
      <w:r>
        <w:t>Much of the pollution and energy consumption is attributed to cities, which are expected to increase in size and population in the coming years. In this regard, different agendas, strategies, and regulations have been published, such as the 2030 Agenda.</w:t>
      </w:r>
    </w:p>
    <w:p>
      <w:pPr>
        <w:spacing w:after="240"/>
      </w:pPr>
      <w:r>
        <w:rPr>
          <w:b/>
          <w:sz w:val="16"/>
        </w:rPr>
        <w:t xml:space="preserve">ORIGINAL STUDY   </w:t>
      </w:r>
      <w:r>
        <w:rPr>
          <w:sz w:val="16"/>
        </w:rPr>
        <w:t>https://doi.org/10.3390/su14148795</w:t>
      </w:r>
    </w:p>
    <w:p>
      <w:pPr>
        <w:pStyle w:val="Heading1"/>
      </w:pPr>
      <w:r>
        <w:t>048.  The Boundaries of Scientific Innovation in the EU Green Deal Context  (2022)</w:t>
      </w:r>
    </w:p>
    <w:p>
      <w:r>
        <w:t>The European Union has frequently taken an active role in international climate policy by developing relevant strategies in as early as the nineties the last century, and today promoting an ambitious EU Green Deal to become climate neutral by 2050.</w:t>
      </w:r>
    </w:p>
    <w:p>
      <w:pPr>
        <w:spacing w:after="240"/>
      </w:pPr>
      <w:r>
        <w:rPr>
          <w:b/>
          <w:sz w:val="16"/>
        </w:rPr>
        <w:t xml:space="preserve">ORIGINAL STUDY   </w:t>
      </w:r>
      <w:r>
        <w:rPr>
          <w:sz w:val="16"/>
        </w:rPr>
        <w:t>https://doi.org/10.2478/rtuect-2022-0010</w:t>
      </w:r>
    </w:p>
    <w:p>
      <w:pPr>
        <w:pStyle w:val="Heading1"/>
      </w:pPr>
      <w:r>
        <w:t>049.  The Conference on the Future of Europe: possible scenarios of the forthcoming European Perestroika  (2022)</w:t>
      </w:r>
    </w:p>
    <w:p>
      <w:r>
        <w:t>These varying directions within the EU establishment demonstrated by this discussion create a pressing need to find some common, compromise solutions between European elites on such questions as the renovation of the European project, the scope of amendments to the foundational treaties, delineation of alternative strategies of reforms, and a choice between different future options and potential outcomes.</w:t>
      </w:r>
    </w:p>
    <w:p>
      <w:pPr>
        <w:spacing w:after="240"/>
      </w:pPr>
      <w:r>
        <w:rPr>
          <w:b/>
          <w:sz w:val="16"/>
        </w:rPr>
        <w:t xml:space="preserve">ORIGINAL STUDY   </w:t>
      </w:r>
      <w:r>
        <w:rPr>
          <w:sz w:val="16"/>
        </w:rPr>
        <w:t>https://doi.org/10.21128/1812-7126-2022-1-14-42</w:t>
      </w:r>
    </w:p>
    <w:p>
      <w:pPr>
        <w:pStyle w:val="Heading1"/>
      </w:pPr>
      <w:r>
        <w:t>050.  The European Union as a long-term political actor: an overview  (2022)</w:t>
      </w:r>
    </w:p>
    <w:p>
      <w:r>
        <w:t>We ask in which ways and to what extent is the Union able to employ long-term policy targets and considers the possible interests of future generations.</w:t>
      </w:r>
    </w:p>
    <w:p>
      <w:pPr>
        <w:spacing w:after="240"/>
      </w:pPr>
      <w:r>
        <w:rPr>
          <w:b/>
          <w:sz w:val="16"/>
        </w:rPr>
        <w:t xml:space="preserve">ORIGINAL STUDY   </w:t>
      </w:r>
      <w:r>
        <w:rPr>
          <w:sz w:val="16"/>
        </w:rPr>
        <w:t>https://doi.org/10.1080/2474736x.2022.2043725</w:t>
      </w:r>
    </w:p>
    <w:p>
      <w:pPr>
        <w:pStyle w:val="Heading1"/>
      </w:pPr>
      <w:r>
        <w:t>051.  The Futures of Europe: Society 5.0 and Industry 5.0 as Driving Forces of Future Universities  (2022)</w:t>
      </w:r>
    </w:p>
    <w:p>
      <w:r>
        <w:t>Incorporating the assumptions of Society 5.0 and Industry 5.0 into the universities practices and policies will allow both universities and societies to fully benefit from digital transformation. The use of the Quintuple Helix Model (QHM) might foster the process of necessary transformations capacities as it integrates different perspectives and sets the stage for sustainability priorities and considerations.</w:t>
      </w:r>
    </w:p>
    <w:p>
      <w:pPr>
        <w:spacing w:after="240"/>
      </w:pPr>
      <w:r>
        <w:rPr>
          <w:b/>
          <w:sz w:val="16"/>
        </w:rPr>
        <w:t xml:space="preserve">ORIGINAL STUDY   </w:t>
      </w:r>
      <w:r>
        <w:rPr>
          <w:sz w:val="16"/>
        </w:rPr>
        <w:t>https://doi.org/10.1007/s13132-021-00854-2</w:t>
      </w:r>
    </w:p>
    <w:p>
      <w:pPr>
        <w:pStyle w:val="Heading1"/>
      </w:pPr>
      <w:r>
        <w:t>052.  The July 2019 European Heat Wave in a Warmer Climate: Storyline Scenarios with a Coupled Model Using Spectral Nudging  (2022)</w:t>
      </w:r>
    </w:p>
    <w:p>
      <w:r>
        <w:t>By varying the background climate, including CO 2 concentrations, it is demonstrated how the July 2019 European heat wave could have evolved in preindustrial times and in warmer climates.</w:t>
      </w:r>
    </w:p>
    <w:p>
      <w:pPr>
        <w:spacing w:after="240"/>
      </w:pPr>
      <w:r>
        <w:rPr>
          <w:b/>
          <w:sz w:val="16"/>
        </w:rPr>
        <w:t xml:space="preserve">ORIGINAL STUDY   </w:t>
      </w:r>
      <w:r>
        <w:rPr>
          <w:sz w:val="16"/>
        </w:rPr>
        <w:t>https://doi.org/10.1175/jcli-d-21-0573.1</w:t>
      </w:r>
    </w:p>
    <w:p>
      <w:pPr>
        <w:pStyle w:val="Heading1"/>
      </w:pPr>
      <w:r>
        <w:t>053.  The future of the Mediterranean agri-food systems: Trends and perspectives from a Delphi survey  (2022)</w:t>
      </w:r>
    </w:p>
    <w:p>
      <w:r>
        <w:t>First, to identify the main challenges, trends and driving forces that influence the agri-food systems in the Mediterranean over a short (2020) and medium (2030) term. Second, to discuss the alternative policy responses to the challenges that the region will face in terms of water resource management, farming systems and agri-food value chains in terms of desirability and feasibility.</w:t>
      </w:r>
    </w:p>
    <w:p>
      <w:pPr>
        <w:spacing w:after="240"/>
      </w:pPr>
      <w:r>
        <w:rPr>
          <w:b/>
          <w:sz w:val="16"/>
        </w:rPr>
        <w:t xml:space="preserve">ORIGINAL STUDY   </w:t>
      </w:r>
      <w:r>
        <w:rPr>
          <w:sz w:val="16"/>
        </w:rPr>
        <w:t>https://doi.org/10.1016/j.landusepol.2022.106263</w:t>
      </w:r>
    </w:p>
    <w:p>
      <w:pPr>
        <w:pStyle w:val="Heading1"/>
      </w:pPr>
      <w:r>
        <w:t>054.  The geography of megatrends affecting European agriculture  (2022)</w:t>
      </w:r>
    </w:p>
    <w:p>
      <w:r>
        <w:t>Megatrends are long-term driving forces which are observable today and will likely have transformational potential in the future. In a minority of regions megatrends may drive marginalization as the current system becomes increasingly unviable.</w:t>
      </w:r>
    </w:p>
    <w:p>
      <w:pPr>
        <w:spacing w:after="240"/>
      </w:pPr>
      <w:r>
        <w:rPr>
          <w:b/>
          <w:sz w:val="16"/>
        </w:rPr>
        <w:t xml:space="preserve">ORIGINAL STUDY   </w:t>
      </w:r>
      <w:r>
        <w:rPr>
          <w:sz w:val="16"/>
        </w:rPr>
        <w:t>https://doi.org/10.1016/j.gloenvcha.2022.102551</w:t>
      </w:r>
    </w:p>
    <w:p>
      <w:pPr>
        <w:pStyle w:val="Heading1"/>
      </w:pPr>
      <w:r>
        <w:t>055.  Towards a decarbonised building stock by 2050: The meaning and the role of zero emission buildings (ZEBs) in Europe  (2022)</w:t>
      </w:r>
    </w:p>
    <w:p>
      <w:r>
        <w:t>The revision of the Energy Performance of Building Directive (EPBD) sets out how Europe can achieve a decarbonised building stock by 2050.</w:t>
      </w:r>
    </w:p>
    <w:p>
      <w:pPr>
        <w:spacing w:after="240"/>
      </w:pPr>
      <w:r>
        <w:rPr>
          <w:b/>
          <w:sz w:val="16"/>
        </w:rPr>
        <w:t xml:space="preserve">ORIGINAL STUDY   </w:t>
      </w:r>
      <w:r>
        <w:rPr>
          <w:sz w:val="16"/>
        </w:rPr>
        <w:t>https://doi.org/10.1016/j.esr.2022.101009</w:t>
      </w:r>
    </w:p>
    <w:p>
      <w:pPr>
        <w:pStyle w:val="Heading1"/>
      </w:pPr>
      <w:r>
        <w:t>056.  Towards the 2030 Agenda: Measuring the Progress of the European Union Countries through the SDGs Achievement Index  (2022)</w:t>
      </w:r>
    </w:p>
    <w:p>
      <w:r>
        <w:t>The use of such an index will also be useful to understand the effect of the pandemic on the development.</w:t>
      </w:r>
    </w:p>
    <w:p>
      <w:pPr>
        <w:spacing w:after="240"/>
      </w:pPr>
      <w:r>
        <w:rPr>
          <w:b/>
          <w:sz w:val="16"/>
        </w:rPr>
        <w:t xml:space="preserve">ORIGINAL STUDY   </w:t>
      </w:r>
      <w:r>
        <w:rPr>
          <w:sz w:val="16"/>
        </w:rPr>
        <w:t>https://doi.org/10.3390/su14063563</w:t>
      </w:r>
    </w:p>
    <w:p>
      <w:pPr>
        <w:pStyle w:val="Heading1"/>
      </w:pPr>
      <w:r>
        <w:t>057.  Use and perception of weather forecast information across Europe  (2022)</w:t>
      </w:r>
    </w:p>
    <w:p>
      <w:r>
        <w:t>The two surveys indicate that there might be benefits of increased collaboration and sharing of data between European NMHSs to be able to offer their users more training, and to learn from each other in areas where insight already exists.</w:t>
      </w:r>
    </w:p>
    <w:p>
      <w:pPr>
        <w:spacing w:after="240"/>
      </w:pPr>
      <w:r>
        <w:rPr>
          <w:b/>
          <w:sz w:val="16"/>
        </w:rPr>
        <w:t xml:space="preserve">ORIGINAL STUDY   </w:t>
      </w:r>
      <w:r>
        <w:rPr>
          <w:sz w:val="16"/>
        </w:rPr>
        <w:t>https://doi.org/10.1002/met.2053</w:t>
      </w:r>
    </w:p>
    <w:p>
      <w:pPr>
        <w:pStyle w:val="Heading1"/>
      </w:pPr>
      <w:r>
        <w:t>058.  What energy infrastructure will be needed by 2050 in the EU to support 1.5°C scenarios?  (2022)</w:t>
      </w:r>
    </w:p>
    <w:p>
      <w:r>
        <w:t>The objective of the study is to quantify energy infrastructure needs required in various climate neutral scenarios at the 2050 time horizon. Background: The European Commission has settled ambitious objectives in order to reach climate neutrality by 2050.</w:t>
      </w:r>
    </w:p>
    <w:p>
      <w:pPr>
        <w:spacing w:after="240"/>
      </w:pPr>
      <w:r>
        <w:rPr>
          <w:b/>
          <w:sz w:val="16"/>
        </w:rPr>
        <w:t xml:space="preserve">ORIGINAL STUDY   </w:t>
      </w:r>
      <w:r>
        <w:rPr>
          <w:sz w:val="16"/>
        </w:rPr>
        <w:t>https://doi.org/10.12688/f1000research.109399.1</w:t>
      </w:r>
    </w:p>
    <w:p>
      <w:pPr>
        <w:pStyle w:val="Heading1"/>
      </w:pPr>
      <w:r>
        <w:t>059.  Which way to net zero? a comparative analysis of seven UK 2050 decarbonisation pathways  (2022)</w:t>
      </w:r>
    </w:p>
    <w:p>
      <w:r>
        <w:t>The key findings reported are that (i) pathways that rely on less stringent behavioural changes require more ambitious technology development (and vice versa); (ii) electricity generation will increase by 51–160% to facilitate large-scale fuel-switching in heating and transport, the vast majority of which is likely to be generated from variable renewable sources; (iii) hydrogen is an important energy vector in meeting Net Zero for all pathways, providing 100–591 TWh annually by 2050, though the growth in demand is heavily dependent on the extent to which it is used in supplying heating and transport demand. Since the UK’s Net Zero greenhouse gas emissions target was set in 2019, organisations across the energy systems community have released pathways on how we might get there – which end-use technologies are deployed across each sector of demand, how our fossil fuel-based energy supply would be transferred to low carbon vectors and to what extent society must change the way it demands energy services.</w:t>
      </w:r>
    </w:p>
    <w:p>
      <w:pPr>
        <w:spacing w:after="240"/>
      </w:pPr>
      <w:r>
        <w:rPr>
          <w:b/>
          <w:sz w:val="16"/>
        </w:rPr>
        <w:t xml:space="preserve">ORIGINAL STUDY   </w:t>
      </w:r>
      <w:r>
        <w:rPr>
          <w:sz w:val="16"/>
        </w:rPr>
        <w:t>https://doi.org/10.1016/j.rset.2021.100016</w:t>
      </w:r>
    </w:p>
    <w:p>
      <w:pPr>
        <w:pStyle w:val="Heading1"/>
      </w:pPr>
      <w:r>
        <w:t>060.  A 2050 perspective on the role for carbon capture and storage in the European power system and industry sector  (2021)</w:t>
      </w:r>
    </w:p>
    <w:p>
      <w:r>
        <w:t>This unique modelling framework analyses the feasibility and costs of CCS deployment in the European Union towards 2050 in three scenarios with the same ambitious climate policy target (~85% CO2 emissions reduction). Once CO2 transport infrastructure is available, CCS will be a preferred mitigation option for the industry sector emissions.</w:t>
      </w:r>
    </w:p>
    <w:p>
      <w:pPr>
        <w:spacing w:after="240"/>
      </w:pPr>
      <w:r>
        <w:rPr>
          <w:b/>
          <w:sz w:val="16"/>
        </w:rPr>
        <w:t xml:space="preserve">ORIGINAL STUDY   </w:t>
      </w:r>
      <w:r>
        <w:rPr>
          <w:sz w:val="16"/>
        </w:rPr>
        <w:t>https://doi.org/10.1016/j.eneco.2021.105631</w:t>
      </w:r>
    </w:p>
    <w:p>
      <w:pPr>
        <w:pStyle w:val="Heading1"/>
      </w:pPr>
      <w:r>
        <w:t>061.  A Mismatch in Future Narratives? A Comparative Analysis Between Energy Futures in Policy and of Citizens  (2021)</w:t>
      </w:r>
    </w:p>
    <w:p>
      <w:r>
        <w:t>As (policy) narratives of the future are performative, excluding certain stakeholders' perceptions might lead to energy injustice and could jeopardize the implementation of the energy transition. We identified several future narrative mismatches, which can be distinguished in two main types: (1) opposing mismatches, where policy narratives and narratives of citizens anticipate antagonistic futures, and (2) disconnected mismatches, where the mismatch emerges because narratives do not engage with each other and focus on different issues.</w:t>
      </w:r>
    </w:p>
    <w:p>
      <w:pPr>
        <w:spacing w:after="240"/>
      </w:pPr>
      <w:r>
        <w:rPr>
          <w:b/>
          <w:sz w:val="16"/>
        </w:rPr>
        <w:t xml:space="preserve">ORIGINAL STUDY   </w:t>
      </w:r>
      <w:r>
        <w:rPr>
          <w:sz w:val="16"/>
        </w:rPr>
        <w:t>https://doi.org/10.3389/frsc.2021.654162</w:t>
      </w:r>
    </w:p>
    <w:p>
      <w:pPr>
        <w:pStyle w:val="Heading1"/>
      </w:pPr>
      <w:r>
        <w:t>062.  A look into the future of the COVID-19 pandemic in Europe: an expert consultation  (2021)</w:t>
      </w:r>
    </w:p>
    <w:p>
      <w:r>
        <w:t>The challenges and developments will strongly depend on the progress of national and global vaccination programs, the emergence and spread of variants of concern (VOCs), and public responses to non-pharmaceutical interventions (NPIs). In autumn 2021, increased indoor activity might accelerate the spread again, whilst a necessary reintroduction of NPIs might be too slow.</w:t>
      </w:r>
    </w:p>
    <w:p>
      <w:pPr>
        <w:spacing w:after="240"/>
      </w:pPr>
      <w:r>
        <w:rPr>
          <w:b/>
          <w:sz w:val="16"/>
        </w:rPr>
        <w:t xml:space="preserve">ORIGINAL STUDY   </w:t>
      </w:r>
      <w:r>
        <w:rPr>
          <w:sz w:val="16"/>
        </w:rPr>
        <w:t>https://doi.org/10.1016/j.lanepe.2021.100185</w:t>
      </w:r>
    </w:p>
    <w:p>
      <w:pPr>
        <w:pStyle w:val="Heading1"/>
      </w:pPr>
      <w:r>
        <w:t>063.  Above the Fog and the Fury: EU Strategic Policy Planning and the EU’s Future in Times of Global Uncertainty  (2021)</w:t>
      </w:r>
    </w:p>
    <w:p>
      <w:r>
        <w:t>Put simply, strategic planning and strategic foresight are disciplines that aim at identifying possible futures, mapping options and charting possible responses and strategic goals and as such support informed and sound policy-making.</w:t>
      </w:r>
    </w:p>
    <w:p>
      <w:pPr>
        <w:spacing w:after="240"/>
      </w:pPr>
      <w:r>
        <w:rPr>
          <w:b/>
          <w:sz w:val="16"/>
        </w:rPr>
        <w:t xml:space="preserve">ORIGINAL STUDY   </w:t>
      </w:r>
      <w:r>
        <w:rPr>
          <w:sz w:val="16"/>
        </w:rPr>
        <w:t>https://doi.org/10.54648/eerr2021005</w:t>
      </w:r>
    </w:p>
    <w:p>
      <w:pPr>
        <w:pStyle w:val="Heading1"/>
      </w:pPr>
      <w:r>
        <w:t>064.  Alternative futures for shared mobility systems: impacts on transport planning tools and techniques  (2021)</w:t>
      </w:r>
    </w:p>
    <w:p>
      <w:r>
        <w:t>This paper presents a series of explorative scenarios that provide different contexts for the evolution of urban mobility in Europe, in order to grasp the plausible pathways that shared mobility services will follow in the upcoming decades. The scenarios are adapted from those developed by the climate change research community and are used in a Delphi poll to gather expert visions on how shared mobility services will evolve.</w:t>
      </w:r>
    </w:p>
    <w:p>
      <w:pPr>
        <w:spacing w:after="240"/>
      </w:pPr>
      <w:r>
        <w:rPr>
          <w:b/>
          <w:sz w:val="16"/>
        </w:rPr>
        <w:t xml:space="preserve">ORIGINAL STUDY   </w:t>
      </w:r>
      <w:r>
        <w:rPr>
          <w:sz w:val="16"/>
        </w:rPr>
        <w:t>https://doi.org/10.1016/j.trpro.2021.11.032</w:t>
      </w:r>
    </w:p>
    <w:p>
      <w:pPr>
        <w:pStyle w:val="Heading1"/>
      </w:pPr>
      <w:r>
        <w:t>065.  Anticipatory governance for newcomers: lessons learned from the UK, the Netherlands, Finland, and Korea  (2021)</w:t>
      </w:r>
    </w:p>
    <w:p>
      <w:r>
        <w:t>First, the government should educate and train the public and government officials to promote future literacy and future proficiency .</w:t>
      </w:r>
    </w:p>
    <w:p>
      <w:pPr>
        <w:spacing w:after="240"/>
      </w:pPr>
      <w:r>
        <w:rPr>
          <w:b/>
          <w:sz w:val="16"/>
        </w:rPr>
        <w:t xml:space="preserve">ORIGINAL STUDY   </w:t>
      </w:r>
      <w:r>
        <w:rPr>
          <w:sz w:val="16"/>
        </w:rPr>
        <w:t>https://doi.org/10.1186/s40309-021-00179-y</w:t>
      </w:r>
    </w:p>
    <w:p>
      <w:pPr>
        <w:pStyle w:val="Heading1"/>
      </w:pPr>
      <w:r>
        <w:t>066.  Are Carbon Prices Redundant in the 2030 EU Climate and Energy Policy Package?  (2021)</w:t>
      </w:r>
    </w:p>
    <w:p>
      <w:r>
        <w:t>We demonstrate that a cost-efficient policy that obtains a 50 percent GHG emissions reduction would increase annual welfare (relative to the Reference scenario) by an amount corresponding to 0.6 percent of GDP in Europe. In 2018, an agreement between the key EU institutions—the Commission, the European Parliament, and the European Council—was reached after a long-lasting discourse over the 2030 EU climate and energy policy package.</w:t>
      </w:r>
    </w:p>
    <w:p>
      <w:pPr>
        <w:spacing w:after="240"/>
      </w:pPr>
      <w:r>
        <w:rPr>
          <w:b/>
          <w:sz w:val="16"/>
        </w:rPr>
        <w:t xml:space="preserve">ORIGINAL STUDY   </w:t>
      </w:r>
      <w:r>
        <w:rPr>
          <w:sz w:val="16"/>
        </w:rPr>
        <w:t>https://doi.org/10.5547/01956574.42.3.faun</w:t>
      </w:r>
    </w:p>
    <w:p>
      <w:pPr>
        <w:pStyle w:val="Heading1"/>
      </w:pPr>
      <w:r>
        <w:t>067.  Are the European manufacturing and energy sectors on track for achieving net-zero emissions in 2050? An empirical analysis  (2021)</w:t>
      </w:r>
    </w:p>
    <w:p>
      <w:r>
        <w:t>The findings highlight that achieving net-zero emissions by 2050 will require additional policies that are tailored to super-polluters and also support installations that have not started their decarbonisation pathway. The European Green Deal has established a 2050 net-zero emissions target to tackle climate change.</w:t>
      </w:r>
    </w:p>
    <w:p>
      <w:pPr>
        <w:spacing w:after="240"/>
      </w:pPr>
      <w:r>
        <w:rPr>
          <w:b/>
          <w:sz w:val="16"/>
        </w:rPr>
        <w:t xml:space="preserve">ORIGINAL STUDY   </w:t>
      </w:r>
      <w:r>
        <w:rPr>
          <w:sz w:val="16"/>
        </w:rPr>
        <w:t>https://doi.org/10.1016/j.enpol.2021.112464</w:t>
      </w:r>
    </w:p>
    <w:p>
      <w:pPr>
        <w:pStyle w:val="Heading1"/>
      </w:pPr>
      <w:r>
        <w:t>068.  Assessing Energy Descent Scenarios for the Ecological Transition in Spain 2020–2030  (2021)</w:t>
      </w:r>
    </w:p>
    <w:p>
      <w:r>
        <w:t>We continue with an analysis of two ecological transition scenarios for Spain between 2020 and 2030, Green New Deal and Degrowth. Based on a schematic calculation model defined in “Labor Scenarios in the Ecosocial Transition 2020–2030” report, we evaluate the variations in energy consumption for 86 sectors of economic activity.</w:t>
      </w:r>
    </w:p>
    <w:p>
      <w:pPr>
        <w:spacing w:after="240"/>
      </w:pPr>
      <w:r>
        <w:rPr>
          <w:b/>
          <w:sz w:val="16"/>
        </w:rPr>
        <w:t xml:space="preserve">ORIGINAL STUDY   </w:t>
      </w:r>
      <w:r>
        <w:rPr>
          <w:sz w:val="16"/>
        </w:rPr>
        <w:t>https://doi.org/10.3390/su132111867</w:t>
      </w:r>
    </w:p>
    <w:p>
      <w:pPr>
        <w:pStyle w:val="Heading1"/>
      </w:pPr>
      <w:r>
        <w:t>069.  Boosting the EU forest-based bioeconomy: Market, climate, and employment impacts  (2021)</w:t>
      </w:r>
    </w:p>
    <w:p>
      <w:r>
        <w:t>Further, increased EU imports, resulting in lower consumption of sawnwood outside the EU, would reduce extra-EU long-life HWP carbon storage and substitution of GHG-intensive materials, highlighting the need for concerted international climate change mitigation. The positive EU climate-change mitigation effects of increased carbon storage in harvested wood products (HWP) and material substitution from increased wood\nconstruction are more than offset by reduced net forests carbon sinks by 2030, due to increased EU harvests.</w:t>
      </w:r>
    </w:p>
    <w:p>
      <w:pPr>
        <w:spacing w:after="240"/>
      </w:pPr>
      <w:r>
        <w:rPr>
          <w:b/>
          <w:sz w:val="16"/>
        </w:rPr>
        <w:t xml:space="preserve">ORIGINAL STUDY   </w:t>
      </w:r>
      <w:r>
        <w:rPr>
          <w:sz w:val="16"/>
        </w:rPr>
        <w:t>https://doi.org/10.1016/j.techfore.2020.120478</w:t>
      </w:r>
    </w:p>
    <w:p>
      <w:pPr>
        <w:pStyle w:val="Heading1"/>
      </w:pPr>
      <w:r>
        <w:t>070.  Burden of pancreatic cancer along with attributable risk factors in Europe between 1990 and 2019, and projections until 2039  (2021)</w:t>
      </w:r>
    </w:p>
    <w:p>
      <w:r>
        <w:t>Here, we obtained data from the Global Burden of Disease (GBD) Study between 1990 and 2019, to model how pancreatic cancer will affect the 27 countries of the European Union (EU) plus the United Kingdom (the pre-Brexit EU-28) until 2039 by conducting the Bayesian age-period-cohort analysis. In conclusion, a substantial increase in counts of incidence, mortality and DALYs lost of pancreatic cancer in the EU-28 is projected over the next two decades, which indicates the need for future health policies and interventions.</w:t>
      </w:r>
    </w:p>
    <w:p>
      <w:pPr>
        <w:spacing w:after="240"/>
      </w:pPr>
      <w:r>
        <w:rPr>
          <w:b/>
          <w:sz w:val="16"/>
        </w:rPr>
        <w:t xml:space="preserve">ORIGINAL STUDY   </w:t>
      </w:r>
      <w:r>
        <w:rPr>
          <w:sz w:val="16"/>
        </w:rPr>
        <w:t>https://doi.org/10.1002/ijc.33617</w:t>
      </w:r>
    </w:p>
    <w:p>
      <w:pPr>
        <w:pStyle w:val="Heading1"/>
      </w:pPr>
      <w:r>
        <w:t>071.  COVID-19 and European maritime futures: different pathways to deal with the pandemic  (2021)</w:t>
      </w:r>
    </w:p>
    <w:p>
      <w:r>
        <w:t>The maritime futures give insight into the enabling and constraining conditions to deal with the aftermath of the COVID-19 pandemic in specific, and how the maritime futures will affect the sustainable development of maritime sectors in general.</w:t>
      </w:r>
    </w:p>
    <w:p>
      <w:pPr>
        <w:spacing w:after="240"/>
      </w:pPr>
      <w:r>
        <w:rPr>
          <w:b/>
          <w:sz w:val="16"/>
        </w:rPr>
        <w:t xml:space="preserve">ORIGINAL STUDY   </w:t>
      </w:r>
      <w:r>
        <w:rPr>
          <w:sz w:val="16"/>
        </w:rPr>
        <w:t>https://doi.org/10.1007/s40152-021-00216-3</w:t>
      </w:r>
    </w:p>
    <w:p>
      <w:pPr>
        <w:pStyle w:val="Heading1"/>
      </w:pPr>
      <w:r>
        <w:t>072.  CROATIAN RURAL FUTURES IN 2030: FOUR ALTERNATIVE SCENARIOS FOR POSTSOCIALIST COUNTRYSIDE IN THE NEWEST E.U. MEMBER STATE  (2021)</w:t>
      </w:r>
    </w:p>
    <w:p>
      <w:r>
        <w:t>The aim of this research is to construct alternative scenarios for rural Croatia in 2030, acknowledging its postsocialist transition as an important framework. Four scenarios were developed: Rural Renaissance, Shift, Road to Nowhere, and Growth without Development.</w:t>
      </w:r>
    </w:p>
    <w:p>
      <w:pPr>
        <w:spacing w:after="240"/>
      </w:pPr>
      <w:r>
        <w:rPr>
          <w:b/>
          <w:sz w:val="16"/>
        </w:rPr>
        <w:t xml:space="preserve">ORIGINAL STUDY   </w:t>
      </w:r>
      <w:r>
        <w:rPr>
          <w:sz w:val="16"/>
        </w:rPr>
        <w:t>https://doi.org/10.1080/00167428.2020.1871298</w:t>
      </w:r>
    </w:p>
    <w:p>
      <w:pPr>
        <w:pStyle w:val="Heading1"/>
      </w:pPr>
      <w:r>
        <w:t>073.  Charging the future: Roadmaps and value tensions for mainstreaming prosumerism to 2030 and 2050  (2021)</w:t>
      </w:r>
    </w:p>
    <w:p>
      <w:r>
        <w:t>Third, we highlight three key value tensions which underlie these leverage points, and for which value prioritisations will need to be made.</w:t>
      </w:r>
    </w:p>
    <w:p>
      <w:pPr>
        <w:spacing w:after="240"/>
      </w:pPr>
      <w:r>
        <w:rPr>
          <w:b/>
          <w:sz w:val="16"/>
        </w:rPr>
        <w:t xml:space="preserve">ORIGINAL STUDY   </w:t>
      </w:r>
      <w:r>
        <w:rPr>
          <w:sz w:val="16"/>
        </w:rPr>
        <w:t>https://doi.org/10.5281/zenodo.4568679</w:t>
      </w:r>
    </w:p>
    <w:p>
      <w:pPr>
        <w:pStyle w:val="Heading1"/>
      </w:pPr>
      <w:r>
        <w:t>074.  Conducting pre-foresight research: organizational aspect  (2021)</w:t>
      </w:r>
    </w:p>
    <w:p>
      <w:r>
        <w:t>The purpose of this publication is a detailed study and analysis of the organisation of pre-foresight research in terms of the formation of informational, communicative, and methodological components of the pre-foresight stage, as well as recommendations for measures to improve the effectiveness of national foresight as a tool for long-term development in the country.</w:t>
      </w:r>
    </w:p>
    <w:p>
      <w:pPr>
        <w:spacing w:after="240"/>
      </w:pPr>
      <w:r>
        <w:rPr>
          <w:b/>
          <w:sz w:val="16"/>
        </w:rPr>
        <w:t xml:space="preserve">ORIGINAL STUDY   </w:t>
      </w:r>
      <w:r>
        <w:rPr>
          <w:sz w:val="16"/>
        </w:rPr>
        <w:t>https://doi.org/10.15407/socium2021.02.026</w:t>
      </w:r>
    </w:p>
    <w:p>
      <w:pPr>
        <w:pStyle w:val="Heading1"/>
      </w:pPr>
      <w:r>
        <w:t>075.  Conservation biology research priorities for 2050: A Central-Eastern European perspective  (2021)</w:t>
      </w:r>
    </w:p>
    <w:p>
      <w:r>
        <w:t>We used the possible future statements from the Hungarian Environmental Foresight Report for 2050 which identified region-specific problems. To highlight likely future environmental and conservation questions, in this study we asked researchers from the fields of ecology and conservation to define research questions addressing these future statements in line with international research trends and challenges.</w:t>
      </w:r>
    </w:p>
    <w:p>
      <w:pPr>
        <w:spacing w:after="240"/>
      </w:pPr>
      <w:r>
        <w:rPr>
          <w:b/>
          <w:sz w:val="16"/>
        </w:rPr>
        <w:t xml:space="preserve">ORIGINAL STUDY   </w:t>
      </w:r>
      <w:r>
        <w:rPr>
          <w:sz w:val="16"/>
        </w:rPr>
        <w:t>https://doi.org/10.1016/j.biocon.2021.109396</w:t>
      </w:r>
    </w:p>
    <w:p>
      <w:pPr>
        <w:pStyle w:val="Heading1"/>
      </w:pPr>
      <w:r>
        <w:t>076.  Cross-border climate vulnerabilities of the European Union to drought  (2021)</w:t>
      </w:r>
    </w:p>
    <w:p>
      <w:r>
        <w:t>The drought severity in production locations of the agricultural imports in 2050 will increase by 35% compared to current levels of drought severity. We quantify these climate vulnerabilities with a focus on drought risk and assessed them for 2030, 2050, 2085 and for RCP 2.6 and 6.0 climate scenarios.</w:t>
      </w:r>
    </w:p>
    <w:p>
      <w:pPr>
        <w:spacing w:after="240"/>
      </w:pPr>
      <w:r>
        <w:rPr>
          <w:b/>
          <w:sz w:val="16"/>
        </w:rPr>
        <w:t xml:space="preserve">ORIGINAL STUDY   </w:t>
      </w:r>
      <w:r>
        <w:rPr>
          <w:sz w:val="16"/>
        </w:rPr>
        <w:t>https://doi.org/10.1038/s41467-021-23584-0</w:t>
      </w:r>
    </w:p>
    <w:p>
      <w:pPr>
        <w:pStyle w:val="Heading1"/>
      </w:pPr>
      <w:r>
        <w:t>077.  Decoupling transport-related greenhouse gas emissions and economic growth in the European Union countries  (2021)</w:t>
      </w:r>
    </w:p>
    <w:p>
      <w:r>
        <w:t>As the European Union declares its ambition to become the first climate-neutral continent by 2050, it is more than important to monitor and analyse developments in greenhouse gas emissions in individual sectors, including transport.The paper aims to assess using the decoupling method, the relationship between transport-related greenhouse gas emissions and the economic growth of the EU countries.The results indicate that the countries achieved different stages of decoupling within the individual monitored periods, with relative decoupling (55%) and absolute decoupling (34%) being the most common.However, in the long run (20 year study period 1997-2017), only 8 countries achieved absolute (strong) decoupling, which does not seem to be sufficient in the pursuit of the EU´s ambitious climate mitigation targets.</w:t>
      </w:r>
    </w:p>
    <w:p>
      <w:pPr>
        <w:spacing w:after="240"/>
      </w:pPr>
      <w:r>
        <w:rPr>
          <w:b/>
          <w:sz w:val="16"/>
        </w:rPr>
        <w:t xml:space="preserve">ORIGINAL STUDY   </w:t>
      </w:r>
      <w:r>
        <w:rPr>
          <w:sz w:val="16"/>
        </w:rPr>
        <w:t>https://doi.org/10.13044/j.sdewes.d9.0411</w:t>
      </w:r>
    </w:p>
    <w:p>
      <w:pPr>
        <w:pStyle w:val="Heading1"/>
      </w:pPr>
      <w:r>
        <w:t>078.  Designing health system scenarios at the national level  (2021)</w:t>
      </w:r>
    </w:p>
    <w:p>
      <w:r>
        <w:t>Materials and Methods:In this study, using in-depth interview tools and a questionnaire governing the Maktor software with 25 health system experts in the 2019 and relying on the process of scriptwriting at the University of Norway in four steps of analyzing trends and actors in the field of health as The first step is to determine the drivers as the second step, the development of scenarios as the third step, and finally the evaluation and strategic recommendation as the fourth step to design the scenarios of the health system at the national level.Results: The findings include four scenarios.The goal of the first scenario as a desirable scenario, Equity in the collective dimension and wellbeing in the individual dimension, in the second scenario as a possible scenario, the goal of that Equity in the collective dimension and ignoring wellbeing in the individual dimension, in the third scenario as a possible scenario goal of wellbeing in the dimension Individual and neglect of Equity in the collective dimension, and finally the fourth scenario as a scenario of disaster in which there is neither wellbeing in the individual dimension nor Equity in the collective dimension.Conclusion: In order to move away from the disaster scenario and approach the desired scenario, the country's health system needs to change the paradigm from therapist to caregiver in such a way that multiple care promotes health, disease prevention, and treatment.Diseases and rehabilitation are integrated and, in this integration, the most important policy will be health promotion.</w:t>
      </w:r>
    </w:p>
    <w:p>
      <w:pPr>
        <w:spacing w:after="240"/>
      </w:pPr>
      <w:r>
        <w:rPr>
          <w:b/>
          <w:sz w:val="16"/>
        </w:rPr>
        <w:t xml:space="preserve">ORIGINAL STUDY   </w:t>
      </w:r>
      <w:r>
        <w:rPr>
          <w:sz w:val="16"/>
        </w:rPr>
        <w:t>https://doi.org/10.52547/ijhehp.9.3.296</w:t>
      </w:r>
    </w:p>
    <w:p>
      <w:pPr>
        <w:pStyle w:val="Heading1"/>
      </w:pPr>
      <w:r>
        <w:t>079.  Disaggregation of official demographic projections in sub-groups by education level: the neglected “composition effect” in the future path of life expectancy  (2021)</w:t>
      </w:r>
    </w:p>
    <w:p>
      <w:r>
        <w:t>We provide a set of different scenarios on the convergence/divergence of the mortality differential between the high and low education groups. For instance, assuming stability in the mortality differential, we estimated a life expectancy increase at age 65 of 2.9 and 2.6 years for men, and 3.2 and 3.1 for women, in the low and high education groups, respectively, over the whole projection period.</w:t>
      </w:r>
    </w:p>
    <w:p>
      <w:pPr>
        <w:spacing w:after="240"/>
      </w:pPr>
      <w:r>
        <w:rPr>
          <w:b/>
          <w:sz w:val="16"/>
        </w:rPr>
        <w:t xml:space="preserve">ORIGINAL STUDY   </w:t>
      </w:r>
      <w:r>
        <w:rPr>
          <w:sz w:val="16"/>
        </w:rPr>
        <w:t>https://doi.org/10.1186/s41118-020-00113-3</w:t>
      </w:r>
    </w:p>
    <w:p>
      <w:pPr>
        <w:pStyle w:val="Heading1"/>
      </w:pPr>
      <w:r>
        <w:t>080.  EFFECTS OF HYDROGEN PRODUCTION ON ECONOMIC GROWTH IN THE EUROPEAN UNION  (2021)</w:t>
      </w:r>
    </w:p>
    <w:p>
      <w:r>
        <w:t>In this article the author presents some aspects of the hydrogen market, this fuel is essential to support the European Union’s commitment to achieving climate neutrality by 2050. Decarbonisation leads to a significant increase in the role of electricity, which can cover the demand of over 50% of final energy by 2050, compared to about 20% today.</w:t>
      </w:r>
    </w:p>
    <w:p>
      <w:pPr>
        <w:spacing w:after="240"/>
      </w:pPr>
      <w:r>
        <w:rPr>
          <w:b/>
          <w:sz w:val="16"/>
        </w:rPr>
        <w:t xml:space="preserve">ORIGINAL STUDY   </w:t>
      </w:r>
      <w:r>
        <w:rPr>
          <w:sz w:val="16"/>
        </w:rPr>
        <w:t>https://doi.org/10.47535/1991auoes30(2)003</w:t>
      </w:r>
    </w:p>
    <w:p>
      <w:pPr>
        <w:pStyle w:val="Heading1"/>
      </w:pPr>
      <w:r>
        <w:t>081.  EU climate and energy governance in times of crisis: towards a new agenda  (2021)</w:t>
      </w:r>
    </w:p>
    <w:p>
      <w:r>
        <w:t>As the EU seeks to fully decarbonise itself by 2050, interactions with the crisis trends are likely to intensify in ways which future research could fruitfully investigate.</w:t>
      </w:r>
    </w:p>
    <w:p>
      <w:pPr>
        <w:spacing w:after="240"/>
      </w:pPr>
      <w:r>
        <w:rPr>
          <w:b/>
          <w:sz w:val="16"/>
        </w:rPr>
        <w:t xml:space="preserve">ORIGINAL STUDY   </w:t>
      </w:r>
      <w:r>
        <w:rPr>
          <w:sz w:val="16"/>
        </w:rPr>
        <w:t>https://doi.org/10.1080/13501763.2021.1918221</w:t>
      </w:r>
    </w:p>
    <w:p>
      <w:pPr>
        <w:pStyle w:val="Heading1"/>
      </w:pPr>
      <w:r>
        <w:t>082.  EUROPEAN UNION STRATEGIC AUTONOMY IN THE CONTEXT OF THE CONFERENCE ON THE FUTURE OF EUROPE  (2021)</w:t>
      </w:r>
    </w:p>
    <w:p>
      <w:r>
        <w:t>The main goal of this paper is to discuss the need for EU to achieve strategic autonomy in the upcoming years and shed light on how this concept is shaping EU's future.The question underpinning this research is focused on the reasons why strengthening EU's strategic autonomy matters so much in shaping said future.Strategic autonomy cannot be limited only to security and defense, as many more fields need to embed this concept in 2021.In this sense, the paper does not address directly the complementarity with NATO and the defense and security dimension of strategic autonomy, but rather focuses on the political and economic implications of EU's strategic autonomy.Also, as more global actors begin to review their dependencies and try to identify alternatives, especially after the Covid-19 crisis, a more in-depth and a multi-pronged approach is required in relation to the geopolitical interests of external actors and their impact on creating a stronger European strategic autonomy.The paper also addresses the idea that the strategic autonomy is rather a question of survival of the European project, otherwise EU is running the risk of becoming irrelevant in the event that its "weight" and economic power in the world would diminish to worrying levels.Thirty years ago, EU represented 25% of the global wealth.It is foreseen that in 20 years, EU will not represent more than 11% of the world's GNP, far behind China and the US.Ultimately, the paper focuses on the compelling role the EU needs to take as a global leading leader in order to protect and promote its values and interests worldwide and to address the current geopolitical challenges.There is no better starting point for this than to engage in an extensive and inclusive dialogue with the citizens about the way ahead, and the Conference on the Future of the EU seems to be the appropriate platform.The topics of the Conference included amongst other, climate change, jobs and economy, EU's role in the world, or digitalization issues.In other words, every priority that needs to adapted to the logic of strategic autonomy and help EU build a stronger profile in the global landscape.</w:t>
      </w:r>
    </w:p>
    <w:p>
      <w:pPr>
        <w:spacing w:after="240"/>
      </w:pPr>
      <w:r>
        <w:rPr>
          <w:b/>
          <w:sz w:val="16"/>
        </w:rPr>
        <w:t xml:space="preserve">ORIGINAL STUDY   </w:t>
      </w:r>
      <w:r>
        <w:rPr>
          <w:sz w:val="16"/>
        </w:rPr>
        <w:t>https://doi.org/10.61801/auoc-sp.2021.04</w:t>
      </w:r>
    </w:p>
    <w:p>
      <w:pPr>
        <w:pStyle w:val="Heading1"/>
      </w:pPr>
      <w:r>
        <w:t>083.  Electricity Spot Market Design 2030-2050  (2021)</w:t>
      </w:r>
    </w:p>
    <w:p>
      <w:r>
        <w:t>The German government plans that even before the year 2050, all electricity generated and consumed in Germany should be greenhouse gas neutral [1].</w:t>
      </w:r>
    </w:p>
    <w:p>
      <w:pPr>
        <w:spacing w:after="240"/>
      </w:pPr>
      <w:r>
        <w:rPr>
          <w:b/>
          <w:sz w:val="16"/>
        </w:rPr>
        <w:t xml:space="preserve">ORIGINAL STUDY   </w:t>
      </w:r>
      <w:r>
        <w:rPr>
          <w:sz w:val="16"/>
        </w:rPr>
        <w:t>https://doi.org/10.24406/fit-n-621457</w:t>
      </w:r>
    </w:p>
    <w:p>
      <w:pPr>
        <w:pStyle w:val="Heading1"/>
      </w:pPr>
      <w:r>
        <w:t>084.  Energy Efficiency Vision 2050: How will new societal trends influence future energy demand in the European countries?  (2021)</w:t>
      </w:r>
    </w:p>
    <w:p>
      <w:r>
        <w:t>While in the “Worst Case” scenario, they could increase final energy demand by 40%. Based on these, four energy demand scenarios were developed for 2050.</w:t>
      </w:r>
    </w:p>
    <w:p>
      <w:pPr>
        <w:spacing w:after="240"/>
      </w:pPr>
      <w:r>
        <w:rPr>
          <w:b/>
          <w:sz w:val="16"/>
        </w:rPr>
        <w:t xml:space="preserve">ORIGINAL STUDY   </w:t>
      </w:r>
      <w:r>
        <w:rPr>
          <w:sz w:val="16"/>
        </w:rPr>
        <w:t>https://doi.org/10.1016/j.enpol.2021.112216</w:t>
      </w:r>
    </w:p>
    <w:p>
      <w:pPr>
        <w:pStyle w:val="Heading1"/>
      </w:pPr>
      <w:r>
        <w:t>085.  Energy Portfolio of the Eastern Poland Macroregion in the European Union  (2021)</w:t>
      </w:r>
    </w:p>
    <w:p>
      <w:r>
        <w:t>It is predicted that by 2030, the following sources will change their positions within the portfolio for the Eastern Poland macroregion: solar energy, wind energy and bioenergy. The aim of this article is to identify the conditions and reasons for the transformation of the energy portfolio of the Eastern Poland macroregion, and to define the directions of the energy portfolio evolution caused by the need to implement the goals of the European Green Deal by 2030, in order to consequently develop the forecast energy portfolio for the Eastern Poland macroregion.</w:t>
      </w:r>
    </w:p>
    <w:p>
      <w:pPr>
        <w:spacing w:after="240"/>
      </w:pPr>
      <w:r>
        <w:rPr>
          <w:b/>
          <w:sz w:val="16"/>
        </w:rPr>
        <w:t xml:space="preserve">ORIGINAL STUDY   </w:t>
      </w:r>
      <w:r>
        <w:rPr>
          <w:sz w:val="16"/>
        </w:rPr>
        <w:t>https://doi.org/10.3390/en14248426</w:t>
      </w:r>
    </w:p>
    <w:p>
      <w:pPr>
        <w:pStyle w:val="Heading1"/>
      </w:pPr>
      <w:r>
        <w:t>086.  Energy transition scenarios: What policies, societal attitudes, and technology developments will realize the EU Green Deal?  (2021)</w:t>
      </w:r>
    </w:p>
    <w:p>
      <w:r>
        <w:t>Through analyzing four pathways (shaped by the crossroads of policy-technology-society developments), results indicate that high electrification rates are imminent to achieve a rapid decarbonization. In this paper, we present an original set of future storylines until the year 2050 to inspire modelers, policy makers, industry actors, and the public to understand: Without technological developments in the next decades, to what extent can we rely on societal commitment or stronger cooperation within the EU to achieve climate targets?</w:t>
      </w:r>
    </w:p>
    <w:p>
      <w:pPr>
        <w:spacing w:after="240"/>
      </w:pPr>
      <w:r>
        <w:rPr>
          <w:b/>
          <w:sz w:val="16"/>
        </w:rPr>
        <w:t xml:space="preserve">ORIGINAL STUDY   </w:t>
      </w:r>
      <w:r>
        <w:rPr>
          <w:sz w:val="16"/>
        </w:rPr>
        <w:t>https://doi.org/10.1016/j.energy.2021.122067</w:t>
      </w:r>
    </w:p>
    <w:p>
      <w:pPr>
        <w:pStyle w:val="Heading1"/>
      </w:pPr>
      <w:r>
        <w:t>087.  European carbon storage resource requirements of climate change mitigation targets  (2021)</w:t>
      </w:r>
    </w:p>
    <w:p>
      <w:r>
        <w:t>As a part of climate change mitigation plans in Europe, CO2 storage scenarios have been reported for the United Kingdom and the European Union with injection rates reaching 75 – 330 MtCO2 yr-1 by 2050. We further demonstrate the use of the models to define 2050 rate targets within conservative bounds of both growth rate and storage resource needs.</w:t>
      </w:r>
    </w:p>
    <w:p>
      <w:pPr>
        <w:spacing w:after="240"/>
      </w:pPr>
      <w:r>
        <w:rPr>
          <w:b/>
          <w:sz w:val="16"/>
        </w:rPr>
        <w:t xml:space="preserve">ORIGINAL STUDY   </w:t>
      </w:r>
      <w:r>
        <w:rPr>
          <w:sz w:val="16"/>
        </w:rPr>
        <w:t>https://doi.org/10.1016/j.ijggc.2021.103568</w:t>
      </w:r>
    </w:p>
    <w:p>
      <w:pPr>
        <w:pStyle w:val="Heading1"/>
      </w:pPr>
      <w:r>
        <w:t>088.  European cephalopods distribution under climate-change scenarios  (2021)</w:t>
      </w:r>
    </w:p>
    <w:p>
      <w:r>
        <w:t>Conversely, we projected a rapidly increasing environmental suitability in the North, Norwegian and Baltic Seas for all species. Despite their major economical (i.e. important fisheries) and ecological (i.e. central position in food-webs) importance, cephalopods literature rarely addresses an explicit understanding of their current distribution and the potential effect that climate change may induce in the following decades.</w:t>
      </w:r>
    </w:p>
    <w:p>
      <w:pPr>
        <w:spacing w:after="240"/>
      </w:pPr>
      <w:r>
        <w:rPr>
          <w:b/>
          <w:sz w:val="16"/>
        </w:rPr>
        <w:t xml:space="preserve">ORIGINAL STUDY   </w:t>
      </w:r>
      <w:r>
        <w:rPr>
          <w:sz w:val="16"/>
        </w:rPr>
        <w:t>https://doi.org/10.1038/s41598-021-83457-w</w:t>
      </w:r>
    </w:p>
    <w:p>
      <w:pPr>
        <w:pStyle w:val="Heading1"/>
      </w:pPr>
      <w:r>
        <w:t>089.  Fiscal foresighting: analysis of researches  (2021)</w:t>
      </w:r>
    </w:p>
    <w:p>
      <w:r>
        <w:t>The objective of the paper is to analyse theoretical aspects of fiscal foresight, as well as foreign and national experience in fiscal foresights’ preparation to identify long-term factors and indicators that will have a significant impact (both positive and negative) on a fiscal system in a distant future. Based on the results of the analysis of the "National Economic Strategy for the Period up to 2030", it was established that the actions indicated in the Strategy can become the initial data for the development of the first national fiscal foresight as a basis for assessing the long-term sustainability of the current fiscal system , identifying opportunities and risks of transformations of the fiscal policy of Ukraine under the influence of megatrends and intrastate changes associated with the peculiarities of the country's socio-economic development.</w:t>
      </w:r>
    </w:p>
    <w:p>
      <w:pPr>
        <w:spacing w:after="240"/>
      </w:pPr>
      <w:r>
        <w:rPr>
          <w:b/>
          <w:sz w:val="16"/>
        </w:rPr>
        <w:t xml:space="preserve">ORIGINAL STUDY   </w:t>
      </w:r>
      <w:r>
        <w:rPr>
          <w:sz w:val="16"/>
        </w:rPr>
        <w:t>https://doi.org/10.15407/econindustry2021.02.071</w:t>
      </w:r>
    </w:p>
    <w:p>
      <w:pPr>
        <w:pStyle w:val="Heading1"/>
      </w:pPr>
      <w:r>
        <w:t>090.  Five transition pathways to renewable energy futures—scenarios from a Delphi study on key drivers and policy options  (2021)</w:t>
      </w:r>
    </w:p>
    <w:p>
      <w:r>
        <w:t>In this article, five energy scenarios are presented for Finland until 2030. It is therefore important to anticipate probable, preferable, or avoidable future paths that will contribute to the discussion of the direction and conditions of such futures.</w:t>
      </w:r>
    </w:p>
    <w:p>
      <w:pPr>
        <w:spacing w:after="240"/>
      </w:pPr>
      <w:r>
        <w:rPr>
          <w:b/>
          <w:sz w:val="16"/>
        </w:rPr>
        <w:t xml:space="preserve">ORIGINAL STUDY   </w:t>
      </w:r>
      <w:r>
        <w:rPr>
          <w:sz w:val="16"/>
        </w:rPr>
        <w:t>https://doi.org/10.1186/s40309-021-00185-0</w:t>
      </w:r>
    </w:p>
    <w:p>
      <w:pPr>
        <w:pStyle w:val="Heading1"/>
      </w:pPr>
      <w:r>
        <w:t>091.  Foresight as a tool of public administration in the field of science, technology and innovation  (2021)</w:t>
      </w:r>
    </w:p>
    <w:p>
      <w:r>
        <w:t>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w:t>
      </w:r>
    </w:p>
    <w:p>
      <w:pPr>
        <w:spacing w:after="240"/>
      </w:pPr>
      <w:r>
        <w:rPr>
          <w:b/>
          <w:sz w:val="16"/>
        </w:rPr>
        <w:t xml:space="preserve">ORIGINAL STUDY   </w:t>
      </w:r>
      <w:r>
        <w:rPr>
          <w:sz w:val="16"/>
        </w:rPr>
        <w:t>https://doi.org/10.23939/eem2021.01.090</w:t>
      </w:r>
    </w:p>
    <w:p>
      <w:pPr>
        <w:pStyle w:val="Heading1"/>
      </w:pPr>
      <w:r>
        <w:t>092.  Future Low-Carbon Transport Scenarios: Practice Theory-Based Visioning for Backcasting Studies  (2021)</w:t>
      </w:r>
    </w:p>
    <w:p>
      <w:r>
        <w:t>The visioning exercise resulted in the development of four different scenarios: the business-as-usual scenario and three alternative scenarios for transport in 2050 in Malta; High-Tech Mobility (with a focus on clean technology); Local Mobility (with more local travel and reducing the need to travel over longer distances); and Green and Active Mobility (where active forms of travel are prioritised over motorised forms of transport). The visioning phase, which involves the construction of a set of scenarios describing alternative futures, is the first phase in backcasting, and engaging different stakeholders during the visioning phase is considered an important aspect in transport studies.</w:t>
      </w:r>
    </w:p>
    <w:p>
      <w:pPr>
        <w:spacing w:after="240"/>
      </w:pPr>
      <w:r>
        <w:rPr>
          <w:b/>
          <w:sz w:val="16"/>
        </w:rPr>
        <w:t xml:space="preserve">ORIGINAL STUDY   </w:t>
      </w:r>
      <w:r>
        <w:rPr>
          <w:sz w:val="16"/>
        </w:rPr>
        <w:t>https://doi.org/10.3390/su14010074</w:t>
      </w:r>
    </w:p>
    <w:p>
      <w:pPr>
        <w:pStyle w:val="Heading1"/>
      </w:pPr>
      <w:r>
        <w:t>093.  Future Precipitation Scenarios over Italy  (2021)</w:t>
      </w:r>
    </w:p>
    <w:p>
      <w:r>
        <w:t>After filtering the models with limited performances in reconstructing the current climate, the multi-model climate change scenarios were characterized by comparing the ensemble mean values computed for the base-line period (1971–2000) with those elaborated for the short- (2021–2050), medium- (2041–2070) and long-term (2071–2100). The investigations are made on the basis of a set of high-resolution Euro-CORDEX models (horizontal resolution 0.11°, about 12 km) to infer quantitative assessments about the danger of climate changes under three different Representative Concentration Pathways (RCPs): business as usual scenario, i.e., without a reduction in green-house gas emissions (RCP 8.5), medium stabilization scenario (RCP 4.5) and mitigation scenario (RCP 2.6).</w:t>
      </w:r>
    </w:p>
    <w:p>
      <w:pPr>
        <w:spacing w:after="240"/>
      </w:pPr>
      <w:r>
        <w:rPr>
          <w:b/>
          <w:sz w:val="16"/>
        </w:rPr>
        <w:t xml:space="preserve">ORIGINAL STUDY   </w:t>
      </w:r>
      <w:r>
        <w:rPr>
          <w:sz w:val="16"/>
        </w:rPr>
        <w:t>https://doi.org/10.3390/w13101335</w:t>
      </w:r>
    </w:p>
    <w:p>
      <w:pPr>
        <w:pStyle w:val="Heading1"/>
      </w:pPr>
      <w:r>
        <w:t>094.  Future Projections of Heat Mortality Risk for Major European Cities  (2021)</w:t>
      </w:r>
    </w:p>
    <w:p>
      <w:r>
        <w:t>On average, our results indicate that the mortality risk trend is almost twice as high in all three countries for the RCP8.5 scenario compared to RCP2.6. Our results suggest a significant increase of heat mortality in the future, especially in Spain.</w:t>
      </w:r>
    </w:p>
    <w:p>
      <w:pPr>
        <w:spacing w:after="240"/>
      </w:pPr>
      <w:r>
        <w:rPr>
          <w:b/>
          <w:sz w:val="16"/>
        </w:rPr>
        <w:t xml:space="preserve">ORIGINAL STUDY   </w:t>
      </w:r>
      <w:r>
        <w:rPr>
          <w:sz w:val="16"/>
        </w:rPr>
        <w:t>https://doi.org/10.1175/wcas-d-20-0142.1</w:t>
      </w:r>
    </w:p>
    <w:p>
      <w:pPr>
        <w:pStyle w:val="Heading1"/>
      </w:pPr>
      <w:r>
        <w:t>095.  Future export markets of industrial wood construction – A qualitative backcasting study  (2021)</w:t>
      </w:r>
    </w:p>
    <w:p>
      <w:r>
        <w:t>The aim is to identify promising export markets for Finland, and to identify required pathways by 2030. A qualitative participatory backcasting method was applied to explore the future visions of the industrial wood construction (IWC) sector and its export markets, as well as the pathways from the current towards the envisioned future.</w:t>
      </w:r>
    </w:p>
    <w:p>
      <w:pPr>
        <w:spacing w:after="240"/>
      </w:pPr>
      <w:r>
        <w:rPr>
          <w:b/>
          <w:sz w:val="16"/>
        </w:rPr>
        <w:t xml:space="preserve">ORIGINAL STUDY   </w:t>
      </w:r>
      <w:r>
        <w:rPr>
          <w:sz w:val="16"/>
        </w:rPr>
        <w:t>https://doi.org/10.1016/j.forpol.2021.102480</w:t>
      </w:r>
    </w:p>
    <w:p>
      <w:pPr>
        <w:pStyle w:val="Heading1"/>
      </w:pPr>
      <w:r>
        <w:t>096.  Hydrogen in the Strategies of the European Union Member States  (2021)</w:t>
      </w:r>
    </w:p>
    <w:p>
      <w:r>
        <w:t>By 2030, some of the countries plan to become a leader not only in the field of hydrogen production or RES development aimed at this process but also in the areas of research and development (R&amp;D), sales of new technologies, and international cooperation. The analysis of the future of hydrogen energy, which is an essential component of transforming the economy into an environmentally neutral one, is an integral part of the strategies of the European Union (EU) Member States.</w:t>
      </w:r>
    </w:p>
    <w:p>
      <w:pPr>
        <w:spacing w:after="240"/>
      </w:pPr>
      <w:r>
        <w:rPr>
          <w:b/>
          <w:sz w:val="16"/>
        </w:rPr>
        <w:t xml:space="preserve">ORIGINAL STUDY   </w:t>
      </w:r>
      <w:r>
        <w:rPr>
          <w:sz w:val="16"/>
        </w:rPr>
        <w:t>https://doi.org/10.24425/gsm.2021.138660</w:t>
      </w:r>
    </w:p>
    <w:p>
      <w:pPr>
        <w:pStyle w:val="Heading1"/>
      </w:pPr>
      <w:r>
        <w:t>097.  Imagining the future with citizens: participatory foresight and democratic policy design in Marcoussis, France  (2021)</w:t>
      </w:r>
    </w:p>
    <w:p>
      <w:r>
        <w:t>We will see in the preliminary part of this paper, the many challenges that undermine not only the functioning of democratic processes but also the citizens’ role and sense of agency in the governance of the society they live in, as well as the role of elected officials and experts regarding agenda-setting, then we will look into the lack of future thinking not only in the political sphere but also the educational and social practices, analyze the values of participatory processes and its potential limits and risks and finally review an experimental case of participatory foresight and policy design from the small town of Marcoussis (France) which successfully conducted a participatory agenda-setting experiment—and voted—after a 2 years-long process, their local agenda for the future together with its inhabitants, civil servants and elected officials.</w:t>
      </w:r>
    </w:p>
    <w:p>
      <w:pPr>
        <w:spacing w:after="240"/>
      </w:pPr>
      <w:r>
        <w:rPr>
          <w:b/>
          <w:sz w:val="16"/>
        </w:rPr>
        <w:t xml:space="preserve">ORIGINAL STUDY   </w:t>
      </w:r>
      <w:r>
        <w:rPr>
          <w:sz w:val="16"/>
        </w:rPr>
        <w:t>https://doi.org/10.1080/25741292.2021.1930687</w:t>
      </w:r>
    </w:p>
    <w:p>
      <w:pPr>
        <w:pStyle w:val="Heading1"/>
      </w:pPr>
      <w:r>
        <w:t>098.  Impact of Quasi‐Idealized Future Land Cover Scenarios at High Latitudes in Complex Terrain  (2021)</w:t>
      </w:r>
    </w:p>
    <w:p>
      <w:r>
        <w:t>This study uses the Weather Research and Forecasting model to investigate the biogeophysical impacts of different forestry scenarios on the local‐to‐regional climate of Norway. This suggests that implementing current afforestation policies for climate mitigation in Norway may adversely exacerbate some effects of global warming locally while mitigating others.</w:t>
      </w:r>
    </w:p>
    <w:p>
      <w:pPr>
        <w:spacing w:after="240"/>
      </w:pPr>
      <w:r>
        <w:rPr>
          <w:b/>
          <w:sz w:val="16"/>
        </w:rPr>
        <w:t xml:space="preserve">ORIGINAL STUDY   </w:t>
      </w:r>
      <w:r>
        <w:rPr>
          <w:sz w:val="16"/>
        </w:rPr>
        <w:t>https://doi.org/10.1029/2020ef001838</w:t>
      </w:r>
    </w:p>
    <w:p>
      <w:pPr>
        <w:pStyle w:val="Heading1"/>
      </w:pPr>
      <w:r>
        <w:t>099.  Implementation of the 2030 sustainable development goals - affordable and clean energy in the European Union  (2021)</w:t>
      </w:r>
    </w:p>
    <w:p>
      <w:r>
        <w:t>In order to be able to predict how the analysed phenomena will develop until 2030, the authors built forecasts. They also allowed the designation of scenarios for the potential development of the analysed indicators.</w:t>
      </w:r>
    </w:p>
    <w:p>
      <w:pPr>
        <w:spacing w:after="240"/>
      </w:pPr>
      <w:r>
        <w:rPr>
          <w:b/>
          <w:sz w:val="16"/>
        </w:rPr>
        <w:t xml:space="preserve">ORIGINAL STUDY   </w:t>
      </w:r>
      <w:r>
        <w:rPr>
          <w:sz w:val="16"/>
        </w:rPr>
        <w:t>https://doi.org/10.1088/1755-1315/906/1/012017</w:t>
      </w:r>
    </w:p>
    <w:p>
      <w:pPr>
        <w:pStyle w:val="Heading1"/>
      </w:pPr>
      <w:r>
        <w:t>100.  Integrated assessment of the role of bioenergy within the EU energy transition targets to 2050  (2021)</w:t>
      </w:r>
    </w:p>
    <w:p>
      <w:r>
        <w:t>Bioenergy could provide up to 1GtCO2 or 40% of the overall mitigation needed by the EU in 2050. We use the global integrated assessment model IMAGE 3.2 to project bioenergy demand, sectoral deployment, feedstock, and inter‐regional import for Europe to 2050.</w:t>
      </w:r>
    </w:p>
    <w:p>
      <w:pPr>
        <w:spacing w:after="240"/>
      </w:pPr>
      <w:r>
        <w:rPr>
          <w:b/>
          <w:sz w:val="16"/>
        </w:rPr>
        <w:t xml:space="preserve">ORIGINAL STUDY   </w:t>
      </w:r>
      <w:r>
        <w:rPr>
          <w:sz w:val="16"/>
        </w:rPr>
        <w:t>https://doi.org/10.1111/gcbb.12908</w:t>
      </w:r>
    </w:p>
    <w:p>
      <w:pPr>
        <w:pStyle w:val="Heading1"/>
      </w:pPr>
      <w:r>
        <w:t>101.  Is clean energy contested? Exploring which issues matter to stakeholders in the European Green Deal  (2021)</w:t>
      </w:r>
    </w:p>
    <w:p>
      <w:r>
        <w:t>The European Green Deal aims at decarbonizing the European Union’s economies by 2050.</w:t>
      </w:r>
    </w:p>
    <w:p>
      <w:pPr>
        <w:spacing w:after="240"/>
      </w:pPr>
      <w:r>
        <w:rPr>
          <w:b/>
          <w:sz w:val="16"/>
        </w:rPr>
        <w:t xml:space="preserve">ORIGINAL STUDY   </w:t>
      </w:r>
      <w:r>
        <w:rPr>
          <w:sz w:val="16"/>
        </w:rPr>
        <w:t>https://doi.org/10.1016/j.erss.2021.102083</w:t>
      </w:r>
    </w:p>
    <w:p>
      <w:pPr>
        <w:pStyle w:val="Heading1"/>
      </w:pPr>
      <w:r>
        <w:t>102.  Legume dreams: The contested futures of sustainable plant-based food systems in Europe  (2021)</w:t>
      </w:r>
    </w:p>
    <w:p>
      <w:r>
        <w:t>It identifies six food futures, each of which is made possible through the greater use of legumes in various production, processing, marketing and consumption contexts. But as the environmental consequences of agriculture (biodiversity loss, high greenhouse gas emissions, water pollution) and the health outcomes of modern diets (heart disease, cancer, diabetes, obesity) become better known, so great and varied hopes are being expressed about the future role of legumes in the food system.</w:t>
      </w:r>
    </w:p>
    <w:p>
      <w:pPr>
        <w:spacing w:after="240"/>
      </w:pPr>
      <w:r>
        <w:rPr>
          <w:b/>
          <w:sz w:val="16"/>
        </w:rPr>
        <w:t xml:space="preserve">ORIGINAL STUDY   </w:t>
      </w:r>
      <w:r>
        <w:rPr>
          <w:sz w:val="16"/>
        </w:rPr>
        <w:t>https://doi.org/10.1016/j.gloenvcha.2021.102321</w:t>
      </w:r>
    </w:p>
    <w:p>
      <w:pPr>
        <w:pStyle w:val="Heading1"/>
      </w:pPr>
      <w:r>
        <w:t>103.  Long‐term trends of Nordic power market: A review  (2021)</w:t>
      </w:r>
    </w:p>
    <w:p>
      <w:r>
        <w:t>Explicit assessments on impacts of emerging topics, such as social oppositions to particular technologies and increased awareness of sustainability indicators besides clean energy, will add values for long‐term decision making in the power markets.</w:t>
      </w:r>
    </w:p>
    <w:p>
      <w:pPr>
        <w:spacing w:after="240"/>
      </w:pPr>
      <w:r>
        <w:rPr>
          <w:b/>
          <w:sz w:val="16"/>
        </w:rPr>
        <w:t xml:space="preserve">ORIGINAL STUDY   </w:t>
      </w:r>
      <w:r>
        <w:rPr>
          <w:sz w:val="16"/>
        </w:rPr>
        <w:t>https://doi.org/10.1002/wene.413</w:t>
      </w:r>
    </w:p>
    <w:p>
      <w:pPr>
        <w:pStyle w:val="Heading1"/>
      </w:pPr>
      <w:r>
        <w:t>104.  Macro Study of Global Electric Vehicle Expansion  (2021)</w:t>
      </w:r>
    </w:p>
    <w:p>
      <w:r>
        <w:t>Results suggest that the adoption of BEVs demonstrates a better fit on the Bass model where the global BEV market is estimated to grow from 5,3 millions in 2019 to near 40 millions units by 2030, and with the reference of the EU countries’ adoption scenario, the global charging stations will be increased from near 2 millions in 2019 to near 10 millions units by 2030.</w:t>
      </w:r>
    </w:p>
    <w:p>
      <w:pPr>
        <w:spacing w:after="240"/>
      </w:pPr>
      <w:r>
        <w:rPr>
          <w:b/>
          <w:sz w:val="16"/>
        </w:rPr>
        <w:t xml:space="preserve">ORIGINAL STUDY   </w:t>
      </w:r>
      <w:r>
        <w:rPr>
          <w:sz w:val="16"/>
        </w:rPr>
        <w:t>https://doi.org/10.17323/2500-2597.2021.1.67.73</w:t>
      </w:r>
    </w:p>
    <w:p>
      <w:pPr>
        <w:pStyle w:val="Heading1"/>
      </w:pPr>
      <w:r>
        <w:t>105.  Modelling the European Union Sustainability Transition: A Soft-Linking Approach  (2021)</w:t>
      </w:r>
    </w:p>
    <w:p>
      <w:r>
        <w:t>The European Green Deal (EGD) is the most ambitious decarbonisation strategy currently envisaged, with a complex mix of different instruments aiming at improving the sustainability of the development patterns of the European Union in the next 30 years. Our main finding is that such a soft-linking approach allows discovery of multiple channels and spillover effects across policy instruments that might help improve the policy mix design.</w:t>
      </w:r>
    </w:p>
    <w:p>
      <w:pPr>
        <w:spacing w:after="240"/>
      </w:pPr>
      <w:r>
        <w:rPr>
          <w:b/>
          <w:sz w:val="16"/>
        </w:rPr>
        <w:t xml:space="preserve">ORIGINAL STUDY   </w:t>
      </w:r>
      <w:r>
        <w:rPr>
          <w:sz w:val="16"/>
        </w:rPr>
        <w:t>https://doi.org/10.3390/su13116303</w:t>
      </w:r>
    </w:p>
    <w:p>
      <w:pPr>
        <w:pStyle w:val="Heading1"/>
      </w:pPr>
      <w:r>
        <w:t>106.  On European Green Deal and Sustainable Development Policy (the Case of Romania)  (2021)</w:t>
      </w:r>
    </w:p>
    <w:p>
      <w:r>
        <w:t>Reaching the EU climate-neutrality objective in 2050 is very ambitious, especially for the Member States from Central-Eastern Europe.</w:t>
      </w:r>
    </w:p>
    <w:p>
      <w:pPr>
        <w:spacing w:after="240"/>
      </w:pPr>
      <w:r>
        <w:rPr>
          <w:b/>
          <w:sz w:val="16"/>
        </w:rPr>
        <w:t xml:space="preserve">ORIGINAL STUDY   </w:t>
      </w:r>
      <w:r>
        <w:rPr>
          <w:sz w:val="16"/>
        </w:rPr>
        <w:t>https://doi.org/10.3390/su132112233</w:t>
      </w:r>
    </w:p>
    <w:p>
      <w:pPr>
        <w:pStyle w:val="Heading1"/>
      </w:pPr>
      <w:r>
        <w:t>107.  POPULATION FORECAST WITH THE DATA PROCESSING GROUP METHOD (GMDH) type NEURAL NETWORK FOR EUROPEAN UNION COUNTRIES  (2021)</w:t>
      </w:r>
    </w:p>
    <w:p>
      <w:r>
        <w:t>In addition, the analysis was compared with the 2021 - 2032 forecast values in the World Bank Database. According to the findings and comparison results, it has been concluded that the GMDH type Neural Network is a very good approach for the annual population estimation of 27 EU countries, it has almost exactly the same results with the real values in the past years, therefore it is consistent and successful in its predictions for the future years.</w:t>
      </w:r>
    </w:p>
    <w:p>
      <w:pPr>
        <w:spacing w:after="240"/>
      </w:pPr>
      <w:r>
        <w:rPr>
          <w:b/>
          <w:sz w:val="16"/>
        </w:rPr>
        <w:t xml:space="preserve">ORIGINAL STUDY   </w:t>
      </w:r>
      <w:r>
        <w:rPr>
          <w:sz w:val="16"/>
        </w:rPr>
        <w:t>https://doi.org/10.46872/pj.323</w:t>
      </w:r>
    </w:p>
    <w:p>
      <w:pPr>
        <w:pStyle w:val="Heading1"/>
      </w:pPr>
      <w:r>
        <w:t>108.  Proposals of European Citizens for Reviving the Future of Shrinking Areas  (2021)</w:t>
      </w:r>
    </w:p>
    <w:p>
      <w:r>
        <w:t>Shrinkage, depopulation and the related structural decline threaten development trajectories of more than a quarter of European territories from the present until 2050. The article also discusses the content of citizens’ ideas for the future of shrinking areas, thus offering concrete proposals that may fuel the definition of future policy agendas.</w:t>
      </w:r>
    </w:p>
    <w:p>
      <w:pPr>
        <w:spacing w:after="240"/>
      </w:pPr>
      <w:r>
        <w:rPr>
          <w:b/>
          <w:sz w:val="16"/>
        </w:rPr>
        <w:t xml:space="preserve">ORIGINAL STUDY   </w:t>
      </w:r>
      <w:r>
        <w:rPr>
          <w:sz w:val="16"/>
        </w:rPr>
        <w:t>https://doi.org/10.2478/quageo-2021-0039</w:t>
      </w:r>
    </w:p>
    <w:p>
      <w:pPr>
        <w:pStyle w:val="Heading1"/>
      </w:pPr>
      <w:r>
        <w:t>109.  Red squirrel (Sciurus vulgaris) habitats change modelling in Eastern Europe in the scope of climate change according to new generation scenarios (SSPs) by 2100  (2021)</w:t>
      </w:r>
    </w:p>
    <w:p>
      <w:r>
        <w:t>We took into account materials on S. vulgaris (and S. anomalus) distribution, as well as selected associated species, and the WorldClim with respective maps and current bioclimatic variables, and its projections for four relevant scenarios which combined SSPs &amp; RCPs by 2100. Consequently, the new projections demonstrated that all habitats of the red squirrel and associated species are expected to shift mostly ‘to the north’ by 2100, and their localities in the Caucasus Mountain areas might be fragmented.</w:t>
      </w:r>
    </w:p>
    <w:p>
      <w:pPr>
        <w:spacing w:after="240"/>
      </w:pPr>
      <w:r>
        <w:rPr>
          <w:b/>
          <w:sz w:val="16"/>
        </w:rPr>
        <w:t xml:space="preserve">ORIGINAL STUDY   </w:t>
      </w:r>
      <w:r>
        <w:rPr>
          <w:sz w:val="16"/>
        </w:rPr>
        <w:t>https://doi.org/10.15407/tu2013</w:t>
      </w:r>
    </w:p>
    <w:p>
      <w:pPr>
        <w:pStyle w:val="Heading1"/>
      </w:pPr>
      <w:r>
        <w:t>110.  Regional growth and disparities in a post‐COVID Europe: A new normality scenario  (2021)</w:t>
      </w:r>
    </w:p>
    <w:p>
      <w:r>
        <w:t>This paper addresses the important question "Which European areas will be able to better react to the crisis induced by COVID-19 and how regional disparities will look like?" To provide an answer, a "new normality" scenario is built, comprising the structural changes likely to take place in the aftermath of the COVID pandemic. First, short-run costs of the COVID-induced lockdowns, in terms of missed GDP, are calculated for all European NUTS2 regions, needed because of the lack of short-run statistics about the extent of the regional costs caused by the lockdowns that will only appear in 2 years.</w:t>
      </w:r>
    </w:p>
    <w:p>
      <w:pPr>
        <w:spacing w:after="240"/>
      </w:pPr>
      <w:r>
        <w:rPr>
          <w:b/>
          <w:sz w:val="16"/>
        </w:rPr>
        <w:t xml:space="preserve">ORIGINAL STUDY   </w:t>
      </w:r>
      <w:r>
        <w:rPr>
          <w:sz w:val="16"/>
        </w:rPr>
        <w:t>https://doi.org/10.1111/jors.12542</w:t>
      </w:r>
    </w:p>
    <w:p>
      <w:pPr>
        <w:pStyle w:val="Heading1"/>
      </w:pPr>
      <w:r>
        <w:t>111.  Scenario Forecasting of Agriculture Institutional Transformation on Sustainable Development Base  (2021)</w:t>
      </w:r>
    </w:p>
    <w:p>
      <w:r>
        <w:t>Three scenarios of the forecast development of agricultural sector of Ukraine economy (pessimistic, realistic, and optimistic) are outlined in the article.</w:t>
      </w:r>
    </w:p>
    <w:p>
      <w:pPr>
        <w:spacing w:after="240"/>
      </w:pPr>
      <w:r>
        <w:rPr>
          <w:b/>
          <w:sz w:val="16"/>
        </w:rPr>
        <w:t xml:space="preserve">ORIGINAL STUDY   </w:t>
      </w:r>
      <w:r>
        <w:rPr>
          <w:sz w:val="16"/>
        </w:rPr>
        <w:t>https://doi.org/10.37394/232015.2021.17.55</w:t>
      </w:r>
    </w:p>
    <w:p>
      <w:pPr>
        <w:pStyle w:val="Heading1"/>
      </w:pPr>
      <w:r>
        <w:t>112.  Scenario forecasting of consumption of main organic livestock products in Ukraine  (2021)</w:t>
      </w:r>
    </w:p>
    <w:p>
      <w:r>
        <w:t>According to the systemic variant in Ukraine for the period up to 2025 the forecasted capacity of the internal market for organic meat and meat products (in terms of meat) will amount to 3.26 bln UAH; organic milk, dairy products and butter (in terms of milk) will amount to 2.65 bln UAH; organic eggs will amount to 0.47 bln UAH. In general, the market potential capacity of the main types of organic livestock products (at prices in 2019) will be 6.38 bln UAH (0.2 bln Euro) or 151.9 UAH (4.9 Euro) per one person.</w:t>
      </w:r>
    </w:p>
    <w:p>
      <w:pPr>
        <w:spacing w:after="240"/>
      </w:pPr>
      <w:r>
        <w:rPr>
          <w:b/>
          <w:sz w:val="16"/>
        </w:rPr>
        <w:t xml:space="preserve">ORIGINAL STUDY   </w:t>
      </w:r>
      <w:r>
        <w:rPr>
          <w:sz w:val="16"/>
        </w:rPr>
        <w:t>https://doi.org/10.51599/are.2021.07.03.02</w:t>
      </w:r>
    </w:p>
    <w:p>
      <w:pPr>
        <w:pStyle w:val="Heading1"/>
      </w:pPr>
      <w:r>
        <w:t>113.  Scenario planning: An alternative approach to European Commission for combating antimicrobial resistance by 2050  (2021)</w:t>
      </w:r>
    </w:p>
    <w:p>
      <w:r>
        <w:t>Conclusion: All the strategies developed on the basis of the four scenarios probe for an increase in European Union's dedication to achieve positive outcomes. To study possible outcomes within the European Union, a scenario analysis for the year 2050 was performed on the possible influence of the European Commission (EC).</w:t>
      </w:r>
    </w:p>
    <w:p>
      <w:pPr>
        <w:spacing w:after="240"/>
      </w:pPr>
      <w:r>
        <w:rPr>
          <w:b/>
          <w:sz w:val="16"/>
        </w:rPr>
        <w:t xml:space="preserve">ORIGINAL STUDY   </w:t>
      </w:r>
      <w:r>
        <w:rPr>
          <w:sz w:val="16"/>
        </w:rPr>
        <w:t>https://doi.org/10.11576/seejph-4312</w:t>
      </w:r>
    </w:p>
    <w:p>
      <w:pPr>
        <w:pStyle w:val="Heading1"/>
      </w:pPr>
      <w:r>
        <w:t>114.  Scenarios for European agricultural policymaking in the era of digitalisation  (2021)</w:t>
      </w:r>
    </w:p>
    <w:p>
      <w:r>
        <w:t>Our findings suggest that the baseline scenario needs strategies to ramp up technological and institutional infrastructure for digitalisation. RESULTS AND CONCLUSIONS Four scenarios of digitalisation of the agri-food sector were developed for Europe in 2030.</w:t>
      </w:r>
    </w:p>
    <w:p>
      <w:pPr>
        <w:spacing w:after="240"/>
      </w:pPr>
      <w:r>
        <w:rPr>
          <w:b/>
          <w:sz w:val="16"/>
        </w:rPr>
        <w:t xml:space="preserve">ORIGINAL STUDY   </w:t>
      </w:r>
      <w:r>
        <w:rPr>
          <w:sz w:val="16"/>
        </w:rPr>
        <w:t>https://doi.org/10.1016/j.agsy.2021.103318</w:t>
      </w:r>
    </w:p>
    <w:p>
      <w:pPr>
        <w:pStyle w:val="Heading1"/>
      </w:pPr>
      <w:r>
        <w:t>115.  Scenarios of Automated Mobility in Austria: Implications for Future Transport Policy  (2021)</w:t>
      </w:r>
    </w:p>
    <w:p>
      <w:r>
        <w:t>The simulations show that, without suitable transport policy measures, automated mobility will lead to a significant increase in the volume of individual traffic and to modal shift effects with lower traffic volumes for public transport, walking and cycling. Hence, transport policy measures accompanying the introduction and development of automated vehicles will be needed in the future to reach a sustainable development.</w:t>
      </w:r>
    </w:p>
    <w:p>
      <w:pPr>
        <w:spacing w:after="240"/>
      </w:pPr>
      <w:r>
        <w:rPr>
          <w:b/>
          <w:sz w:val="16"/>
        </w:rPr>
        <w:t xml:space="preserve">ORIGINAL STUDY   </w:t>
      </w:r>
      <w:r>
        <w:rPr>
          <w:sz w:val="16"/>
        </w:rPr>
        <w:t>https://doi.org/10.3390/futuretransp1030041</w:t>
      </w:r>
    </w:p>
    <w:p>
      <w:pPr>
        <w:pStyle w:val="Heading1"/>
      </w:pPr>
      <w:r>
        <w:t>116.  Scenario‐based fertility projections incorporating impacts of COVID‐19  (2021)</w:t>
      </w:r>
    </w:p>
    <w:p>
      <w:r>
        <w:t>Our projections show that for three scenarios out of four, fertility is expected to decline over the next 3 years, leading to significantly fewer births annually compared with the pre‐pandemic period. Abstract This paper examines the recent declines in period fertility in the constituent countries of the UK during the past decade and speculates mechanisms through which the COVID‐19 pandemic could influence childbearing in the UK.</w:t>
      </w:r>
    </w:p>
    <w:p>
      <w:pPr>
        <w:spacing w:after="240"/>
      </w:pPr>
      <w:r>
        <w:rPr>
          <w:b/>
          <w:sz w:val="16"/>
        </w:rPr>
        <w:t xml:space="preserve">ORIGINAL STUDY   </w:t>
      </w:r>
      <w:r>
        <w:rPr>
          <w:sz w:val="16"/>
        </w:rPr>
        <w:t>https://doi.org/10.1002/psp.2546</w:t>
      </w:r>
    </w:p>
    <w:p>
      <w:pPr>
        <w:pStyle w:val="Heading1"/>
      </w:pPr>
      <w:r>
        <w:t>117.  Sociotechnical imaginaries of a secure future  (2021)</w:t>
      </w:r>
    </w:p>
    <w:p>
      <w:r>
        <w:t>In order to illuminate developments that govern the adoption of security technologies and render them in their dependencies comprehensible, we present two plausible and consistent future scenarios for Germany 2035. On the basis of current literature in tandem with a structured scenario development process, we condensed the present sociotechnical imaginaries into two tangible future scenarios for the field of public security, illustrating its effects on how we live as a society.</w:t>
      </w:r>
    </w:p>
    <w:p>
      <w:pPr>
        <w:spacing w:after="240"/>
      </w:pPr>
      <w:r>
        <w:rPr>
          <w:b/>
          <w:sz w:val="16"/>
        </w:rPr>
        <w:t xml:space="preserve">ORIGINAL STUDY   </w:t>
      </w:r>
      <w:r>
        <w:rPr>
          <w:sz w:val="16"/>
        </w:rPr>
        <w:t>https://doi.org/10.1186/s40309-021-00176-1</w:t>
      </w:r>
    </w:p>
    <w:p>
      <w:pPr>
        <w:pStyle w:val="Heading1"/>
      </w:pPr>
      <w:r>
        <w:t>118.  Strategic European Integration Scenarios of Ukrainian and Polish Research, Education and Innovation Spaces  (2021)</w:t>
      </w:r>
    </w:p>
    <w:p>
      <w:r>
        <w:t>Analysis of the use of foresight technology to determine the possible future, create the desired image of the future and determine strategies to achieve it using methods developed in various research areas revealed that its application makes sense in determining long-term factors, trends and directions of national economies. That is, in foresighting, in contrast to forecasting, the emphasis is made on qualitative rather than quantitative results, which does not provide the expected targeted policy of the state, because it does not give clear, concrete results of actions - quantitative strategic benchmarks, monitoring which would control the process of these areas' development.</w:t>
      </w:r>
    </w:p>
    <w:p>
      <w:pPr>
        <w:spacing w:after="240"/>
      </w:pPr>
      <w:r>
        <w:rPr>
          <w:b/>
          <w:sz w:val="16"/>
        </w:rPr>
        <w:t xml:space="preserve">ORIGINAL STUDY   </w:t>
      </w:r>
      <w:r>
        <w:rPr>
          <w:sz w:val="16"/>
        </w:rPr>
        <w:t>https://doi.org/10.34021/ve.2021.04.02(1)</w:t>
      </w:r>
    </w:p>
    <w:p>
      <w:pPr>
        <w:pStyle w:val="Heading1"/>
      </w:pPr>
      <w:r>
        <w:t>119.  The Current Picture of the Transition to a Green Economy in the EU—Trends in Climate and Energy Policy versus State Security  (2021)</w:t>
      </w:r>
    </w:p>
    <w:p>
      <w:r>
        <w:t>The aim of the article is to present the main quantitative challenges for the development of the green economy in the EU, which are analyzed from the perspective of the year 2030.</w:t>
      </w:r>
    </w:p>
    <w:p>
      <w:pPr>
        <w:spacing w:after="240"/>
      </w:pPr>
      <w:r>
        <w:rPr>
          <w:b/>
          <w:sz w:val="16"/>
        </w:rPr>
        <w:t xml:space="preserve">ORIGINAL STUDY   </w:t>
      </w:r>
      <w:r>
        <w:rPr>
          <w:sz w:val="16"/>
        </w:rPr>
        <w:t>https://doi.org/10.3390/en14238181</w:t>
      </w:r>
    </w:p>
    <w:p>
      <w:pPr>
        <w:pStyle w:val="Heading1"/>
      </w:pPr>
      <w:r>
        <w:t>120.  The Economic Impact of Investment in Renewables in Croatia by 2030  (2021)</w:t>
      </w:r>
    </w:p>
    <w:p>
      <w:r>
        <w:t>At the beginning of 2020, the Strategy of the Republic of Croatia until 2030 with an outlook to 2050 was adopted. The Strategy analyzes two energy transition scenarios, the accelerated energy transition and the moderate energy transition.</w:t>
      </w:r>
    </w:p>
    <w:p>
      <w:pPr>
        <w:spacing w:after="240"/>
      </w:pPr>
      <w:r>
        <w:rPr>
          <w:b/>
          <w:sz w:val="16"/>
        </w:rPr>
        <w:t xml:space="preserve">ORIGINAL STUDY   </w:t>
      </w:r>
      <w:r>
        <w:rPr>
          <w:sz w:val="16"/>
        </w:rPr>
        <w:t>https://doi.org/10.3390/en14248215</w:t>
      </w:r>
    </w:p>
    <w:p>
      <w:pPr>
        <w:pStyle w:val="Heading1"/>
      </w:pPr>
      <w:r>
        <w:t>121.  The European Health Union: European Union’s Concern about Health for All. Concepts, Definition, and Scenarios  (2021)</w:t>
      </w:r>
    </w:p>
    <w:p>
      <w:r>
        <w:t>Based on these findings, five scenarios were developed: making a full move towards supranational action; improving efficiency in the actual framework; more coordination but no real change; in a full intergovernmentalism direction; and fragmentation of the EU. However, it will rely on increased coordination and has a focus on cross-border health threats.</w:t>
      </w:r>
    </w:p>
    <w:p>
      <w:pPr>
        <w:spacing w:after="240"/>
      </w:pPr>
      <w:r>
        <w:rPr>
          <w:b/>
          <w:sz w:val="16"/>
        </w:rPr>
        <w:t xml:space="preserve">ORIGINAL STUDY   </w:t>
      </w:r>
      <w:r>
        <w:rPr>
          <w:sz w:val="16"/>
        </w:rPr>
        <w:t>https://doi.org/10.3390/healthcare9121741</w:t>
      </w:r>
    </w:p>
    <w:p>
      <w:pPr>
        <w:pStyle w:val="Heading1"/>
      </w:pPr>
      <w:r>
        <w:t>122.  The Role of BECCS in Achieving Climate Neutrality in the European Union  (2021)</w:t>
      </w:r>
    </w:p>
    <w:p>
      <w:r>
        <w:t>The achievement of climate neutrality in the European Union by 2050 will not be possible solely through a reduction in fossil fuels and the development of energy generation from renewable sources. The modelling results confirm the key role of BECCS technology in achieving EU climate goals by 2050.</w:t>
      </w:r>
    </w:p>
    <w:p>
      <w:pPr>
        <w:spacing w:after="240"/>
      </w:pPr>
      <w:r>
        <w:rPr>
          <w:b/>
          <w:sz w:val="16"/>
        </w:rPr>
        <w:t xml:space="preserve">ORIGINAL STUDY   </w:t>
      </w:r>
      <w:r>
        <w:rPr>
          <w:sz w:val="16"/>
        </w:rPr>
        <w:t>https://doi.org/10.3390/en14237842</w:t>
      </w:r>
    </w:p>
    <w:p>
      <w:pPr>
        <w:pStyle w:val="Heading1"/>
      </w:pPr>
      <w:r>
        <w:t>123.  The Selection of Intermodal Transport System Scenarios in the Function of Southeastern Europe Regional Development  (2021)</w:t>
      </w:r>
    </w:p>
    <w:p>
      <w:r>
        <w:t>Six different potential scenarios that differ in the network configuration, the required level of logistics infrastructure development, the role of different IT terminal categories, the involvement of different transportation modes, and goods flows’ transformation degree, are defined.</w:t>
      </w:r>
    </w:p>
    <w:p>
      <w:pPr>
        <w:spacing w:after="240"/>
      </w:pPr>
      <w:r>
        <w:rPr>
          <w:b/>
          <w:sz w:val="16"/>
        </w:rPr>
        <w:t xml:space="preserve">ORIGINAL STUDY   </w:t>
      </w:r>
      <w:r>
        <w:rPr>
          <w:sz w:val="16"/>
        </w:rPr>
        <w:t>https://doi.org/10.3390/su13105590</w:t>
      </w:r>
    </w:p>
    <w:p>
      <w:pPr>
        <w:pStyle w:val="Heading1"/>
      </w:pPr>
      <w:r>
        <w:t>124.  The future of polarisation in Europe: relative cosmopolitanism and democracy  (2021)</w:t>
      </w:r>
    </w:p>
    <w:p>
      <w:r>
        <w:t>In this article, after an introductory definition of polarisation, two future scenarios are developed. In the scenario “Polarised Europe”, polarisation is extrapolated into the future and discussed with its serious consequences for the democratic and European consensus.</w:t>
      </w:r>
    </w:p>
    <w:p>
      <w:pPr>
        <w:spacing w:after="240"/>
      </w:pPr>
      <w:r>
        <w:rPr>
          <w:b/>
          <w:sz w:val="16"/>
        </w:rPr>
        <w:t xml:space="preserve">ORIGINAL STUDY   </w:t>
      </w:r>
      <w:r>
        <w:rPr>
          <w:sz w:val="16"/>
        </w:rPr>
        <w:t>https://doi.org/10.1186/s40309-021-00183-2</w:t>
      </w:r>
    </w:p>
    <w:p>
      <w:pPr>
        <w:pStyle w:val="Heading1"/>
      </w:pPr>
      <w:r>
        <w:t>125.  The future of the drug phenomenon and drug monitoring in Europe until 2030  (2021)</w:t>
      </w:r>
    </w:p>
    <w:p>
      <w:r>
        <w:t>The EMCDDA piloted the usefulness of the foresight approach for transforming the agency and its monitoring activities into a more sensitive and agile system, which could, in turn, help increase Europe's preparedness for future challenges in health and security areas. It analysed global drivers of change that may have in the future implications for the drugs situation, drug monitoring and related responses.</w:t>
      </w:r>
    </w:p>
    <w:p>
      <w:pPr>
        <w:spacing w:after="240"/>
      </w:pPr>
      <w:r>
        <w:rPr>
          <w:b/>
          <w:sz w:val="16"/>
        </w:rPr>
        <w:t xml:space="preserve">ORIGINAL STUDY   </w:t>
      </w:r>
      <w:r>
        <w:rPr>
          <w:sz w:val="16"/>
        </w:rPr>
        <w:t>https://doi.org/10.1093/eurpub/ckab165.648</w:t>
      </w:r>
    </w:p>
    <w:p>
      <w:pPr>
        <w:pStyle w:val="Heading1"/>
      </w:pPr>
      <w:r>
        <w:t>126.  The role of district heating systems to provide balancing services in the European Union  (2021)</w:t>
      </w:r>
    </w:p>
    <w:p>
      <w:r>
        <w:t>Based on the POTEnCIA Central scenario up to 2050 — a description of the evolution of the EU energy system with the assumption of no further policies introduced beyond 2017 —, we find that the potential is highest for the provision of aFRR, followed by mFRR and FCR. Specifically, the aFRR technical potential is currently 32 GW — 4 times the aFRR contracted in 2019 in the EU — and it only slightly decreases by 2050.</w:t>
      </w:r>
    </w:p>
    <w:p>
      <w:pPr>
        <w:spacing w:after="240"/>
      </w:pPr>
      <w:r>
        <w:rPr>
          <w:b/>
          <w:sz w:val="16"/>
        </w:rPr>
        <w:t xml:space="preserve">ORIGINAL STUDY   </w:t>
      </w:r>
      <w:r>
        <w:rPr>
          <w:sz w:val="16"/>
        </w:rPr>
        <w:t>https://doi.org/10.1016/j.rser.2021.111853</w:t>
      </w:r>
    </w:p>
    <w:p>
      <w:pPr>
        <w:pStyle w:val="Heading1"/>
      </w:pPr>
      <w:r>
        <w:t>127.  The role of transmission and energy storage in European decarbonization towards 2050  (2021)</w:t>
      </w:r>
    </w:p>
    <w:p>
      <w:r>
        <w:t>It is demonstrated that the European power sector can be decarbonised with a 65%–70% share of the electricity supply from wind power and PV in 2050. This paper presents analyses of the development of the European electricity sector that is in line with the climate and energy targets of the European Union for 2030 and 2050.</w:t>
      </w:r>
    </w:p>
    <w:p>
      <w:pPr>
        <w:spacing w:after="240"/>
      </w:pPr>
      <w:r>
        <w:rPr>
          <w:b/>
          <w:sz w:val="16"/>
        </w:rPr>
        <w:t xml:space="preserve">ORIGINAL STUDY   </w:t>
      </w:r>
      <w:r>
        <w:rPr>
          <w:sz w:val="16"/>
        </w:rPr>
        <w:t>https://doi.org/10.1016/j.energy.2021.122159</w:t>
      </w:r>
    </w:p>
    <w:p>
      <w:pPr>
        <w:pStyle w:val="Heading1"/>
      </w:pPr>
      <w:r>
        <w:t>128.  Towards net zero CO2 in 2050: An emission reduction pathway for organic soils in Germany  (2021)</w:t>
      </w:r>
    </w:p>
    <w:p>
      <w:r>
        <w:t>The more gradual pathway 1 requires the following interim (2030, 2040) and ultimate (2050) milestones: Cropland use stopped and all Cropland converted to Grassland by 2030; Water tables raised to the soil surface on 15 % / 60 % / 100 % of all Grassland, on 50 % / 75 % / 100 % of all Forest land, and ultimately on 2/3 of all Settlements and on 100 % of all Wetlands. Also a more direct pathway 2 without interim ‘moist’ water tables and the climate effect (radiative forcing) of different scenarios is presented.</w:t>
      </w:r>
    </w:p>
    <w:p>
      <w:pPr>
        <w:spacing w:after="240"/>
      </w:pPr>
      <w:r>
        <w:rPr>
          <w:b/>
          <w:sz w:val="16"/>
        </w:rPr>
        <w:t xml:space="preserve">ORIGINAL STUDY   </w:t>
      </w:r>
      <w:r>
        <w:rPr>
          <w:sz w:val="16"/>
        </w:rPr>
        <w:t>https://doi.org/10.19189/map.2020.snpg.sta.1951</w:t>
      </w:r>
    </w:p>
    <w:p>
      <w:pPr>
        <w:pStyle w:val="Heading1"/>
      </w:pPr>
      <w:r>
        <w:t>129.  Ukrainian Migration Aspirations towards Germany: Analysis and Development Scenarios  (2021)</w:t>
      </w:r>
    </w:p>
    <w:p>
      <w:r>
        <w:t>Based on the multiple regression model and scenario approach to forecasting, the article estimates the Ukrainian migration aspirations towards Germany (the scale of migration, the economic activity of migrants, and their economic benefits). It is argued that major transformations in the gender-age structure of the German population may cause a demographic crisis and labour market imbalances.</w:t>
      </w:r>
    </w:p>
    <w:p>
      <w:pPr>
        <w:spacing w:after="240"/>
      </w:pPr>
      <w:r>
        <w:rPr>
          <w:b/>
          <w:sz w:val="16"/>
        </w:rPr>
        <w:t xml:space="preserve">ORIGINAL STUDY   </w:t>
      </w:r>
      <w:r>
        <w:rPr>
          <w:sz w:val="16"/>
        </w:rPr>
        <w:t>https://doi.org/10.18778/1508-2008.24.04</w:t>
      </w:r>
    </w:p>
    <w:p>
      <w:pPr>
        <w:pStyle w:val="Heading1"/>
      </w:pPr>
      <w:r>
        <w:t>130.  Where is the EU headed given its current climate policy? A stakeholder-driven model inter-comparison  (2021)</w:t>
      </w:r>
    </w:p>
    <w:p>
      <w:r>
        <w:t>We find that Europe is currently on track to overperforming its pre-2020 40% target yet far from its newest ambition of 55% emissions cuts by 2030, as well as looking at a 1.0–2.35 GtCO2 emissions range in 2050. The output of this process is a scenario framework exploring where the region is headed rather than how to achieve its goals, extrapolating its current policy efforts into the future.</w:t>
      </w:r>
    </w:p>
    <w:p>
      <w:pPr>
        <w:spacing w:after="240"/>
      </w:pPr>
      <w:r>
        <w:rPr>
          <w:b/>
          <w:sz w:val="16"/>
        </w:rPr>
        <w:t xml:space="preserve">ORIGINAL STUDY   </w:t>
      </w:r>
      <w:r>
        <w:rPr>
          <w:sz w:val="16"/>
        </w:rPr>
        <w:t>https://doi.org/10.1016/j.scitotenv.2021.148549</w:t>
      </w:r>
    </w:p>
    <w:p>
      <w:pPr>
        <w:pStyle w:val="Heading1"/>
      </w:pPr>
      <w:r>
        <w:t>131.  A Game for All Seasons: Lessons and Learnings from the JRC’s Scenario Exploration System  (2020)</w:t>
      </w:r>
    </w:p>
    <w:p>
      <w:r>
        <w:t>It was originally geared at engaging EU policy-makers with scenarios in a facilitated process with a low learning curve.</w:t>
      </w:r>
    </w:p>
    <w:p>
      <w:pPr>
        <w:spacing w:after="240"/>
      </w:pPr>
      <w:r>
        <w:rPr>
          <w:b/>
          <w:sz w:val="16"/>
        </w:rPr>
        <w:t xml:space="preserve">ORIGINAL STUDY   </w:t>
      </w:r>
      <w:r>
        <w:rPr>
          <w:sz w:val="16"/>
        </w:rPr>
        <w:t>https://doi.org/10.1177/1946756719890524</w:t>
      </w:r>
    </w:p>
    <w:p>
      <w:pPr>
        <w:pStyle w:val="Heading1"/>
      </w:pPr>
      <w:r>
        <w:t>132.  A comparison of three transformation pathways towards a sustainable European society - An integrated analysis from an energy system perspective  (2020)</w:t>
      </w:r>
    </w:p>
    <w:p>
      <w:r>
        <w:t>The application looks at three clearly distinguished but likely paths: one where the decarbonisation effort is mostly undertaken by decarbonisation of the energy supply; one where consumers take on a more active role in the decarbonisation, instead; one where ambitions are raised and all sectors of the economy must act together to achieve the targets. To realise this transition, a reduction in greenhouse gas emissions of at least 80% from 1990 levels by 2050 is required.</w:t>
      </w:r>
    </w:p>
    <w:p>
      <w:pPr>
        <w:spacing w:after="240"/>
      </w:pPr>
      <w:r>
        <w:rPr>
          <w:b/>
          <w:sz w:val="16"/>
        </w:rPr>
        <w:t xml:space="preserve">ORIGINAL STUDY   </w:t>
      </w:r>
      <w:r>
        <w:rPr>
          <w:sz w:val="16"/>
        </w:rPr>
        <w:t>https://doi.org/10.1016/j.esr.2020.100461</w:t>
      </w:r>
    </w:p>
    <w:p>
      <w:pPr>
        <w:pStyle w:val="Heading1"/>
      </w:pPr>
      <w:r>
        <w:t>133.  A ‘futures’ approach towards the wellbeing of future generations in Wales and beyond  (2020)</w:t>
      </w:r>
    </w:p>
    <w:p>
      <w:r>
        <w:t>It is not about predicting the future but is about developing alternative futures or scenarios and using them to inform how best to move towards the preferred future. This Act has been globally recognised as a unique sustainable development legislation, putting Wales at the forefront of creating a different future for generations to come.</w:t>
      </w:r>
    </w:p>
    <w:p>
      <w:pPr>
        <w:spacing w:after="240"/>
      </w:pPr>
      <w:r>
        <w:rPr>
          <w:b/>
          <w:sz w:val="16"/>
        </w:rPr>
        <w:t xml:space="preserve">ORIGINAL STUDY   </w:t>
      </w:r>
      <w:r>
        <w:rPr>
          <w:sz w:val="16"/>
        </w:rPr>
        <w:t>https://doi.org/10.1093/eurpub/ckaa165.1289</w:t>
      </w:r>
    </w:p>
    <w:p>
      <w:pPr>
        <w:pStyle w:val="Heading1"/>
      </w:pPr>
      <w:r>
        <w:t>134.  Advancing tools to promote health equity across European Union regions: the EURO-HEALTHY project  (2020)</w:t>
      </w:r>
    </w:p>
    <w:p>
      <w:r>
        <w:t>Three scenarios for 2030 were produced - (1) the 'Failing Europe' scenario (worst case/increasing inequalities), (2) the 'Sustainable Prosperity' scenario (best case/decreasing inequalities) and (3) the 'Being Stuck' scenario (the EU and Member States maintain the status quo). Finally, the policy appraisal exercise conducted in Lisbon illustrates which policies have higher potential to improve health and how their feasibility can change according to different scenarios.</w:t>
      </w:r>
    </w:p>
    <w:p>
      <w:pPr>
        <w:spacing w:after="240"/>
      </w:pPr>
      <w:r>
        <w:rPr>
          <w:b/>
          <w:sz w:val="16"/>
        </w:rPr>
        <w:t xml:space="preserve">ORIGINAL STUDY   </w:t>
      </w:r>
      <w:r>
        <w:rPr>
          <w:sz w:val="16"/>
        </w:rPr>
        <w:t>https://doi.org/10.1186/s12961-020-0526-y</w:t>
      </w:r>
    </w:p>
    <w:p>
      <w:pPr>
        <w:pStyle w:val="Heading1"/>
      </w:pPr>
      <w:r>
        <w:t>135.  Alpine Tundra Contraction under Future Warming Scenarios in Europe  (2020)</w:t>
      </w:r>
    </w:p>
    <w:p>
      <w:r>
        <w:t>We used 11 regional climate model simulations from EURO-CORDEX disaggregated at a one-kilometre grid size representing the RCP4.5 and RCP8.5 scenarios in the 1.5, 2 and 3 °C warming levels. In this case, the contraction in the Alps, Scandes and Pyrenees together is projected at between 44% and 48% of the present extent.</w:t>
      </w:r>
    </w:p>
    <w:p>
      <w:pPr>
        <w:spacing w:after="240"/>
      </w:pPr>
      <w:r>
        <w:rPr>
          <w:b/>
          <w:sz w:val="16"/>
        </w:rPr>
        <w:t xml:space="preserve">ORIGINAL STUDY   </w:t>
      </w:r>
      <w:r>
        <w:rPr>
          <w:sz w:val="16"/>
        </w:rPr>
        <w:t>https://doi.org/10.3390/atmos11070698</w:t>
      </w:r>
    </w:p>
    <w:p>
      <w:pPr>
        <w:pStyle w:val="Heading1"/>
      </w:pPr>
      <w:r>
        <w:t>136.  Assessing the EU’s 2030 Climate and Energy Policy Framework: Incremental change toward radical transformation?  (2020)</w:t>
      </w:r>
    </w:p>
    <w:p>
      <w:r>
        <w:t>This article provides a comprehensive overview of the changes to European Union (EU) climate and energy law brought about by the 2030 Climate and Energy Policy Framework. The article also explores the prospects for future change of the 2030 Framework towards more radical transformation in light of the European Green Deal and the ongoing COVID‐19 pandemic.</w:t>
      </w:r>
    </w:p>
    <w:p>
      <w:pPr>
        <w:spacing w:after="240"/>
      </w:pPr>
      <w:r>
        <w:rPr>
          <w:b/>
          <w:sz w:val="16"/>
        </w:rPr>
        <w:t xml:space="preserve">ORIGINAL STUDY   </w:t>
      </w:r>
      <w:r>
        <w:rPr>
          <w:sz w:val="16"/>
        </w:rPr>
        <w:t>https://doi.org/10.1111/reel.12358</w:t>
      </w:r>
    </w:p>
    <w:p>
      <w:pPr>
        <w:pStyle w:val="Heading1"/>
      </w:pPr>
      <w:r>
        <w:t>137.  Assessing the future medical cost burden for the European health systems under alternative exposure-to-risks scenarios  (2020)</w:t>
      </w:r>
    </w:p>
    <w:p>
      <w:r>
        <w:t>Between 2014 and 2050, the overall healthcare spending is expected to increase by 0.8% annually under BAU. Economic burden of NCDs is modelled under three scenarios based on assumed future risk factors trends: business as usual (BAU); best case and worst case predictions (BCP and WCP).</w:t>
      </w:r>
    </w:p>
    <w:p>
      <w:pPr>
        <w:spacing w:after="240"/>
      </w:pPr>
      <w:r>
        <w:rPr>
          <w:b/>
          <w:sz w:val="16"/>
        </w:rPr>
        <w:t xml:space="preserve">ORIGINAL STUDY   </w:t>
      </w:r>
      <w:r>
        <w:rPr>
          <w:sz w:val="16"/>
        </w:rPr>
        <w:t>https://doi.org/10.1371/journal.pone.0238565</w:t>
      </w:r>
    </w:p>
    <w:p>
      <w:pPr>
        <w:pStyle w:val="Heading1"/>
      </w:pPr>
      <w:r>
        <w:t>138.  Backcasting for desirable futures in Finnish forest-based firms  (2020)</w:t>
      </w:r>
    </w:p>
    <w:p>
      <w:r>
        <w:t>In these desirable futures, expanded businesses will be based on strong knowledge.</w:t>
      </w:r>
    </w:p>
    <w:p>
      <w:pPr>
        <w:spacing w:after="240"/>
      </w:pPr>
      <w:r>
        <w:rPr>
          <w:b/>
          <w:sz w:val="16"/>
        </w:rPr>
        <w:t xml:space="preserve">ORIGINAL STUDY   </w:t>
      </w:r>
      <w:r>
        <w:rPr>
          <w:sz w:val="16"/>
        </w:rPr>
        <w:t>https://doi.org/10.1108/fs-01-2020-0005</w:t>
      </w:r>
    </w:p>
    <w:p>
      <w:pPr>
        <w:pStyle w:val="Heading1"/>
      </w:pPr>
      <w:r>
        <w:t>139.  Brexit and Its Impact on Poland’s Policy Towards Europe – An Attempt to Forecast  (2020)</w:t>
      </w:r>
    </w:p>
    <w:p>
      <w:r>
        <w:t>This article presents three scenarios for the development of Poland's European policy, i.e. the British scenario, a conservative scenario and a pro-European scenario. A study shows the political consequences of the UK’s exit from the European Union alog with the potential scenarios of Poland’s European policy in the next 2–3 years.</w:t>
      </w:r>
    </w:p>
    <w:p>
      <w:pPr>
        <w:spacing w:after="240"/>
      </w:pPr>
      <w:r>
        <w:rPr>
          <w:b/>
          <w:sz w:val="16"/>
        </w:rPr>
        <w:t xml:space="preserve">ORIGINAL STUDY   </w:t>
      </w:r>
      <w:r>
        <w:rPr>
          <w:sz w:val="16"/>
        </w:rPr>
        <w:t>https://doi.org/10.33067/se.2.2020.5</w:t>
      </w:r>
    </w:p>
    <w:p>
      <w:pPr>
        <w:pStyle w:val="Heading1"/>
      </w:pPr>
      <w:r>
        <w:t>140.  Brexit deal and demographics drag on long‐term outlook  (2020)</w:t>
      </w:r>
    </w:p>
    <w:p>
      <w:r>
        <w:t>This will result in damage to trade and lower FDI inflows. ▀ We now expect potential output growth to slow to 1.4% a year from 2020–2030 down from 1.6% a year from 2010–2020. In the two decades after 2030 we expect the drag from Brexit‐related effects to fade, but weaker contributions in labour supply and human capital will cut output growth to 1.2% a year. ▀ Demographics have been a key contributor to potential output growth over the past 30 years.</w:t>
      </w:r>
    </w:p>
    <w:p>
      <w:pPr>
        <w:spacing w:after="240"/>
      </w:pPr>
      <w:r>
        <w:rPr>
          <w:b/>
          <w:sz w:val="16"/>
        </w:rPr>
        <w:t xml:space="preserve">ORIGINAL STUDY   </w:t>
      </w:r>
      <w:r>
        <w:rPr>
          <w:sz w:val="16"/>
        </w:rPr>
        <w:t>https://doi.org/10.1111/1468-0319.12461</w:t>
      </w:r>
    </w:p>
    <w:p>
      <w:pPr>
        <w:pStyle w:val="Heading1"/>
      </w:pPr>
      <w:r>
        <w:t>141.  Burden of Stroke in Europe  (2020)</w:t>
      </w:r>
    </w:p>
    <w:p>
      <w:r>
        <w:t>By 2047, we estimated an additional 40 000 incident strokes (+3%) and 2.58 million prevalent cases (+27%).</w:t>
      </w:r>
    </w:p>
    <w:p>
      <w:pPr>
        <w:spacing w:after="240"/>
      </w:pPr>
      <w:r>
        <w:rPr>
          <w:b/>
          <w:sz w:val="16"/>
        </w:rPr>
        <w:t xml:space="preserve">ORIGINAL STUDY   </w:t>
      </w:r>
      <w:r>
        <w:rPr>
          <w:sz w:val="16"/>
        </w:rPr>
        <w:t>https://doi.org/10.1161/strokeaha.120.029606</w:t>
      </w:r>
    </w:p>
    <w:p>
      <w:pPr>
        <w:pStyle w:val="Heading1"/>
      </w:pPr>
      <w:r>
        <w:t>142.  ClimateEU, scale-free climate normals, historical time series, and future projections for Europe  (2020)</w:t>
      </w:r>
    </w:p>
    <w:p>
      <w:r>
        <w:t>Here, we contribute an accessible, comprehensive database of interpolated climate data for Europe that includes monthly, annual, decadal, and 30-year normal climate data for the last 119 years (1901 to 2019) as well as multi-model CMIP5 climate change projections for the 21 st century.</w:t>
      </w:r>
    </w:p>
    <w:p>
      <w:pPr>
        <w:spacing w:after="240"/>
      </w:pPr>
      <w:r>
        <w:rPr>
          <w:b/>
          <w:sz w:val="16"/>
        </w:rPr>
        <w:t xml:space="preserve">ORIGINAL STUDY   </w:t>
      </w:r>
      <w:r>
        <w:rPr>
          <w:sz w:val="16"/>
        </w:rPr>
        <w:t>https://doi.org/10.1038/s41597-020-00763-0</w:t>
      </w:r>
    </w:p>
    <w:p>
      <w:pPr>
        <w:pStyle w:val="Heading1"/>
      </w:pPr>
      <w:r>
        <w:t>143.  Connected and Automated Transport: Research and Innovation Capacity in Europe  (2020)</w:t>
      </w:r>
    </w:p>
    <w:p>
      <w:r>
        <w:t>We argue that this approach can aid policy makers to support the future development of CAT technologies and help researchers to forge collaborations and identify research gaps.</w:t>
      </w:r>
    </w:p>
    <w:p>
      <w:pPr>
        <w:spacing w:after="240"/>
      </w:pPr>
      <w:r>
        <w:rPr>
          <w:b/>
          <w:sz w:val="16"/>
        </w:rPr>
        <w:t xml:space="preserve">ORIGINAL STUDY   </w:t>
      </w:r>
      <w:r>
        <w:rPr>
          <w:sz w:val="16"/>
        </w:rPr>
        <w:t>https://doi.org/10.1016/j.trpro.2020.08.213</w:t>
      </w:r>
    </w:p>
    <w:p>
      <w:pPr>
        <w:pStyle w:val="Heading1"/>
      </w:pPr>
      <w:r>
        <w:t>144.  Crisis futures: The affects and temporalities of economic collapse in Iceland  (2020)</w:t>
      </w:r>
    </w:p>
    <w:p>
      <w:r>
        <w:t>We conclude by discussing the unfinished nature of crisis and role of public forecasting as a means for contending with ongoing economic insecurity.</w:t>
      </w:r>
    </w:p>
    <w:p>
      <w:pPr>
        <w:spacing w:after="240"/>
      </w:pPr>
      <w:r>
        <w:rPr>
          <w:b/>
          <w:sz w:val="16"/>
        </w:rPr>
        <w:t xml:space="preserve">ORIGINAL STUDY   </w:t>
      </w:r>
      <w:r>
        <w:rPr>
          <w:sz w:val="16"/>
        </w:rPr>
        <w:t>https://doi.org/10.1080/02757206.2020.1762589</w:t>
      </w:r>
    </w:p>
    <w:p>
      <w:pPr>
        <w:pStyle w:val="Heading1"/>
      </w:pPr>
      <w:r>
        <w:t>145.  Diverging hydrological drought traits over Europe with global warming  (2020)</w:t>
      </w:r>
    </w:p>
    <w:p>
      <w:r>
        <w:t>This study shows how hydrological droughts will change across Europe with increasing global warming levels (GWL of 1.5, 2 and 3 K above preindustrial temperature). We employ a low-flow index derived from river discharge simulations of a spatially-distributed physically-based hydrological and water use model, which was forced with a large ensemble of regional climate model projections under a high emissions (RCP8.5) and moderate mitigation (RCP4.5) pathway.</w:t>
      </w:r>
    </w:p>
    <w:p>
      <w:pPr>
        <w:spacing w:after="240"/>
      </w:pPr>
      <w:r>
        <w:rPr>
          <w:b/>
          <w:sz w:val="16"/>
        </w:rPr>
        <w:t xml:space="preserve">ORIGINAL STUDY   </w:t>
      </w:r>
      <w:r>
        <w:rPr>
          <w:sz w:val="16"/>
        </w:rPr>
        <w:t>https://doi.org/10.5194/hess-24-5919-2020</w:t>
      </w:r>
    </w:p>
    <w:p>
      <w:pPr>
        <w:pStyle w:val="Heading1"/>
      </w:pPr>
      <w:r>
        <w:t>146.  Dutch Public health Foresight study 2018/20  (2020)</w:t>
      </w:r>
    </w:p>
    <w:p>
      <w:r>
        <w:t>Dementia will be the leading cause of mortality and disease burden in 2040 by far. Health care expenditures will double by 2040, with cancers showing the most rapid growth of all disease groups.</w:t>
      </w:r>
    </w:p>
    <w:p>
      <w:pPr>
        <w:spacing w:after="240"/>
      </w:pPr>
      <w:r>
        <w:rPr>
          <w:b/>
          <w:sz w:val="16"/>
        </w:rPr>
        <w:t xml:space="preserve">ORIGINAL STUDY   </w:t>
      </w:r>
      <w:r>
        <w:rPr>
          <w:sz w:val="16"/>
        </w:rPr>
        <w:t>https://doi.org/10.1093/eurpub/ckaa165.1290</w:t>
      </w:r>
    </w:p>
    <w:p>
      <w:pPr>
        <w:pStyle w:val="Heading1"/>
      </w:pPr>
      <w:r>
        <w:t>147.  ENERGY: DEVELOPMENT FORECASTS, BIFURCATION POINTS (OVERVIEW)  (2020)</w:t>
      </w:r>
    </w:p>
    <w:p>
      <w:r>
        <w:t>Global political changes in the USSR and in the world (the era of "perestroika", the collapse of the USSR and the entire socialist camp) made it impossible to fulfill the main provisions of the USSR Energy Program for the long term and the republican target complex scientific and technical program "Energocomplex", as well as the creation of a new production technology electric power (thermal power plant with combined cycle - MHD generator as a superstructure above the steam power unit). 2020 may also be a bifurcation point in the development of energy in the world and in the regions. Suggestions are made for the need to support the energy strategy, including the energy strategy adopted in Ukraine in 2017 for the period up to 2035, by working documents - operational sliding forecast plans (roadmaps) to manage and monitor its implementation at intermediate time intervals, creating perhaps a specialized structure for these purposes.</w:t>
      </w:r>
    </w:p>
    <w:p>
      <w:pPr>
        <w:spacing w:after="240"/>
      </w:pPr>
      <w:r>
        <w:rPr>
          <w:b/>
          <w:sz w:val="16"/>
        </w:rPr>
        <w:t xml:space="preserve">ORIGINAL STUDY   </w:t>
      </w:r>
      <w:r>
        <w:rPr>
          <w:sz w:val="16"/>
        </w:rPr>
        <w:t>https://doi.org/10.31472/ttpe.4.2020.7</w:t>
      </w:r>
    </w:p>
    <w:p>
      <w:pPr>
        <w:pStyle w:val="Heading1"/>
      </w:pPr>
      <w:r>
        <w:t>148.  EU land use futures: modelling food, bioenergy and carbon dynamics  (2020)</w:t>
      </w:r>
    </w:p>
    <w:p>
      <w:r>
        <w:t>We demonstrate that changes in types and quantities of food consumed and reductions in food wastes along with sustainable bioenergy and forestry dynamics would materially assist the EU in meeting its 2050 climate mitigation obligations. This paper presents an original system dynamics model, which aims to assess how changes in diet, agricultural practices, bioenergy and forestry could help reduce greenhouse gas emissions.</w:t>
      </w:r>
    </w:p>
    <w:p>
      <w:pPr>
        <w:spacing w:after="240"/>
      </w:pPr>
      <w:r>
        <w:rPr>
          <w:b/>
          <w:sz w:val="16"/>
        </w:rPr>
        <w:t xml:space="preserve">ORIGINAL STUDY   </w:t>
      </w:r>
      <w:r>
        <w:rPr>
          <w:sz w:val="16"/>
        </w:rPr>
        <w:t>https://doi.org/10.1016/j.esr.2020.100545</w:t>
      </w:r>
    </w:p>
    <w:p>
      <w:pPr>
        <w:pStyle w:val="Heading1"/>
      </w:pPr>
      <w:r>
        <w:t>149.  EU road vehicle energy consumption and CO2 emissions by 2050 – Expert-based scenarios  (2020)</w:t>
      </w:r>
    </w:p>
    <w:p>
      <w:r>
        <w:t>Outcomes show that tank to wheel road transport CO2 emission reductions up to 90% versus 1990 could be reached by 2050 through strong fleet electrification and if all measures achieve their best potential. To inform long-term policies on transport decarbonisation, the present paper analyses European road transport CO2 emission reduction options by 2050.</w:t>
      </w:r>
    </w:p>
    <w:p>
      <w:pPr>
        <w:spacing w:after="240"/>
      </w:pPr>
      <w:r>
        <w:rPr>
          <w:b/>
          <w:sz w:val="16"/>
        </w:rPr>
        <w:t xml:space="preserve">ORIGINAL STUDY   </w:t>
      </w:r>
      <w:r>
        <w:rPr>
          <w:sz w:val="16"/>
        </w:rPr>
        <w:t>https://doi.org/10.1016/j.enpol.2019.111224</w:t>
      </w:r>
    </w:p>
    <w:p>
      <w:pPr>
        <w:pStyle w:val="Heading1"/>
      </w:pPr>
      <w:r>
        <w:t>150.  EUropean Heliospheric FORecasting Information Asset 2.0  (2020)</w:t>
      </w:r>
    </w:p>
    <w:p>
      <w:r>
        <w:t>This will result in a reliable prediction tool for radiation hazards from SEP events, affecting astronauts, passengers and crew in high-flying aircraft, and the impact of space weather events on power grid infrastructure, telecommunication, and navigation satellites.</w:t>
      </w:r>
    </w:p>
    <w:p>
      <w:pPr>
        <w:spacing w:after="240"/>
      </w:pPr>
      <w:r>
        <w:rPr>
          <w:b/>
          <w:sz w:val="16"/>
        </w:rPr>
        <w:t xml:space="preserve">ORIGINAL STUDY   </w:t>
      </w:r>
      <w:r>
        <w:rPr>
          <w:sz w:val="16"/>
        </w:rPr>
        <w:t>https://doi.org/10.1051/swsc/2020055</w:t>
      </w:r>
    </w:p>
    <w:p>
      <w:pPr>
        <w:pStyle w:val="Heading1"/>
      </w:pPr>
      <w:r>
        <w:t>151.  Econometric Studies on the Development of Renewable Energy Sources to Support the European Union 2020–2030 Climate and Energy Framework: A Critical Appraisal  (2020)</w:t>
      </w:r>
    </w:p>
    <w:p>
      <w:r>
        <w:t>One of the key objectives of the European Union is the transition to a total decarbonization of the economy by 2050.</w:t>
      </w:r>
    </w:p>
    <w:p>
      <w:pPr>
        <w:spacing w:after="240"/>
      </w:pPr>
      <w:r>
        <w:rPr>
          <w:b/>
          <w:sz w:val="16"/>
        </w:rPr>
        <w:t xml:space="preserve">ORIGINAL STUDY   </w:t>
      </w:r>
      <w:r>
        <w:rPr>
          <w:sz w:val="16"/>
        </w:rPr>
        <w:t>https://doi.org/10.3390/su12124828</w:t>
      </w:r>
    </w:p>
    <w:p>
      <w:pPr>
        <w:pStyle w:val="Heading1"/>
      </w:pPr>
      <w:r>
        <w:t>152.  Education in an uncertain future: Two scenarios  (2020)</w:t>
      </w:r>
    </w:p>
    <w:p>
      <w:r>
        <w:t>This article examines two scenarios for the future of education over the coming decades, mainly in England but also in comparable countries.</w:t>
      </w:r>
    </w:p>
    <w:p>
      <w:pPr>
        <w:spacing w:after="240"/>
      </w:pPr>
      <w:r>
        <w:rPr>
          <w:b/>
          <w:sz w:val="16"/>
        </w:rPr>
        <w:t xml:space="preserve">ORIGINAL STUDY   </w:t>
      </w:r>
      <w:r>
        <w:rPr>
          <w:sz w:val="16"/>
        </w:rPr>
        <w:t>https://doi.org/10.14324/lre.18.2.11</w:t>
      </w:r>
    </w:p>
    <w:p>
      <w:pPr>
        <w:pStyle w:val="Heading1"/>
      </w:pPr>
      <w:r>
        <w:t>153.  Energy Vision Strategies for the EU Green New Deal: A Case Study of European Cities  (2020)</w:t>
      </w:r>
    </w:p>
    <w:p>
      <w:r>
        <w:t>There are three strategic levels for successful energy planning in cities: 1) Integration strategy for integrating energy planning into urban planning institutions; 2) Practice strategy for developing suitable energy planning practices in urban planning institutions, and 3) Vision strategy for the creation and integration of energy visions and scenarios required for long-term decarbonisation. The article concludes with several recommendations, particularly that cities need to see scenarios as retainable long-term servants providing information desired by the planner, rather than serving as a guide to the planner.</w:t>
      </w:r>
    </w:p>
    <w:p>
      <w:pPr>
        <w:spacing w:after="240"/>
      </w:pPr>
      <w:r>
        <w:rPr>
          <w:b/>
          <w:sz w:val="16"/>
        </w:rPr>
        <w:t xml:space="preserve">ORIGINAL STUDY   </w:t>
      </w:r>
      <w:r>
        <w:rPr>
          <w:sz w:val="16"/>
        </w:rPr>
        <w:t>https://doi.org/10.3390/en13092194</w:t>
      </w:r>
    </w:p>
    <w:p>
      <w:pPr>
        <w:pStyle w:val="Heading1"/>
      </w:pPr>
      <w:r>
        <w:t>154.  Energy and Climate Change Scenarios in the Mediterranean: An opportunity for cooperation  (2020)</w:t>
      </w:r>
    </w:p>
    <w:p>
      <w:r>
        <w:t>The degradation of the environment will foreseeably create security and health crisis scenarios, arising from energy shortages, air quality, water stress and food supply problems. Europe, and the Mediterranean will not escape the effects of climate change, which will aggravate risks and threats to human security (mainly public health) and regional stability.</w:t>
      </w:r>
    </w:p>
    <w:p>
      <w:pPr>
        <w:spacing w:after="240"/>
      </w:pPr>
      <w:r>
        <w:rPr>
          <w:b/>
          <w:sz w:val="16"/>
        </w:rPr>
        <w:t xml:space="preserve">ORIGINAL STUDY   </w:t>
      </w:r>
      <w:r>
        <w:rPr>
          <w:sz w:val="16"/>
        </w:rPr>
        <w:t>https://doi.org/10.1093/eurpub/ckaa165.298</w:t>
      </w:r>
    </w:p>
    <w:p>
      <w:pPr>
        <w:pStyle w:val="Heading1"/>
      </w:pPr>
      <w:r>
        <w:t>155.  Environmental impacts of household appliances in Europe and scenarios for their impact reduction  (2020)</w:t>
      </w:r>
    </w:p>
    <w:p>
      <w:r>
        <w:t>A number of scenarios encompassing eco-solutions on a technical level, changes in consumption pattern, behavioral changes, as well as the combination of all these aspects are run to estimate the Consumer Footprint related to household appliances for the year 2030, compared against this baseline scenario. Testing different scenarios concludes that there is a reduction of the impact for most of the categories (with up to 67% for the ozone depletion potential, and still around 35% for the global warming potential), while two of the here examined impact categories (i.e. land-use and mineral resource depletion) show an overall potential that is even negative - i.e. the results of all scenarios are higher than the ones of the 2010 baseline scenario.</w:t>
      </w:r>
    </w:p>
    <w:p>
      <w:pPr>
        <w:spacing w:after="240"/>
      </w:pPr>
      <w:r>
        <w:rPr>
          <w:b/>
          <w:sz w:val="16"/>
        </w:rPr>
        <w:t xml:space="preserve">ORIGINAL STUDY   </w:t>
      </w:r>
      <w:r>
        <w:rPr>
          <w:sz w:val="16"/>
        </w:rPr>
        <w:t>https://doi.org/10.1016/j.jclepro.2020.121952</w:t>
      </w:r>
    </w:p>
    <w:p>
      <w:pPr>
        <w:pStyle w:val="Heading1"/>
      </w:pPr>
      <w:r>
        <w:t>156.  Exploring the Future of Universities Through Experimental Foresight  (2020)</w:t>
      </w:r>
    </w:p>
    <w:p>
      <w:r>
        <w:t>The foresight project covered two future time horizons, namely 2025 to 2030 and 2031 to 2040.</w:t>
      </w:r>
    </w:p>
    <w:p>
      <w:pPr>
        <w:spacing w:after="240"/>
      </w:pPr>
      <w:r>
        <w:rPr>
          <w:b/>
          <w:sz w:val="16"/>
        </w:rPr>
        <w:t xml:space="preserve">ORIGINAL STUDY   </w:t>
      </w:r>
      <w:r>
        <w:rPr>
          <w:sz w:val="16"/>
        </w:rPr>
        <w:t>https://doi.org/10.1177/1946756720976714</w:t>
      </w:r>
    </w:p>
    <w:p>
      <w:pPr>
        <w:pStyle w:val="Heading1"/>
      </w:pPr>
      <w:r>
        <w:t>157.  Foresight technologies of economic systems: evidence from the tourism sector of Ukraine  (2020)</w:t>
      </w:r>
    </w:p>
    <w:p>
      <w:r>
        <w:t>Accordingly, questions arise about the Ukrainian tourism sector’s ability to use the crisis as a prerequisite for recovery and growth.Based on the results of a two-round survey using the Delphi method among experts (56 at the first stage and 42 at the second) representing various tourism directions for Ukraine’s tourism sector up to 2030, six strategic development priorities were formed.</w:t>
      </w:r>
    </w:p>
    <w:p>
      <w:pPr>
        <w:spacing w:after="240"/>
      </w:pPr>
      <w:r>
        <w:rPr>
          <w:b/>
          <w:sz w:val="16"/>
        </w:rPr>
        <w:t xml:space="preserve">ORIGINAL STUDY   </w:t>
      </w:r>
      <w:r>
        <w:rPr>
          <w:sz w:val="16"/>
        </w:rPr>
        <w:t>https://doi.org/10.21511/ppm.18(4).2020.25</w:t>
      </w:r>
    </w:p>
    <w:p>
      <w:pPr>
        <w:pStyle w:val="Heading1"/>
      </w:pPr>
      <w:r>
        <w:t>158.  Future transitions for the Bioeconomy towards Sustainable Development and a Climate-Neutral Economy - Knowledge Synthesis Final Report: WP1 - Knowledge synthesis and foresight  (2020)</w:t>
      </w:r>
    </w:p>
    <w:p>
      <w:r>
        <w:t>There is enough sustainable EU biomass to contribute to all sectors by 2030, and probably beyond, as well as to bring organic carbon back to soil. \nTo ensure sustainable supply, not only residues and wastes are relevant, but sustainably sourced agricultural and forestry feedstocks, and feedstocks from recovering and restoring marginal and degraded land.</w:t>
      </w:r>
    </w:p>
    <w:p>
      <w:pPr>
        <w:spacing w:after="240"/>
      </w:pPr>
      <w:r>
        <w:rPr>
          <w:b/>
          <w:sz w:val="16"/>
        </w:rPr>
        <w:t xml:space="preserve">ORIGINAL STUDY   </w:t>
      </w:r>
      <w:r>
        <w:rPr>
          <w:sz w:val="16"/>
        </w:rPr>
        <w:t>https://doi.org/10.2760/667966</w:t>
      </w:r>
    </w:p>
    <w:p>
      <w:pPr>
        <w:pStyle w:val="Heading1"/>
      </w:pPr>
      <w:r>
        <w:t>159.  How photovoltaics can contribute to GHG emission reductions of 55% in the EU by 2030  (2020)</w:t>
      </w:r>
    </w:p>
    <w:p>
      <w:r>
        <w:t>To reach a 55% GHG emissions reduction, the cumulative PV capacity in the EU and the UK would need to surge to 455–605 GW, depending on the strategic policy scenario. This opinion article looks specifically at the role of photovoltaics (PV), based on scenarios from the Commission's 2018 long-term strategy (LTS) for energy and climate.</w:t>
      </w:r>
    </w:p>
    <w:p>
      <w:pPr>
        <w:spacing w:after="240"/>
      </w:pPr>
      <w:r>
        <w:rPr>
          <w:b/>
          <w:sz w:val="16"/>
        </w:rPr>
        <w:t xml:space="preserve">ORIGINAL STUDY   </w:t>
      </w:r>
      <w:r>
        <w:rPr>
          <w:sz w:val="16"/>
        </w:rPr>
        <w:t>https://doi.org/10.1016/j.rser.2020.109836</w:t>
      </w:r>
    </w:p>
    <w:p>
      <w:pPr>
        <w:pStyle w:val="Heading1"/>
      </w:pPr>
      <w:r>
        <w:t>160.  How to Achieve a Healthier and More Sustainable Europe by 2040 According to the Public? Results of a Five-Country Questionnaire Survey  (2020)</w:t>
      </w:r>
    </w:p>
    <w:p>
      <w:r>
        <w:t>The aim of this paper is to understand public preferences for several future scenarios of achieving a healthier, more equitable and sustainable Europe, which differ in the way the society is organized (individualistically vs. collectively) and in the driving sector (public vs. private). About three thousand respondents chose among the four scenarios presented within four different contexts (green spaces, active mobility, energy-efficient housing, food consumption) or none of them.</w:t>
      </w:r>
    </w:p>
    <w:p>
      <w:pPr>
        <w:spacing w:after="240"/>
      </w:pPr>
      <w:r>
        <w:rPr>
          <w:b/>
          <w:sz w:val="16"/>
        </w:rPr>
        <w:t xml:space="preserve">ORIGINAL STUDY   </w:t>
      </w:r>
      <w:r>
        <w:rPr>
          <w:sz w:val="16"/>
        </w:rPr>
        <w:t>https://doi.org/10.3390/ijerph17176071</w:t>
      </w:r>
    </w:p>
    <w:p>
      <w:pPr>
        <w:pStyle w:val="Heading1"/>
      </w:pPr>
      <w:r>
        <w:t>161.  Least cost energy system pathways towards 100% renewable energy in Ireland by 2050  (2020)</w:t>
      </w:r>
    </w:p>
    <w:p>
      <w:r>
        <w:t>This paper therefore undertakes a whole-system approach and explores optimal pathways towards 100% renewable energy by 2050. However, given the large future uncertainties, it is recommended that further policy considerations be given to pathways with high electrification levels as they are more robust towards uncertainties.</w:t>
      </w:r>
    </w:p>
    <w:p>
      <w:pPr>
        <w:spacing w:after="240"/>
      </w:pPr>
      <w:r>
        <w:rPr>
          <w:b/>
          <w:sz w:val="16"/>
        </w:rPr>
        <w:t xml:space="preserve">ORIGINAL STUDY   </w:t>
      </w:r>
      <w:r>
        <w:rPr>
          <w:sz w:val="16"/>
        </w:rPr>
        <w:t>https://doi.org/10.1016/j.energy.2020.118264</w:t>
      </w:r>
    </w:p>
    <w:p>
      <w:pPr>
        <w:pStyle w:val="Heading1"/>
      </w:pPr>
      <w:r>
        <w:t>162.  Long-term vision of rural areas in Hungary, focusing on foresights  (2020)</w:t>
      </w:r>
    </w:p>
    <w:p>
      <w:r>
        <w:t>The aim of the Hungarian research team was to identify the current and likely trends for the Hungarian rural areas and to point out key challenges, opportunities, enablers and barriers in rural development in terms of digitalisation up to 2040. Among the results, it is worth mentioning that digitisation and digitalisation will fundamentally change how rural areas operate including economic, environmental and social dimensions.</w:t>
      </w:r>
    </w:p>
    <w:p>
      <w:pPr>
        <w:spacing w:after="240"/>
      </w:pPr>
      <w:r>
        <w:rPr>
          <w:b/>
          <w:sz w:val="16"/>
        </w:rPr>
        <w:t xml:space="preserve">ORIGINAL STUDY   </w:t>
      </w:r>
      <w:r>
        <w:rPr>
          <w:sz w:val="16"/>
        </w:rPr>
        <w:t>https://doi.org/10.22004/ag.econ.314094</w:t>
      </w:r>
    </w:p>
    <w:p>
      <w:pPr>
        <w:pStyle w:val="Heading1"/>
      </w:pPr>
      <w:r>
        <w:t>163.  Macrofinancial linkages in Europe: Evidence from quantile local projections  (2020)</w:t>
      </w:r>
    </w:p>
    <w:p>
      <w:r>
        <w:t>We find that global economic policy uncertainty index dampens the growth rates of industrial production in Austria, France, Italy, Luxembourg and Slovakia, which calls for specific measures to mitigate this adverse effect at the national level, for example, by curtailing yellow journalism, populist ideas and disbeliefs. Second, we pursue a hybrid econometric approach to capture a presumably nonlinear nature of these linkages by building on different quantiles of the data series and estimating impulse responses from smooth local projections (Barnichon and Brownlees, Review of Economics and Statistics , 101(3), 522–530, 2019).</w:t>
      </w:r>
    </w:p>
    <w:p>
      <w:pPr>
        <w:spacing w:after="240"/>
      </w:pPr>
      <w:r>
        <w:rPr>
          <w:b/>
          <w:sz w:val="16"/>
        </w:rPr>
        <w:t xml:space="preserve">ORIGINAL STUDY   </w:t>
      </w:r>
      <w:r>
        <w:rPr>
          <w:sz w:val="16"/>
        </w:rPr>
        <w:t>https://doi.org/10.1002/ijfe.2080</w:t>
      </w:r>
    </w:p>
    <w:p>
      <w:pPr>
        <w:pStyle w:val="Heading1"/>
      </w:pPr>
      <w:r>
        <w:t>164.  Medium-term forecast of European economic sustainable growth using Markov chains  (2020)</w:t>
      </w:r>
    </w:p>
    <w:p>
      <w:r>
        <w:t>Economic growth is a frequently analyzed aspect, both from theoretical and empirical standpoint, under the impact of the influence factors, while the issue of economic growth was studied by applying different methods and obtaining different results.In the case of EU28, the problem of economic convergence has to take into consideration the fact that the Member States are heterogeneous in terms of development and rate of growth.In the present paper, by using Markov chains we have made, a forecast of the GDP per capita evolution for the economies of the EU28 members, starting from the known time horizon -1997-2016 as to approach a forecast horizon -2017-2028.The results obtained show that the convergence process will be a slow one in the case of some Member States, especially in the Central and Eastern Europe.The future economic dynamics will intensify growth</w:t>
      </w:r>
    </w:p>
    <w:p>
      <w:pPr>
        <w:spacing w:after="240"/>
      </w:pPr>
      <w:r>
        <w:rPr>
          <w:b/>
          <w:sz w:val="16"/>
        </w:rPr>
        <w:t xml:space="preserve">ORIGINAL STUDY   </w:t>
      </w:r>
      <w:r>
        <w:rPr>
          <w:sz w:val="16"/>
        </w:rPr>
        <w:t>https://doi.org/10.18045/zbefri.2020.2.585</w:t>
      </w:r>
    </w:p>
    <w:p>
      <w:pPr>
        <w:pStyle w:val="Heading1"/>
      </w:pPr>
      <w:r>
        <w:t>165.  One step ahead? The use of foresight by Czech and Slovak non-governmental organizations  (2020)</w:t>
      </w:r>
    </w:p>
    <w:p>
      <w:r>
        <w:t>Given the nature of their work and the complexity of the fast-changing contexts in which they operate, foresight techniques can potentially be useful in helping them prepare for future disruptions and maximize the positive influence of their work over future developments. The possibilities for and benefits of the application of foresight approaches and techniques are increasingly being discussed in various private and public organizations, especially with the aim to innovate and grow.</w:t>
      </w:r>
    </w:p>
    <w:p>
      <w:pPr>
        <w:spacing w:after="240"/>
      </w:pPr>
      <w:r>
        <w:rPr>
          <w:b/>
          <w:sz w:val="16"/>
        </w:rPr>
        <w:t xml:space="preserve">ORIGINAL STUDY   </w:t>
      </w:r>
      <w:r>
        <w:rPr>
          <w:sz w:val="16"/>
        </w:rPr>
        <w:t>https://doi.org/10.1186/s40309-020-00163-y</w:t>
      </w:r>
    </w:p>
    <w:p>
      <w:pPr>
        <w:pStyle w:val="Heading1"/>
      </w:pPr>
      <w:r>
        <w:t>166.  PREDICTION OF CUMULONIMBUS (CB) CLOUD BASED ON INTEGRATED FORECAST SYSTEM (IFS) OF EUROPEAN MEDIUM-RANGE WEATHER FORECAST (ECMWF)  IN THE FLIGHT INFORMATION REGION (FIR) OF JAKARTA AND UJUNG PANDANG  (2020)</w:t>
      </w:r>
    </w:p>
    <w:p>
      <w:r>
        <w:t>The study in the period other than 2019 is suggested for the next research because Indian Ocean Dipole (IOD) is extreme that may affect the Cb cloud growth in the study area.</w:t>
      </w:r>
    </w:p>
    <w:p>
      <w:pPr>
        <w:spacing w:after="240"/>
      </w:pPr>
      <w:r>
        <w:rPr>
          <w:b/>
          <w:sz w:val="16"/>
        </w:rPr>
        <w:t xml:space="preserve">ORIGINAL STUDY   </w:t>
      </w:r>
      <w:r>
        <w:rPr>
          <w:sz w:val="16"/>
        </w:rPr>
        <w:t>https://doi.org/10.29122/jstmc.v21i2.4100</w:t>
      </w:r>
    </w:p>
    <w:p>
      <w:pPr>
        <w:pStyle w:val="Heading1"/>
      </w:pPr>
      <w:r>
        <w:t>167.  PROBLEM OF PROFESSIONAL TRAINING OF FUTURE ECONOMISTS FOR DEVELOPMENT OF NATIONAL ECONOMY UNDER CONDITIONS OF EUROPEAN INTEGRATION  (2020)</w:t>
      </w:r>
    </w:p>
    <w:p>
      <w:r>
        <w:t>Core competencies for future economists, which they must acquire at the universities in the process of professional training and which they will promote participating in the development of national economy of Ukraine, are outlined. In particular, the introduction of individual educational trajectory of economists with a projection on elective courses and extrapolation into future economic practice is recommended.</w:t>
      </w:r>
    </w:p>
    <w:p>
      <w:pPr>
        <w:spacing w:after="240"/>
      </w:pPr>
      <w:r>
        <w:rPr>
          <w:b/>
          <w:sz w:val="16"/>
        </w:rPr>
        <w:t xml:space="preserve">ORIGINAL STUDY   </w:t>
      </w:r>
      <w:r>
        <w:rPr>
          <w:sz w:val="16"/>
        </w:rPr>
        <w:t>https://doi.org/10.30525/2256-0742/2020-6-5-148-154</w:t>
      </w:r>
    </w:p>
    <w:p>
      <w:pPr>
        <w:pStyle w:val="Heading1"/>
      </w:pPr>
      <w:r>
        <w:t>168.  Pathways for Low-Carbon Transition of the Steel Industry—A Swedish Case Study  (2020)</w:t>
      </w:r>
    </w:p>
    <w:p>
      <w:r>
        <w:t>The results show that CCS in combination with biomass substitution in the blast furnace and a replacement primary steel production plant with EAF with biomass (Pathway 1) yield CO2 emission reductions of 83% in 2045 compared to CO2 emissions with current steel process configurations. Finally, (Pathway 3) we show that increased production of hot briquetted iron pellets (HBI), could lead to decarbonization of the steel industry outside Sweden, assuming that the exported HBI will be converted via EAF and the receiving country has a decarbonized power sector.</w:t>
      </w:r>
    </w:p>
    <w:p>
      <w:pPr>
        <w:spacing w:after="240"/>
      </w:pPr>
      <w:r>
        <w:rPr>
          <w:b/>
          <w:sz w:val="16"/>
        </w:rPr>
        <w:t xml:space="preserve">ORIGINAL STUDY   </w:t>
      </w:r>
      <w:r>
        <w:rPr>
          <w:sz w:val="16"/>
        </w:rPr>
        <w:t>https://doi.org/10.3390/en13153840</w:t>
      </w:r>
    </w:p>
    <w:p>
      <w:pPr>
        <w:pStyle w:val="Heading1"/>
      </w:pPr>
      <w:r>
        <w:t>169.  Perspective of comprehensive and comprehensible multi-model energy and climate science in Europe  (2020)</w:t>
      </w:r>
    </w:p>
    <w:p>
      <w:r>
        <w:t>Finally, drawing from the COVID-19 pandemic, we discuss the need to expand the modelling comfort zone, by exploring extreme scenarios, disruptive innovations, and questions that transcend the energy and climate goals across the sustainability spectrum. Europe’s capacity to explore the envisaged pathways that achieve its near- and long-term energy and climate objectives needs to be significantly enhanced.</w:t>
      </w:r>
    </w:p>
    <w:p>
      <w:pPr>
        <w:spacing w:after="240"/>
      </w:pPr>
      <w:r>
        <w:rPr>
          <w:b/>
          <w:sz w:val="16"/>
        </w:rPr>
        <w:t xml:space="preserve">ORIGINAL STUDY   </w:t>
      </w:r>
      <w:r>
        <w:rPr>
          <w:sz w:val="16"/>
        </w:rPr>
        <w:t>https://doi.org/10.1016/j.energy.2020.119153</w:t>
      </w:r>
    </w:p>
    <w:p>
      <w:pPr>
        <w:pStyle w:val="Heading1"/>
      </w:pPr>
      <w:r>
        <w:t>170.  Population aging, migration, and productivity in Europe  (2020)</w:t>
      </w:r>
    </w:p>
    <w:p>
      <w:r>
        <w:t>In terms of policy options, lifting labor-force participation among the general population as in Sweden, and education-selective migration if accompanied by high integration, could even improve economic dependency.</w:t>
      </w:r>
    </w:p>
    <w:p>
      <w:pPr>
        <w:spacing w:after="240"/>
      </w:pPr>
      <w:r>
        <w:rPr>
          <w:b/>
          <w:sz w:val="16"/>
        </w:rPr>
        <w:t xml:space="preserve">ORIGINAL STUDY   </w:t>
      </w:r>
      <w:r>
        <w:rPr>
          <w:sz w:val="16"/>
        </w:rPr>
        <w:t>https://doi.org/10.1073/pnas.1918988117</w:t>
      </w:r>
    </w:p>
    <w:p>
      <w:pPr>
        <w:pStyle w:val="Heading1"/>
      </w:pPr>
      <w:r>
        <w:t>171.  Post-normal times: re-thinking the futures of the EU-Africa relationship  (2020)</w:t>
      </w:r>
    </w:p>
    <w:p>
      <w:r>
        <w:t>With the establishment of new powers as well as efforts to decolonise the thought and practise of North-South interactions, it is crucial to understand what the future of the relationship could be. The process consisted of identifying major influential factors in the relationship and assessing what role they played in the past and what role they could play in the future.</w:t>
      </w:r>
    </w:p>
    <w:p>
      <w:pPr>
        <w:spacing w:after="240"/>
      </w:pPr>
      <w:r>
        <w:rPr>
          <w:b/>
          <w:sz w:val="16"/>
        </w:rPr>
        <w:t xml:space="preserve">ORIGINAL STUDY   </w:t>
      </w:r>
      <w:r>
        <w:rPr>
          <w:sz w:val="16"/>
        </w:rPr>
        <w:t>https://doi.org/10.1186/s40309-020-00167-8</w:t>
      </w:r>
    </w:p>
    <w:p>
      <w:pPr>
        <w:pStyle w:val="Heading1"/>
      </w:pPr>
      <w:r>
        <w:t>172.  Quantifying the sensitivity of european power systems to energy scenarios and climate change projections  (2020)</w:t>
      </w:r>
    </w:p>
    <w:p>
      <w:r>
        <w:t>We show for the first time how a set of divergent future power system scenarios lead to marked differences in Europe’s total energy balance (demand-net-renewable supply) by 2050, which dominate over the uncertainty associated with climate change (∼50% and ∼5% respectively). However, within any given power system scenario, national power systems may be subject to considerable impacts from climate change, particularly for seasonal differences between renewable resources (e.g., wind power may be impacted by ∼20% or more).</w:t>
      </w:r>
    </w:p>
    <w:p>
      <w:pPr>
        <w:spacing w:after="240"/>
      </w:pPr>
      <w:r>
        <w:rPr>
          <w:b/>
          <w:sz w:val="16"/>
        </w:rPr>
        <w:t xml:space="preserve">ORIGINAL STUDY   </w:t>
      </w:r>
      <w:r>
        <w:rPr>
          <w:sz w:val="16"/>
        </w:rPr>
        <w:t>https://doi.org/10.1016/j.renene.2020.09.125</w:t>
      </w:r>
    </w:p>
    <w:p>
      <w:pPr>
        <w:pStyle w:val="Heading1"/>
      </w:pPr>
      <w:r>
        <w:t>173.  Recycling of European plastic is a pathway for plastic debris in the ocean  (2020)</w:t>
      </w:r>
    </w:p>
    <w:p>
      <w:r>
        <w:t>Data uncertainty was reflected in three scenarios representing high, low and average recovery efficiency factors in material recovery facilities and reprocessing facilities, and different ocean debris fate factors.</w:t>
      </w:r>
    </w:p>
    <w:p>
      <w:pPr>
        <w:spacing w:after="240"/>
      </w:pPr>
      <w:r>
        <w:rPr>
          <w:b/>
          <w:sz w:val="16"/>
        </w:rPr>
        <w:t xml:space="preserve">ORIGINAL STUDY   </w:t>
      </w:r>
      <w:r>
        <w:rPr>
          <w:sz w:val="16"/>
        </w:rPr>
        <w:t>https://doi.org/10.1016/j.envint.2020.105893</w:t>
      </w:r>
    </w:p>
    <w:p>
      <w:pPr>
        <w:pStyle w:val="Heading1"/>
      </w:pPr>
      <w:r>
        <w:t>174.  Renewables in the European power system and the impact on system rotational inertia  (2020)</w:t>
      </w:r>
    </w:p>
    <w:p>
      <w:r>
        <w:t>Two scenarios with divergent decarbonisation ambitions were simulated for the year 2030 using a unit commitment and economic dispatch model. The key findings show that an increasing inertia constraint elevates total generation costs, variable renewable energy curtailment and carbon dioxide emissions across Europe for an ambitious decarbonisation scenario.</w:t>
      </w:r>
    </w:p>
    <w:p>
      <w:pPr>
        <w:spacing w:after="240"/>
      </w:pPr>
      <w:r>
        <w:rPr>
          <w:b/>
          <w:sz w:val="16"/>
        </w:rPr>
        <w:t xml:space="preserve">ORIGINAL STUDY   </w:t>
      </w:r>
      <w:r>
        <w:rPr>
          <w:sz w:val="16"/>
        </w:rPr>
        <w:t>https://doi.org/10.1016/j.energy.2020.117776</w:t>
      </w:r>
    </w:p>
    <w:p>
      <w:pPr>
        <w:pStyle w:val="Heading1"/>
      </w:pPr>
      <w:r>
        <w:t>175.  Scenarios for population health inequalities in 2030 in Europe  (2020)</w:t>
      </w:r>
    </w:p>
    <w:p>
      <w:r>
        <w:t>In the EURO-HEALTHY project, funded by Horizon 2020, three 2030 time-horizon scenarios were developed, depicting the key factors that may affect the evolution of PH inequalities across European regions.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organised into coherent scenarios using the Extreme-World Method; and iii) validation of scenario structures and generation of scenario narratives.</w:t>
      </w:r>
    </w:p>
    <w:p>
      <w:pPr>
        <w:spacing w:after="240"/>
      </w:pPr>
      <w:r>
        <w:rPr>
          <w:b/>
          <w:sz w:val="16"/>
        </w:rPr>
        <w:t xml:space="preserve">ORIGINAL STUDY   </w:t>
      </w:r>
      <w:r>
        <w:rPr>
          <w:sz w:val="16"/>
        </w:rPr>
        <w:t>https://doi.org/10.1093/eurpub/ckaa165.1288</w:t>
      </w:r>
    </w:p>
    <w:p>
      <w:pPr>
        <w:pStyle w:val="Heading1"/>
      </w:pPr>
      <w:r>
        <w:t>176.  Scenarios for the Development of Multimodal Transport in the TRITIA Cross-Border Area  (2020)</w:t>
      </w:r>
    </w:p>
    <w:p>
      <w:r>
        <w:t>Therefore, the purpose of the paper is to identify a set of factors determining the development of multimodal transport within the cross-border area of TRITIA (The European Grouping of Territorial Cooperation of the four regional governments of Moravian-Silesian Region (CZ), Opole Voivodeship (PL), Silesian Voivodeship (PL) and Žilina Self-governing Region (SK)) and to develop four scenarios, the execution of which in the 2030 perspective depends on the implementation of cross-border infrastructure and organisational projects and the increasing level of cooperation in the field of multimodal transport. The future development of multimodal transport as provided for in the scenarios is not linearly correlated with the increase in cooperation and the number of implemented infrastructure and organisational projects.</w:t>
      </w:r>
    </w:p>
    <w:p>
      <w:pPr>
        <w:spacing w:after="240"/>
      </w:pPr>
      <w:r>
        <w:rPr>
          <w:b/>
          <w:sz w:val="16"/>
        </w:rPr>
        <w:t xml:space="preserve">ORIGINAL STUDY   </w:t>
      </w:r>
      <w:r>
        <w:rPr>
          <w:sz w:val="16"/>
        </w:rPr>
        <w:t>https://doi.org/10.3390/su12177021</w:t>
      </w:r>
    </w:p>
    <w:p>
      <w:pPr>
        <w:pStyle w:val="Heading1"/>
      </w:pPr>
      <w:r>
        <w:t>177.  Shared Socio-economic Pathways for European agriculture and food systems: The Eur-Agri-SSPs  (2020)</w:t>
      </w:r>
    </w:p>
    <w:p>
      <w:r>
        <w:t>We followed a nine-step protocol to extend and enrich a set of global scenarios - the Shared Socio-economic Pathways (SSPs) - providing regional and sectoral detail for European agriculture and food systems using a one-to-one nesting participatory approach.</w:t>
      </w:r>
    </w:p>
    <w:p>
      <w:pPr>
        <w:spacing w:after="240"/>
      </w:pPr>
      <w:r>
        <w:rPr>
          <w:b/>
          <w:sz w:val="16"/>
        </w:rPr>
        <w:t xml:space="preserve">ORIGINAL STUDY   </w:t>
      </w:r>
      <w:r>
        <w:rPr>
          <w:sz w:val="16"/>
        </w:rPr>
        <w:t>https://doi.org/10.1016/j.gloenvcha.2020.102159</w:t>
      </w:r>
    </w:p>
    <w:p>
      <w:pPr>
        <w:pStyle w:val="Heading1"/>
      </w:pPr>
      <w:r>
        <w:t>178.  Socio-technical transitions in UK electricity: part 1 – history, actors and pathways  (2020)</w:t>
      </w:r>
    </w:p>
    <w:p>
      <w:r>
        <w:t>The pathways to 2050 focus on the power sector, including the potential for increasing the use of low-emissions electricity for heating and transport. All three pathways are appraised in terms of their environmental performance using complementary life-cycle assessment and footprinting methods.</w:t>
      </w:r>
    </w:p>
    <w:p>
      <w:pPr>
        <w:spacing w:after="240"/>
      </w:pPr>
      <w:r>
        <w:rPr>
          <w:b/>
          <w:sz w:val="16"/>
        </w:rPr>
        <w:t xml:space="preserve">ORIGINAL STUDY   </w:t>
      </w:r>
      <w:r>
        <w:rPr>
          <w:sz w:val="16"/>
        </w:rPr>
        <w:t>https://doi.org/10.1680/jener.19.00051</w:t>
      </w:r>
    </w:p>
    <w:p>
      <w:pPr>
        <w:pStyle w:val="Heading1"/>
      </w:pPr>
      <w:r>
        <w:t>179.  Spatial Simulation of Codesigned Land Cover Change Scenarios in New England: Alternative Futures and Their Consequences for Conservation Priorities  (2020)</w:t>
      </w:r>
    </w:p>
    <w:p>
      <w:r>
        <w:t>ABSTRACT To help prepare for an uncertain future, planners and scientists often engage with stakeholders to co-design alternative scenarios of land-use change. The four alternative scenarios populate a quadrant of future conditions that crosses high to low natural resource planning and innovation with local to global socio-economic connectedness.</w:t>
      </w:r>
    </w:p>
    <w:p>
      <w:pPr>
        <w:spacing w:after="240"/>
      </w:pPr>
      <w:r>
        <w:rPr>
          <w:b/>
          <w:sz w:val="16"/>
        </w:rPr>
        <w:t xml:space="preserve">ORIGINAL STUDY   </w:t>
      </w:r>
      <w:r>
        <w:rPr>
          <w:sz w:val="16"/>
        </w:rPr>
        <w:t>https://doi.org/10.1029/2019ef001348</w:t>
      </w:r>
    </w:p>
    <w:p>
      <w:pPr>
        <w:pStyle w:val="Heading1"/>
      </w:pPr>
      <w:r>
        <w:t>180.  Systemic Design for Policy-Making: Towards the Next Circular Regions  (2020)</w:t>
      </w:r>
    </w:p>
    <w:p>
      <w:r>
        <w:t>The vast transformation the circular economy that will occur in the upcoming years inevitably will change the EU panorama, designing new scenarios from an economical-social-environmental perspective. This paper explores the impacts of circular economy policy design processes driven by a systemic design and how this expertise could ease innovative and effective paths for policy-planning on a circular transition in EU regions.</w:t>
      </w:r>
    </w:p>
    <w:p>
      <w:pPr>
        <w:spacing w:after="240"/>
      </w:pPr>
      <w:r>
        <w:rPr>
          <w:b/>
          <w:sz w:val="16"/>
        </w:rPr>
        <w:t xml:space="preserve">ORIGINAL STUDY   </w:t>
      </w:r>
      <w:r>
        <w:rPr>
          <w:sz w:val="16"/>
        </w:rPr>
        <w:t>https://doi.org/10.3390/su12114494</w:t>
      </w:r>
    </w:p>
    <w:p>
      <w:pPr>
        <w:pStyle w:val="Heading1"/>
      </w:pPr>
      <w:r>
        <w:t>181.  The Impact of Decarbonization Scenarios on Air Quality and Human Health in Poland—Analysis of Scenarios up to 2050  (2020)</w:t>
      </w:r>
    </w:p>
    <w:p>
      <w:r>
        <w:t>The results also showed that the decrease in PM2.5 emissions envisaged in the analyzed scenarios in 2050 will lead to a reduction in the number of lost years of life by about 35 thousand and an avoidance of external costs by EUR 2.4 billion. The three scenarios of the REFLEX Project focused on the reduction of CO2 emissions up to 2050 from various sectors, mainly by the means of fuel and technological switches.</w:t>
      </w:r>
    </w:p>
    <w:p>
      <w:pPr>
        <w:spacing w:after="240"/>
      </w:pPr>
      <w:r>
        <w:rPr>
          <w:b/>
          <w:sz w:val="16"/>
        </w:rPr>
        <w:t xml:space="preserve">ORIGINAL STUDY   </w:t>
      </w:r>
      <w:r>
        <w:rPr>
          <w:sz w:val="16"/>
        </w:rPr>
        <w:t>https://doi.org/10.3390/atmos11111222</w:t>
      </w:r>
    </w:p>
    <w:p>
      <w:pPr>
        <w:pStyle w:val="Heading1"/>
      </w:pPr>
      <w:r>
        <w:t>182.  The convergence or divergence of labour resources in Poland?  (2020)</w:t>
      </w:r>
    </w:p>
    <w:p>
      <w:r>
        <w:t>Eurostat’s projections indicate that by 2050 Poland will see a significant reduction in and ageing of its labour resources.</w:t>
      </w:r>
    </w:p>
    <w:p>
      <w:pPr>
        <w:spacing w:after="240"/>
      </w:pPr>
      <w:r>
        <w:rPr>
          <w:b/>
          <w:sz w:val="16"/>
        </w:rPr>
        <w:t xml:space="preserve">ORIGINAL STUDY   </w:t>
      </w:r>
      <w:r>
        <w:rPr>
          <w:sz w:val="16"/>
        </w:rPr>
        <w:t>https://doi.org/10.15611/pn.2020.4.07</w:t>
      </w:r>
    </w:p>
    <w:p>
      <w:pPr>
        <w:pStyle w:val="Heading1"/>
      </w:pPr>
      <w:r>
        <w:t>183.  The development of a system of «green» skills in the strategizing of labor resources of industrial enterprises  (2020)</w:t>
      </w:r>
    </w:p>
    <w:p>
      <w:r>
        <w:t>The article presents the forecasts of the International Labor Organization until 2030 of a change in the need for professions, professional fields and related skills of subordinates and managers.</w:t>
      </w:r>
    </w:p>
    <w:p>
      <w:pPr>
        <w:spacing w:after="240"/>
      </w:pPr>
      <w:r>
        <w:rPr>
          <w:b/>
          <w:sz w:val="16"/>
        </w:rPr>
        <w:t xml:space="preserve">ORIGINAL STUDY   </w:t>
      </w:r>
      <w:r>
        <w:rPr>
          <w:sz w:val="16"/>
        </w:rPr>
        <w:t>https://doi.org/10.17073/2072-1633-2019-4-484-493</w:t>
      </w:r>
    </w:p>
    <w:p>
      <w:pPr>
        <w:pStyle w:val="Heading1"/>
      </w:pPr>
      <w:r>
        <w:t>184.  The implications of demographic and economic projections on public pension spending in the European Union  (2018)</w:t>
      </w:r>
    </w:p>
    <w:p>
      <w:r>
        <w:t>This paper analyses the implications that demographic and economic projections have on public pension spending in the European Union (EU). Using some stylised facts, we study the aging trends of the population, as well as labour force and employment projections.</w:t>
      </w:r>
    </w:p>
    <w:p>
      <w:pPr>
        <w:spacing w:after="240"/>
      </w:pPr>
      <w:r>
        <w:rPr>
          <w:b/>
          <w:sz w:val="16"/>
        </w:rPr>
        <w:t xml:space="preserve">ORIGINAL STUDY   </w:t>
      </w:r>
      <w:r>
        <w:rPr>
          <w:sz w:val="16"/>
        </w:rPr>
        <w:t>https://doi.org/10.1080/21699763.2017.1411288</w:t>
      </w:r>
    </w:p>
    <w:p>
      <w:pPr>
        <w:pStyle w:val="Heading1"/>
      </w:pPr>
      <w:r>
        <w:t>185.  The role of gases in the European energy transition  (2020)</w:t>
      </w:r>
    </w:p>
    <w:p>
      <w:r>
        <w:t>Net zero targets for 2050 mean that in order to retain the gas market and the extensive network infrastructure which has been developed, zero carbon gases will need to be developed, and natural gas (methane) will need to be decarbonized. Maximum availability of biomethane and hydrogen from power to gas is estimated at 100–150 billion cubic meters by 2050 (or around 25–30% of gas demand in the late 2010s.</w:t>
      </w:r>
    </w:p>
    <w:p>
      <w:pPr>
        <w:spacing w:after="240"/>
      </w:pPr>
      <w:r>
        <w:rPr>
          <w:b/>
          <w:sz w:val="16"/>
        </w:rPr>
        <w:t xml:space="preserve">ORIGINAL STUDY   </w:t>
      </w:r>
      <w:r>
        <w:rPr>
          <w:sz w:val="16"/>
        </w:rPr>
        <w:t>https://doi.org/10.32609/j.ruje.6.55105</w:t>
      </w:r>
    </w:p>
    <w:p>
      <w:pPr>
        <w:pStyle w:val="Heading1"/>
      </w:pPr>
      <w:r>
        <w:t>186.  Toward a Diagnostic Tool for Organizational Ethical Culture With Futures Thinking and Scenario Planning  (2020)</w:t>
      </w:r>
    </w:p>
    <w:p>
      <w:r>
        <w:t>By gathering and analyzing diverse macro (contextual) and micro (transactional) points of view, here called “partial truths,” this article investigates how scenario planning could be used as a complementary tool to diagnose disruptions that may impact an organization's ethical culture. The combined study led to a framework of pragmatic ethics and systems thinking that broadens our understanding of the main themes that lead to disruptions that managers believed would impact ethical culture.</w:t>
      </w:r>
    </w:p>
    <w:p>
      <w:pPr>
        <w:spacing w:after="240"/>
      </w:pPr>
      <w:r>
        <w:rPr>
          <w:b/>
          <w:sz w:val="16"/>
        </w:rPr>
        <w:t xml:space="preserve">ORIGINAL STUDY   </w:t>
      </w:r>
      <w:r>
        <w:rPr>
          <w:sz w:val="16"/>
        </w:rPr>
        <w:t>https://doi.org/10.1109/tem.2020.3018309</w:t>
      </w:r>
    </w:p>
    <w:p>
      <w:pPr>
        <w:pStyle w:val="Heading1"/>
      </w:pPr>
      <w:r>
        <w:t>187.  Use of Counterfactual Population Projections for Assessing the Demographic Determinants of Population Ageing  (2020)</w:t>
      </w:r>
    </w:p>
    <w:p>
      <w:r>
        <w:t>(3) Different ageing indices tend to produce similar qualitative conclusions, but quantitative results may differ markedly. Abstract Counterfactual population projections have been used to estimate the contributions of fertility and mortality to population ageing, a method recently designated as the gold standard for this purpose.</w:t>
      </w:r>
    </w:p>
    <w:p>
      <w:pPr>
        <w:spacing w:after="240"/>
      </w:pPr>
      <w:r>
        <w:rPr>
          <w:b/>
          <w:sz w:val="16"/>
        </w:rPr>
        <w:t xml:space="preserve">ORIGINAL STUDY   </w:t>
      </w:r>
      <w:r>
        <w:rPr>
          <w:sz w:val="16"/>
        </w:rPr>
        <w:t>https://doi.org/10.1007/s10680-020-09567-9</w:t>
      </w:r>
    </w:p>
    <w:p>
      <w:pPr>
        <w:pStyle w:val="Heading1"/>
      </w:pPr>
      <w:r>
        <w:t>188.  Wood utilization scenarios and their sustainability impacts in Finland  (2020)</w:t>
      </w:r>
    </w:p>
    <w:p>
      <w:r>
        <w:t>Social, economic and environmental impacts vary in different wood utilization patterns, and national level strategies should consider possible trade-offs and regional needs.This thesis explored a variety of wood utilization scenarios in Finland and assessed their possible future benefits and trade-offs in environmental, economic and social sustainability, forming plausible pathways to actualize preferred outcomes reflecting different priorities in the goal setting.The research was conducted by using model-based sustainability assessment tools, material flow based Tool for Sustainability Impact Assessment (ToSIA) and Lifecycle Assessment (LCA), and explorative participatory scenario methods visualizing the targets quantitatively.The participatory methods utilized actor and researcher stakeholders from industry, policy, and multiple R&amp;D fields.The results showed that cascading and shifting secondary wood flows e.g.industrial side streams and end-of-life wood-based products from energy uses to material uses, results in increased climate benefits and economic competitiveness.Energy use of wood had lower employment, value added, and substitution benefits as well as shorter carbon storing time compared with material uses of wood.Thus, modern wood-based construction, chemicals, textiles and composites need to increase their share in the product portfolios.National policy tools can support this development only to a limited extent, because the global markets set the market framework for wood uses.To change the global market environment, internationally renewed policies aiming at restricting fossil uses are needed to make wood-based material applications more competitive.European Union (EU) policies should also apply incentives to support factor integrates supporting renewable resource savings.Public financial support to develop new processing technologies and product design of wood-based modern applications are needed to boost cost-competitiveness.</w:t>
      </w:r>
    </w:p>
    <w:p>
      <w:pPr>
        <w:spacing w:after="240"/>
      </w:pPr>
      <w:r>
        <w:rPr>
          <w:b/>
          <w:sz w:val="16"/>
        </w:rPr>
        <w:t xml:space="preserve">ORIGINAL STUDY   </w:t>
      </w:r>
      <w:r>
        <w:rPr>
          <w:sz w:val="16"/>
        </w:rPr>
        <w:t>https://doi.org/10.14214/df.292</w:t>
      </w:r>
    </w:p>
    <w:p>
      <w:pPr>
        <w:pStyle w:val="Heading1"/>
      </w:pPr>
      <w:r>
        <w:t>189.  A New Climate for Europe: 2030 Climate Targets Must Be More Ambitious  (2019)</w:t>
      </w:r>
    </w:p>
    <w:p>
      <w:r>
        <w:t>Specifically, action must be taken to raise the 2030 climate targets and the 2050 long-term strategy must be revised in adherence with the Paris Agreement. Model calculations by DIW Berlin economists show that it is possible and economically feasible to increase the 2030 emission reduction target from 40 to 60 percent compared to 1990.</w:t>
      </w:r>
    </w:p>
    <w:p>
      <w:pPr>
        <w:spacing w:after="240"/>
      </w:pPr>
      <w:r>
        <w:rPr>
          <w:b/>
          <w:sz w:val="16"/>
        </w:rPr>
        <w:t xml:space="preserve">ORIGINAL STUDY   </w:t>
      </w:r>
      <w:r>
        <w:rPr>
          <w:sz w:val="16"/>
        </w:rPr>
        <w:t>https://doi.org/10.18723/diw_dwr:2019-40-1</w:t>
      </w:r>
    </w:p>
    <w:p>
      <w:pPr>
        <w:pStyle w:val="Heading1"/>
      </w:pPr>
      <w:r>
        <w:t>190.  A Technological Scenario for a Healthier, More Equitable and Sustainable Europe in 2040: Citizen Perceptions and Policy Implications  (2019)</w:t>
      </w:r>
    </w:p>
    <w:p>
      <w:r>
        <w:t>This article aims at exploring, understanding and comparing European citizens' insights and perceptions towards "My life between realities", a positive future scenario which depicts a narrative of reaching healthier, more equitable and sustainable societies by 2040 with the support of technology and technological solutions.</w:t>
      </w:r>
    </w:p>
    <w:p>
      <w:pPr>
        <w:spacing w:after="240"/>
      </w:pPr>
      <w:r>
        <w:rPr>
          <w:b/>
          <w:sz w:val="16"/>
        </w:rPr>
        <w:t xml:space="preserve">ORIGINAL STUDY   </w:t>
      </w:r>
      <w:r>
        <w:rPr>
          <w:sz w:val="16"/>
        </w:rPr>
        <w:t>https://doi.org/10.3390/ijerph17010231</w:t>
      </w:r>
    </w:p>
    <w:p>
      <w:pPr>
        <w:pStyle w:val="Heading1"/>
      </w:pPr>
      <w:r>
        <w:t>191.  A comparison of low carbon investment needs between China and Europe in stringent climate policy scenarios  (2019)</w:t>
      </w:r>
    </w:p>
    <w:p>
      <w:r>
        <w:t>China and Europe need to increase their low carbon investments by 65% and 38% in a scenario reaching the 2° target relative to their respective reference scenarios which assume no such target from 2016–2050. The results indicate that a rapid upscaling and structural change of these investments towards decarbonization are necessitated by the climate stringent scenarios.</w:t>
      </w:r>
    </w:p>
    <w:p>
      <w:pPr>
        <w:spacing w:after="240"/>
      </w:pPr>
      <w:r>
        <w:rPr>
          <w:b/>
          <w:sz w:val="16"/>
        </w:rPr>
        <w:t xml:space="preserve">ORIGINAL STUDY   </w:t>
      </w:r>
      <w:r>
        <w:rPr>
          <w:sz w:val="16"/>
        </w:rPr>
        <w:t>https://doi.org/10.1088/1748-9326/ab0dd8</w:t>
      </w:r>
    </w:p>
    <w:p>
      <w:pPr>
        <w:pStyle w:val="Heading1"/>
      </w:pPr>
      <w:r>
        <w:t>192.  A multi-model, multi-scenario, and multi-domain analysis of regional climate projections for the Mediterranean  (2019)</w:t>
      </w:r>
    </w:p>
    <w:p>
      <w:r>
        <w:t>This unique multi-model, multi-scenario, and multi-domain “super-ensemble” is used to update projected changes for the Mediterranean region. The southern part of the Mediterranean is expected to be impacted most strongly since the CORDEX ensemble suggests substantial combined warming and drying, particularly for pathways RCP4.5 and RCP8.5.</w:t>
      </w:r>
    </w:p>
    <w:p>
      <w:pPr>
        <w:spacing w:after="240"/>
      </w:pPr>
      <w:r>
        <w:rPr>
          <w:b/>
          <w:sz w:val="16"/>
        </w:rPr>
        <w:t xml:space="preserve">ORIGINAL STUDY   </w:t>
      </w:r>
      <w:r>
        <w:rPr>
          <w:sz w:val="16"/>
        </w:rPr>
        <w:t>https://doi.org/10.1007/s10113-019-01565-w</w:t>
      </w:r>
    </w:p>
    <w:p>
      <w:pPr>
        <w:pStyle w:val="Heading1"/>
      </w:pPr>
      <w:r>
        <w:t>193.  About global forecast of European Parliament TO 2035  (2019)</w:t>
      </w:r>
    </w:p>
    <w:p>
      <w:r>
        <w:t>These forecasts show trends and breakthroughs in development of science and technology, determine possible changes in eco- nomics, social and political life of the world and in its diferent regions, help to determine crisis points.</w:t>
      </w:r>
    </w:p>
    <w:p>
      <w:pPr>
        <w:spacing w:after="240"/>
      </w:pPr>
      <w:r>
        <w:rPr>
          <w:b/>
          <w:sz w:val="16"/>
        </w:rPr>
        <w:t xml:space="preserve">ORIGINAL STUDY   </w:t>
      </w:r>
      <w:r>
        <w:rPr>
          <w:sz w:val="16"/>
        </w:rPr>
        <w:t>https://doi.org/10.25634/mirbis.2019.1.3</w:t>
      </w:r>
    </w:p>
    <w:p>
      <w:pPr>
        <w:pStyle w:val="Heading1"/>
      </w:pPr>
      <w:r>
        <w:t>194.  Alternative scenarios investigation of 1990..2016 CO 2 emission from Public Electricity and Heat Production sectors in Europe  (2019)</w:t>
      </w:r>
    </w:p>
    <w:p>
      <w:r>
        <w:t>Graphical overview of 108 prepared (real and alternatives) emission pathways allow assessing CO 2 emission factors impact, pathways grouping and indicating the dominant pathway of 1990..2016 decarbonisation in EU national PEHP sectors.</w:t>
      </w:r>
    </w:p>
    <w:p>
      <w:pPr>
        <w:spacing w:after="240"/>
      </w:pPr>
      <w:r>
        <w:rPr>
          <w:b/>
          <w:sz w:val="16"/>
        </w:rPr>
        <w:t xml:space="preserve">ORIGINAL STUDY   </w:t>
      </w:r>
      <w:r>
        <w:rPr>
          <w:sz w:val="16"/>
        </w:rPr>
        <w:t>https://doi.org/10.1051/e3sconf/201911600053</w:t>
      </w:r>
    </w:p>
    <w:p>
      <w:pPr>
        <w:pStyle w:val="Heading1"/>
      </w:pPr>
      <w:r>
        <w:t>195.  Demographic change and the European income distribution  (2019)</w:t>
      </w:r>
    </w:p>
    <w:p>
      <w:r>
        <w:t>This paper assesses the effect of key demographic changes (population ageing and increasing educational attainment) that are expected by 2030 on the income distribution in the EU-27 and examines the potential of tax-benefit systems to counterbalance negative developments. Our results show that demographic change is likely to lead to increasing inequality while related wage adjustments work mainly in the opposite direction.</w:t>
      </w:r>
    </w:p>
    <w:p>
      <w:pPr>
        <w:spacing w:after="240"/>
      </w:pPr>
      <w:r>
        <w:rPr>
          <w:b/>
          <w:sz w:val="16"/>
        </w:rPr>
        <w:t xml:space="preserve">ORIGINAL STUDY   </w:t>
      </w:r>
      <w:r>
        <w:rPr>
          <w:sz w:val="16"/>
        </w:rPr>
        <w:t>https://doi.org/10.1007/s10888-019-09411-z</w:t>
      </w:r>
    </w:p>
    <w:p>
      <w:pPr>
        <w:pStyle w:val="Heading1"/>
      </w:pPr>
      <w:r>
        <w:t>196.  ECONOMIC GROWTH PROJECTION FOR EUROPEAN UNION BY 2030  (2019)</w:t>
      </w:r>
    </w:p>
    <w:p>
      <w:r>
        <w:t>The paper contributes to a discussion on developments in output for the EU-27 group over the next 11 years, up to year 2030. A brief study of population-decreasing events in the European historical perspective may represent an inspiring part.</w:t>
      </w:r>
    </w:p>
    <w:p>
      <w:pPr>
        <w:spacing w:after="240"/>
      </w:pPr>
      <w:r>
        <w:rPr>
          <w:b/>
          <w:sz w:val="16"/>
        </w:rPr>
        <w:t xml:space="preserve">ORIGINAL STUDY   </w:t>
      </w:r>
      <w:r>
        <w:rPr>
          <w:sz w:val="16"/>
        </w:rPr>
        <w:t>https://doi.org/10.5755/j01.eis.0.13.23709</w:t>
      </w:r>
    </w:p>
    <w:p>
      <w:pPr>
        <w:pStyle w:val="Heading1"/>
      </w:pPr>
      <w:r>
        <w:t>197.  Energy Scenario Analysis for the Nordic Transport Sector: A Critical Review  (2019)</w:t>
      </w:r>
    </w:p>
    <w:p>
      <w:r>
        <w:t>Relying on a rich and diversified portfolio of renewable sources and expertise, the Nordic countries could benefit from a common mitigation strategy by encompassing a larger variety of solutions and potential synergies.</w:t>
      </w:r>
    </w:p>
    <w:p>
      <w:pPr>
        <w:spacing w:after="240"/>
      </w:pPr>
      <w:r>
        <w:rPr>
          <w:b/>
          <w:sz w:val="16"/>
        </w:rPr>
        <w:t xml:space="preserve">ORIGINAL STUDY   </w:t>
      </w:r>
      <w:r>
        <w:rPr>
          <w:sz w:val="16"/>
        </w:rPr>
        <w:t>https://doi.org/10.3390/en12122232</w:t>
      </w:r>
    </w:p>
    <w:p>
      <w:pPr>
        <w:pStyle w:val="Heading1"/>
      </w:pPr>
      <w:r>
        <w:t>198.  Energy system transition and macroeconomic impacts of a European decarbonization action towards a below 2 °C climate stabilization  (2019)</w:t>
      </w:r>
    </w:p>
    <w:p>
      <w:r>
        <w:t>We find that emission reductions in the energy supply sector are dominant up to 2030 while transport takes the lead in 2050. The EU28 NDC includes a commitment for emission reductions in 2030 but also refers to an economy-wide effort towards 2050 so as to contribute effectively to the long-term mitigation of climate change.</w:t>
      </w:r>
    </w:p>
    <w:p>
      <w:pPr>
        <w:spacing w:after="240"/>
      </w:pPr>
      <w:r>
        <w:rPr>
          <w:b/>
          <w:sz w:val="16"/>
        </w:rPr>
        <w:t xml:space="preserve">ORIGINAL STUDY   </w:t>
      </w:r>
      <w:r>
        <w:rPr>
          <w:sz w:val="16"/>
        </w:rPr>
        <w:t>https://doi.org/10.1007/s10584-019-02440-7</w:t>
      </w:r>
    </w:p>
    <w:p>
      <w:pPr>
        <w:pStyle w:val="Heading1"/>
      </w:pPr>
      <w:r>
        <w:t>199.  Environmental and resource burdens associated with low carbon, more electric transition pathways to 2050: Footprint components from carbon emissions and land use to waste arisings and water consumption  (2019)</w:t>
      </w:r>
    </w:p>
    <w:p>
      <w:r>
        <w:t>Electricity demand was projected to decrease significantly under the TF pathway by 2050, but its total environmental footprint (EF) was greater than either that under the MR or CC pathways. It has been employed here to estimate the footprints associated with three low carbon, more electric transition pathways for the United Kingdom (UK): described as ‘ Market Rules ’ (MR), ‘ Central Co-ordination ’ (CC) and ‘ Thousand Flowers ’ (TF) respectively.</w:t>
      </w:r>
    </w:p>
    <w:p>
      <w:pPr>
        <w:spacing w:after="240"/>
      </w:pPr>
      <w:r>
        <w:rPr>
          <w:b/>
          <w:sz w:val="16"/>
        </w:rPr>
        <w:t xml:space="preserve">ORIGINAL STUDY   </w:t>
      </w:r>
      <w:r>
        <w:rPr>
          <w:sz w:val="16"/>
        </w:rPr>
        <w:t>https://doi.org/10.1016/j.glt.2019.01.001</w:t>
      </w:r>
    </w:p>
    <w:p>
      <w:pPr>
        <w:pStyle w:val="Heading1"/>
      </w:pPr>
      <w:r>
        <w:t>200.  European electricity sector decarbonization under different levels of foresight  (2019)</w:t>
      </w:r>
    </w:p>
    <w:p>
      <w:r>
        <w:t>The European Union has set out to reduce the carbon intensity of its electricity generation substantially, as defined in the European Roadmap 2050. Using a CO2 budgetary approach, on the other hand, leads to an even sharper emission reduction in the early periods before 2030, reducing overall costs.</w:t>
      </w:r>
    </w:p>
    <w:p>
      <w:pPr>
        <w:spacing w:after="240"/>
      </w:pPr>
      <w:r>
        <w:rPr>
          <w:b/>
          <w:sz w:val="16"/>
        </w:rPr>
        <w:t xml:space="preserve">ORIGINAL STUDY   </w:t>
      </w:r>
      <w:r>
        <w:rPr>
          <w:sz w:val="16"/>
        </w:rPr>
        <w:t>https://doi.org/10.1016/j.renene.2019.02.099</w:t>
      </w:r>
    </w:p>
    <w:p>
      <w:pPr>
        <w:pStyle w:val="Heading1"/>
      </w:pPr>
      <w:r>
        <w:t>201.  Flexible electricity generation, grid exchange and storage for the transition to a 100% renewable energy system in Europe  (2019)</w:t>
      </w:r>
    </w:p>
    <w:p>
      <w:r>
        <w:t>Two transition pathways towards a 100% renewable energy (RE) power sector by 2050 are simulated for Europe using the LUT Energy System Transition model. Results of the optimisation suggest that the levelised cost of electricity could fall from the current 69 €/MWh to 56 €/MWh in the Regions scenario and 51 €/MWh in the Area scenario through the adoption of low cost, flexible RE generation and energy storage.</w:t>
      </w:r>
    </w:p>
    <w:p>
      <w:pPr>
        <w:spacing w:after="240"/>
      </w:pPr>
      <w:r>
        <w:rPr>
          <w:b/>
          <w:sz w:val="16"/>
        </w:rPr>
        <w:t xml:space="preserve">ORIGINAL STUDY   </w:t>
      </w:r>
      <w:r>
        <w:rPr>
          <w:sz w:val="16"/>
        </w:rPr>
        <w:t>https://doi.org/10.1016/j.renene.2019.02.077</w:t>
      </w:r>
    </w:p>
    <w:p>
      <w:pPr>
        <w:pStyle w:val="Heading1"/>
      </w:pPr>
      <w:r>
        <w:t>202.  Foresight in Higher Education Institutions: Evidence from Poland  (2019)</w:t>
      </w:r>
    </w:p>
    <w:p>
      <w:r>
        <w:t>By analyzing them one can gain valuable knowledge on both preferable and less-favored alternatives, which on the one hand suggest which actions may lead to their realization, but on the other,indicate specific actions that may lead to the abandonment of undesirable paths in favor of the most conducive vision. The paper substantiates the effectiveness of using foresight for these purposes, which is confirmed by the experience of the project on the development of scenarios for the Faculty of Engineering Management (FEM) of Bialystok Technical University (Poland) for the period up to 2035.</w:t>
      </w:r>
    </w:p>
    <w:p>
      <w:pPr>
        <w:spacing w:after="240"/>
      </w:pPr>
      <w:r>
        <w:rPr>
          <w:b/>
          <w:sz w:val="16"/>
        </w:rPr>
        <w:t xml:space="preserve">ORIGINAL STUDY   </w:t>
      </w:r>
      <w:r>
        <w:rPr>
          <w:sz w:val="16"/>
        </w:rPr>
        <w:t>https://doi.org/10.17323/2500-2597.2019.1.77.89</w:t>
      </w:r>
    </w:p>
    <w:p>
      <w:pPr>
        <w:pStyle w:val="Heading1"/>
      </w:pPr>
      <w:r>
        <w:t>203.  From bioethanol containing fuels towards a fuel economy that includes methanol derived from renewable sources and the impact on European Union decision-making on transition pathways  (2019)</w:t>
      </w:r>
    </w:p>
    <w:p>
      <w:r>
        <w:t>Decision-making on the optimum transition pathway to an energy economy that meets agreed carbon reduction goals in the European Union (EU) by 2050 is challenging, because of the size of the infrastructural legacy, technological uncertainties, affordability and assumptions on future energy demand. Rebalancing three different aspects of the social dimension of sustainability is used to demonstrate that a succession of infrastructures based on liquid fuels, with biofuels as an interlock towards an economy that includes methanol-based eFuel, has the potential to bring continuity, reduce dependence on anticipated technological advances and improve cost management.</w:t>
      </w:r>
    </w:p>
    <w:p>
      <w:pPr>
        <w:spacing w:after="240"/>
      </w:pPr>
      <w:r>
        <w:rPr>
          <w:b/>
          <w:sz w:val="16"/>
        </w:rPr>
        <w:t xml:space="preserve">ORIGINAL STUDY   </w:t>
      </w:r>
      <w:r>
        <w:rPr>
          <w:sz w:val="16"/>
        </w:rPr>
        <w:t>https://doi.org/10.1016/j.rser.2019.109667</w:t>
      </w:r>
    </w:p>
    <w:p>
      <w:pPr>
        <w:pStyle w:val="Heading1"/>
      </w:pPr>
      <w:r>
        <w:t>204.  Future Scenarios of European Forests  (2018)</w:t>
      </w:r>
    </w:p>
    <w:p>
      <w:r>
        <w:t>Scenarios based on contrasting storylines can be used as a tool to explore the different ways in which the future may develop and their impacts on the sustainability of European forestry. Here we discuss characteristics of scenario studies forest large scale forest resources in general and focus on a few recent trends and their long term impact on European forests, as e.g. nature oriented management, carbon credits, and extra demand for bioenergy.</w:t>
      </w:r>
    </w:p>
    <w:p>
      <w:pPr>
        <w:spacing w:after="240"/>
      </w:pPr>
      <w:r>
        <w:rPr>
          <w:b/>
          <w:sz w:val="16"/>
        </w:rPr>
        <w:t xml:space="preserve">ORIGINAL STUDY   </w:t>
      </w:r>
      <w:r>
        <w:rPr>
          <w:sz w:val="16"/>
        </w:rPr>
        <w:t>https://doi.org/10.2478/jlecol-2018-0020</w:t>
      </w:r>
    </w:p>
    <w:p>
      <w:pPr>
        <w:pStyle w:val="Heading1"/>
      </w:pPr>
      <w:r>
        <w:t>205.  Future projections of temperature and mixing regime of  European temperate lakes  (2019)</w:t>
      </w:r>
    </w:p>
    <w:p>
      <w:r>
        <w:t>By mid-century, the frequency of ice and stratification-free winters was projected to increase by about 20 %, making ice cover rare and shifting the two deeper dimictic lakes to a predominantly monomictic regime. We forced the model with an ensemble of 12 climate projections (RCP4.5) up to 2100.</w:t>
      </w:r>
    </w:p>
    <w:p>
      <w:pPr>
        <w:spacing w:after="240"/>
      </w:pPr>
      <w:r>
        <w:rPr>
          <w:b/>
          <w:sz w:val="16"/>
        </w:rPr>
        <w:t xml:space="preserve">ORIGINAL STUDY   </w:t>
      </w:r>
      <w:r>
        <w:rPr>
          <w:sz w:val="16"/>
        </w:rPr>
        <w:t>https://doi.org/10.5194/hess-23-1533-2019</w:t>
      </w:r>
    </w:p>
    <w:p>
      <w:pPr>
        <w:pStyle w:val="Heading1"/>
      </w:pPr>
      <w:r>
        <w:t>206.  How much can societal turning points affect forecasts’ accuracy in Europe? Case of post-communistic transformation in Slovakia and the Czech Republic  (2019)</w:t>
      </w:r>
    </w:p>
    <w:p>
      <w:r>
        <w:t>Here, the alternative future is built and simulated in terms of what the populations would have looked like if the socialist system had not collapsed.</w:t>
      </w:r>
    </w:p>
    <w:p>
      <w:pPr>
        <w:spacing w:after="240"/>
      </w:pPr>
      <w:r>
        <w:rPr>
          <w:b/>
          <w:sz w:val="16"/>
        </w:rPr>
        <w:t xml:space="preserve">ORIGINAL STUDY   </w:t>
      </w:r>
      <w:r>
        <w:rPr>
          <w:sz w:val="16"/>
        </w:rPr>
        <w:t>https://doi.org/10.1186/s40309-019-0158-z</w:t>
      </w:r>
    </w:p>
    <w:p>
      <w:pPr>
        <w:pStyle w:val="Heading1"/>
      </w:pPr>
      <w:r>
        <w:t>207.  Implementing Dynamics of Immigration Integration in Labor Force Participation Projection in EU28  (2019)</w:t>
      </w:r>
    </w:p>
    <w:p>
      <w:r>
        <w:t>Then, the microsimulation model is used to project EU labor force population for the period 2015–2060 under different scenarios illustrating how implementing sex- and country-specific dynamics of immigrants’ integration may affect the future labor force in terms of size, rates, and gender composition. An increase in immigration levels leads obviously to an increase in the total labor force size, but may also widen gender inequalities in labor force participation and has limited impact on the total labor force participation rate.</w:t>
      </w:r>
    </w:p>
    <w:p>
      <w:pPr>
        <w:spacing w:after="240"/>
      </w:pPr>
      <w:r>
        <w:rPr>
          <w:b/>
          <w:sz w:val="16"/>
        </w:rPr>
        <w:t xml:space="preserve">ORIGINAL STUDY   </w:t>
      </w:r>
      <w:r>
        <w:rPr>
          <w:sz w:val="16"/>
        </w:rPr>
        <w:t>https://doi.org/10.1007/s11113-019-09537-y</w:t>
      </w:r>
    </w:p>
    <w:p>
      <w:pPr>
        <w:pStyle w:val="Heading1"/>
      </w:pPr>
      <w:r>
        <w:t>208.  Innovation policy and international relations: directions for EU diplomacy  (2019)</w:t>
      </w:r>
    </w:p>
    <w:p>
      <w:r>
        <w:t>The final paragraph discusses what Europe can and should do in its external relations to provide adequate answers to the forces outlined in the three scenarios.</w:t>
      </w:r>
    </w:p>
    <w:p>
      <w:pPr>
        <w:spacing w:after="240"/>
      </w:pPr>
      <w:r>
        <w:rPr>
          <w:b/>
          <w:sz w:val="16"/>
        </w:rPr>
        <w:t xml:space="preserve">ORIGINAL STUDY   </w:t>
      </w:r>
      <w:r>
        <w:rPr>
          <w:sz w:val="16"/>
        </w:rPr>
        <w:t>https://doi.org/10.1186/s40309-019-0156-1</w:t>
      </w:r>
    </w:p>
    <w:p>
      <w:pPr>
        <w:pStyle w:val="Heading1"/>
      </w:pPr>
      <w:r>
        <w:t>209.  Life cycle assessment integration into energy system models: An application for Power-to-Methane in the EU  (2019)</w:t>
      </w:r>
    </w:p>
    <w:p>
      <w:r>
        <w:t>This study does an ex-post LCA analysis of results from JRC-EU-TIMES and estimates the environmental impact indicators across 18 categories in scenarios that achieve 80–95% CO2 emission reduction by 2050.</w:t>
      </w:r>
    </w:p>
    <w:p>
      <w:pPr>
        <w:spacing w:after="240"/>
      </w:pPr>
      <w:r>
        <w:rPr>
          <w:b/>
          <w:sz w:val="16"/>
        </w:rPr>
        <w:t xml:space="preserve">ORIGINAL STUDY   </w:t>
      </w:r>
      <w:r>
        <w:rPr>
          <w:sz w:val="16"/>
        </w:rPr>
        <w:t>https://doi.org/10.1016/j.apenergy.2019.114160</w:t>
      </w:r>
    </w:p>
    <w:p>
      <w:pPr>
        <w:pStyle w:val="Heading1"/>
      </w:pPr>
      <w:r>
        <w:t>210.  Long-Term Projection of Renewable Energy Technology Diffusion  (2019)</w:t>
      </w:r>
    </w:p>
    <w:p>
      <w:r>
        <w:t>Projecting the future, in this respect, requires a long-term energy modeling which includes a rate of diffusion of novel technologies into the market and the prediction of their costs. A critical analysis of effects of the commonly applied models for a long-term energy projection (REMIND, WITCH) use has been conducted.</w:t>
      </w:r>
    </w:p>
    <w:p>
      <w:pPr>
        <w:spacing w:after="240"/>
      </w:pPr>
      <w:r>
        <w:rPr>
          <w:b/>
          <w:sz w:val="16"/>
        </w:rPr>
        <w:t xml:space="preserve">ORIGINAL STUDY   </w:t>
      </w:r>
      <w:r>
        <w:rPr>
          <w:sz w:val="16"/>
        </w:rPr>
        <w:t>https://doi.org/10.3390/en12224261</w:t>
      </w:r>
    </w:p>
    <w:p>
      <w:pPr>
        <w:pStyle w:val="Heading1"/>
      </w:pPr>
      <w:r>
        <w:t>211.  Low-carbon energy scenarios 2050 in north-west European countries: Towards a more harmonised approach to achieve the EU targets  (2019)</w:t>
      </w:r>
    </w:p>
    <w:p>
      <w:r>
        <w:t>The analysis has shown that all selected countries have potential for modifying their energy scenarios, which being implemented may help to achieve the joint European targets 2050. The results can be of interest to economists, business and academic representatives, and especially policy makers involved in the long-term energy scenario development on the international, regional and national level.</w:t>
      </w:r>
    </w:p>
    <w:p>
      <w:pPr>
        <w:spacing w:after="240"/>
      </w:pPr>
      <w:r>
        <w:rPr>
          <w:b/>
          <w:sz w:val="16"/>
        </w:rPr>
        <w:t xml:space="preserve">ORIGINAL STUDY   </w:t>
      </w:r>
      <w:r>
        <w:rPr>
          <w:sz w:val="16"/>
        </w:rPr>
        <w:t>https://doi.org/10.1016/j.enpol.2019.03.047</w:t>
      </w:r>
    </w:p>
    <w:p>
      <w:pPr>
        <w:pStyle w:val="Heading1"/>
      </w:pPr>
      <w:r>
        <w:t>212.  Lyme Disease Risks in Europe under Multiple Uncertain Drivers of Change  (2019)</w:t>
      </w:r>
    </w:p>
    <w:p>
      <w:r>
        <w:t>RESULTS: The model projections suggest that future temperature increases may not always amplify LD risk: Low emissions scenarios (RCP2.6) combined with a sustainability socioeconomic scenario (SSP1) resulted in reduced LD risk. BACKGROUND: Debates over whether climate change could lead to the amplification of Lyme disease (LD) risk in the future have received much attention.</w:t>
      </w:r>
    </w:p>
    <w:p>
      <w:pPr>
        <w:spacing w:after="240"/>
      </w:pPr>
      <w:r>
        <w:rPr>
          <w:b/>
          <w:sz w:val="16"/>
        </w:rPr>
        <w:t xml:space="preserve">ORIGINAL STUDY   </w:t>
      </w:r>
      <w:r>
        <w:rPr>
          <w:sz w:val="16"/>
        </w:rPr>
        <w:t>https://doi.org/10.1289/ehp4615</w:t>
      </w:r>
    </w:p>
    <w:p>
      <w:pPr>
        <w:pStyle w:val="Heading1"/>
      </w:pPr>
      <w:r>
        <w:t>213.  Nutrient criteria for surface waters under the European Water Framework Directive: Current state-of-the-art, challenges and future outlook  (2019)</w:t>
      </w:r>
    </w:p>
    <w:p>
      <w:r>
        <w:t>The aim of European water policy is to achieve good ecological status in all rivers, lakes, coastal and transitional waters by 2027.</w:t>
      </w:r>
    </w:p>
    <w:p>
      <w:pPr>
        <w:spacing w:after="240"/>
      </w:pPr>
      <w:r>
        <w:rPr>
          <w:b/>
          <w:sz w:val="16"/>
        </w:rPr>
        <w:t xml:space="preserve">ORIGINAL STUDY   </w:t>
      </w:r>
      <w:r>
        <w:rPr>
          <w:sz w:val="16"/>
        </w:rPr>
        <w:t>https://doi.org/10.1016/j.scitotenv.2019.133888</w:t>
      </w:r>
    </w:p>
    <w:p>
      <w:pPr>
        <w:pStyle w:val="Heading1"/>
      </w:pPr>
      <w:r>
        <w:t>214.  Overview of Existing Heat-Health Warning Systems in Europe  (2019)</w:t>
      </w:r>
    </w:p>
    <w:p>
      <w:r>
        <w:t>Setting long-term planning actions as well as pre-alert levels might prevent and reduce damages due to heat.</w:t>
      </w:r>
    </w:p>
    <w:p>
      <w:pPr>
        <w:spacing w:after="240"/>
      </w:pPr>
      <w:r>
        <w:rPr>
          <w:b/>
          <w:sz w:val="16"/>
        </w:rPr>
        <w:t xml:space="preserve">ORIGINAL STUDY   </w:t>
      </w:r>
      <w:r>
        <w:rPr>
          <w:sz w:val="16"/>
        </w:rPr>
        <w:t>https://doi.org/10.3390/ijerph16152657</w:t>
      </w:r>
    </w:p>
    <w:p>
      <w:pPr>
        <w:pStyle w:val="Heading1"/>
      </w:pPr>
      <w:r>
        <w:t>215.  Pathway Analysis of a Zero-Emission Transition in the Nordic-Baltic Region  (2019)</w:t>
      </w:r>
    </w:p>
    <w:p>
      <w:r>
        <w:t>The energy system optimizations indicate that most of the investments needed for the zero-emission pathway until 2050 would take place already by 2030. A zero-emission pathway for the Nordic and Baltic region in Europe is described based on the comprehensive policy and scenario analyses, accompanied by energy system modelling.</w:t>
      </w:r>
    </w:p>
    <w:p>
      <w:pPr>
        <w:spacing w:after="240"/>
      </w:pPr>
      <w:r>
        <w:rPr>
          <w:b/>
          <w:sz w:val="16"/>
        </w:rPr>
        <w:t xml:space="preserve">ORIGINAL STUDY   </w:t>
      </w:r>
      <w:r>
        <w:rPr>
          <w:sz w:val="16"/>
        </w:rPr>
        <w:t>https://doi.org/10.3390/en12173337</w:t>
      </w:r>
    </w:p>
    <w:p>
      <w:pPr>
        <w:pStyle w:val="Heading1"/>
      </w:pPr>
      <w:r>
        <w:t>216.  Perspectives from 2037—Can Environmental Impact Assessment be the Solution for an Early Consideration of Climate Change-related Impacts?  (2019)</w:t>
      </w:r>
    </w:p>
    <w:p>
      <w:r>
        <w:t>Three scenario narratives were elaborated based on nine key impact factors based on literature review, content analysis of EIA documents and interviews with EIA actors.</w:t>
      </w:r>
    </w:p>
    <w:p>
      <w:pPr>
        <w:spacing w:after="240"/>
      </w:pPr>
      <w:r>
        <w:rPr>
          <w:b/>
          <w:sz w:val="16"/>
        </w:rPr>
        <w:t xml:space="preserve">ORIGINAL STUDY   </w:t>
      </w:r>
      <w:r>
        <w:rPr>
          <w:sz w:val="16"/>
        </w:rPr>
        <w:t>https://doi.org/10.3390/su11154002</w:t>
      </w:r>
    </w:p>
    <w:p>
      <w:pPr>
        <w:pStyle w:val="Heading1"/>
      </w:pPr>
      <w:r>
        <w:t>217.  Policy-based Population Projections for the European Union: A Complementary Approach  (2019)</w:t>
      </w:r>
    </w:p>
    <w:p>
      <w:r>
        <w:t>We present new population projections out to 2100 for the countries of the European Union and for the EU as a whole under a wide range of fertility and migration scenarios. We show that demographic policies have the potential to markedly increase or decrease future populations across the EU.</w:t>
      </w:r>
    </w:p>
    <w:p>
      <w:pPr>
        <w:spacing w:after="240"/>
      </w:pPr>
      <w:r>
        <w:rPr>
          <w:b/>
          <w:sz w:val="16"/>
        </w:rPr>
        <w:t xml:space="preserve">ORIGINAL STUDY   </w:t>
      </w:r>
      <w:r>
        <w:rPr>
          <w:sz w:val="16"/>
        </w:rPr>
        <w:t>https://doi.org/10.12765/cpos-2019-14</w:t>
      </w:r>
    </w:p>
    <w:p>
      <w:pPr>
        <w:pStyle w:val="Heading1"/>
      </w:pPr>
      <w:r>
        <w:t>218.  Population Projection Revisions and Their Impact on Economic Growth – The Case of Malta  (2019)</w:t>
      </w:r>
    </w:p>
    <w:p>
      <w:r>
        <w:t>Typically, in short-term economic forecasts, population projections, and their related impact on the availability of labour, tend to be the most stable component. Using the standard production function approach to estimate potential output growth, these revisions change very substantially expectations of economic expansion.</w:t>
      </w:r>
    </w:p>
    <w:p>
      <w:pPr>
        <w:spacing w:after="240"/>
      </w:pPr>
      <w:r>
        <w:rPr>
          <w:b/>
          <w:sz w:val="16"/>
        </w:rPr>
        <w:t xml:space="preserve">ORIGINAL STUDY   </w:t>
      </w:r>
      <w:r>
        <w:rPr>
          <w:sz w:val="16"/>
        </w:rPr>
        <w:t>https://doi.org/10.5296/rae.v11i3.15285</w:t>
      </w:r>
    </w:p>
    <w:p>
      <w:pPr>
        <w:pStyle w:val="Heading1"/>
      </w:pPr>
      <w:r>
        <w:t>219.  Scenarios for population health inequalities in 2030 in Europe: the EURO-HEALTHY project experience  (2019)</w:t>
      </w:r>
    </w:p>
    <w:p>
      <w:r>
        <w:t>OBJECTIVE: This paper describes the three 2030 time-horizon scenarios developed under the EURO-HEALTHY project, depicting the key factors that may affect the evolution of PH inequalities across European regions. METHODS: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organized into coherent scenario structures using the Extreme-World Method; and iii) validation of scenario structures and generation of scenario narratives.</w:t>
      </w:r>
    </w:p>
    <w:p>
      <w:pPr>
        <w:spacing w:after="240"/>
      </w:pPr>
      <w:r>
        <w:rPr>
          <w:b/>
          <w:sz w:val="16"/>
        </w:rPr>
        <w:t xml:space="preserve">ORIGINAL STUDY   </w:t>
      </w:r>
      <w:r>
        <w:rPr>
          <w:sz w:val="16"/>
        </w:rPr>
        <w:t>https://doi.org/10.1186/s12939-019-1000-8</w:t>
      </w:r>
    </w:p>
    <w:p>
      <w:pPr>
        <w:pStyle w:val="Heading1"/>
      </w:pPr>
      <w:r>
        <w:t>220.  Seeds of good anthropocenes: developing sustainability scenarios for Northern Europe  (2019)</w:t>
      </w:r>
    </w:p>
    <w:p>
      <w:r>
        <w:t>Those that have been developed tend to focus on the role of a few common, large-scale external drivers, such as technology or environmental policy, even though pathways of positive change are often driven by surprising or bottom-up initiatives that most scenarios assume are unchanging. We describe an approach, pioneered in Southern Africa and tested here in a new context in Northern Europe, to developing scenarios using existing bottom-up transformative initiatives to examine plausible transitions towards positive, sustainable futures.</w:t>
      </w:r>
    </w:p>
    <w:p>
      <w:pPr>
        <w:spacing w:after="240"/>
      </w:pPr>
      <w:r>
        <w:rPr>
          <w:b/>
          <w:sz w:val="16"/>
        </w:rPr>
        <w:t xml:space="preserve">ORIGINAL STUDY   </w:t>
      </w:r>
      <w:r>
        <w:rPr>
          <w:sz w:val="16"/>
        </w:rPr>
        <w:t>https://doi.org/10.1007/s11625-019-00714-8</w:t>
      </w:r>
    </w:p>
    <w:p>
      <w:pPr>
        <w:pStyle w:val="Heading1"/>
      </w:pPr>
      <w:r>
        <w:t>221.  Soft-linking of a behavioral model for transport with energy system cost optimization applied to hydrogen in EU  (2019)</w:t>
      </w:r>
    </w:p>
    <w:p>
      <w:r>
        <w:t>The focus is on an energy system with 95% CO2 reduction by 2050. The policy with the largest impact on FCEV was a purchase subsidy of 5 k€ per vehicle in the 2030–2034 period resulting in 24.3 million FCEV (on top of 67 million without policy) sold up to 2050 with total subsidies of 84 bln€. 5 bln€ of R&amp;D incentives in the 2020–2024 period increased the cumulative sales up to 2050 by 10.5 million FCEV.</w:t>
      </w:r>
    </w:p>
    <w:p>
      <w:pPr>
        <w:spacing w:after="240"/>
      </w:pPr>
      <w:r>
        <w:rPr>
          <w:b/>
          <w:sz w:val="16"/>
        </w:rPr>
        <w:t xml:space="preserve">ORIGINAL STUDY   </w:t>
      </w:r>
      <w:r>
        <w:rPr>
          <w:sz w:val="16"/>
        </w:rPr>
        <w:t>https://doi.org/10.1016/j.rser.2019.109349</w:t>
      </w:r>
    </w:p>
    <w:p>
      <w:pPr>
        <w:pStyle w:val="Heading1"/>
      </w:pPr>
      <w:r>
        <w:t>222.  Solar Photovoltaic Electricity Generation: A Lifeline for the European Coal Regions in Transition  (2019)</w:t>
      </w:r>
    </w:p>
    <w:p>
      <w:r>
        <w:t>According to the International Energy Agency, these emissions have to be reduced by more than 70% by 2040 to stay on track for the 1.5–2 °C scenario suggested by the Paris Agreement.</w:t>
      </w:r>
    </w:p>
    <w:p>
      <w:pPr>
        <w:spacing w:after="240"/>
      </w:pPr>
      <w:r>
        <w:rPr>
          <w:b/>
          <w:sz w:val="16"/>
        </w:rPr>
        <w:t xml:space="preserve">ORIGINAL STUDY   </w:t>
      </w:r>
      <w:r>
        <w:rPr>
          <w:sz w:val="16"/>
        </w:rPr>
        <w:t>https://doi.org/10.3390/su11133703</w:t>
      </w:r>
    </w:p>
    <w:p>
      <w:pPr>
        <w:pStyle w:val="Heading1"/>
      </w:pPr>
      <w:r>
        <w:t>223.  The Dutch Public Health Foresight Study 2018: an example of a comprehensive foresight exercise  (2019)</w:t>
      </w:r>
    </w:p>
    <w:p>
      <w:r>
        <w:t>Conclusions Long-term thinking could be stimulated by using back casting techniques and stronger involvement of policy-makers in the elaboration of options for action. Lessons learned from developing intersectoral policy at the local level could be applied at the national level.</w:t>
      </w:r>
    </w:p>
    <w:p>
      <w:pPr>
        <w:spacing w:after="240"/>
      </w:pPr>
      <w:r>
        <w:rPr>
          <w:b/>
          <w:sz w:val="16"/>
        </w:rPr>
        <w:t xml:space="preserve">ORIGINAL STUDY   </w:t>
      </w:r>
      <w:r>
        <w:rPr>
          <w:sz w:val="16"/>
        </w:rPr>
        <w:t>https://doi.org/10.1093/eurpub/ckz200</w:t>
      </w:r>
    </w:p>
    <w:p>
      <w:pPr>
        <w:pStyle w:val="Heading1"/>
      </w:pPr>
      <w:r>
        <w:t>224.  The biological transformation of industrial manufacturing – Technologies, status and scenarios for a sustainable future of the German manufacturing industry  (2019)</w:t>
      </w:r>
    </w:p>
    <w:p>
      <w:r>
        <w:t>We conclude with a summary and recommendations for decision makers in politics, industries and research. In this context, the soaring possibilities of bio- and information technology have recently let few authors develop the vision of a biological transformation of manufacturing, a concept that to date has been barely concrete to politicians, scientists, and managers.</w:t>
      </w:r>
    </w:p>
    <w:p>
      <w:pPr>
        <w:spacing w:after="240"/>
      </w:pPr>
      <w:r>
        <w:rPr>
          <w:b/>
          <w:sz w:val="16"/>
        </w:rPr>
        <w:t xml:space="preserve">ORIGINAL STUDY   </w:t>
      </w:r>
      <w:r>
        <w:rPr>
          <w:sz w:val="16"/>
        </w:rPr>
        <w:t>https://doi.org/10.1016/j.jmsy.2019.11.006</w:t>
      </w:r>
    </w:p>
    <w:p>
      <w:pPr>
        <w:pStyle w:val="Heading1"/>
      </w:pPr>
      <w:r>
        <w:t>225.  The perspectives of development of high-speed rail network in the European Union till</w:t>
        <w:br/>
        <w:t>the year 2050  (2019)</w:t>
      </w:r>
    </w:p>
    <w:p>
      <w:r>
        <w:t>As an outcome of the analyses presented in the article there emerged a complete vision of planned development of high-speed rail network in the European Union, which length in 2030 could be estimated for approximetaly 16,5 thousand kilometers.</w:t>
      </w:r>
    </w:p>
    <w:p>
      <w:pPr>
        <w:spacing w:after="240"/>
      </w:pPr>
      <w:r>
        <w:rPr>
          <w:b/>
          <w:sz w:val="16"/>
        </w:rPr>
        <w:t xml:space="preserve">ORIGINAL STUDY   </w:t>
      </w:r>
      <w:r>
        <w:rPr>
          <w:sz w:val="16"/>
        </w:rPr>
        <w:t>https://doi.org/10.35117/a_eng_19_07_01</w:t>
      </w:r>
    </w:p>
    <w:p>
      <w:pPr>
        <w:pStyle w:val="Heading1"/>
      </w:pPr>
      <w:r>
        <w:t>226.  Towards a sustainable European energy system: Linking optimization models with multi-regional input-output analysis  (2019)</w:t>
      </w:r>
    </w:p>
    <w:p>
      <w:r>
        <w:t>This study uses two models to analyze the implications of these goals on the European energy system and on the rest of the world, based on several scenarios for the mid and long term. First, using a linear programming optimization model for capacity expansion and unit commitment, we obtain the optimal design of the European power system in 2030 and 2050.</w:t>
      </w:r>
    </w:p>
    <w:p>
      <w:pPr>
        <w:spacing w:after="240"/>
      </w:pPr>
      <w:r>
        <w:rPr>
          <w:b/>
          <w:sz w:val="16"/>
        </w:rPr>
        <w:t xml:space="preserve">ORIGINAL STUDY   </w:t>
      </w:r>
      <w:r>
        <w:rPr>
          <w:sz w:val="16"/>
        </w:rPr>
        <w:t>https://doi.org/10.1016/j.esr.2019.100391</w:t>
      </w:r>
    </w:p>
    <w:p>
      <w:pPr>
        <w:pStyle w:val="Heading1"/>
      </w:pPr>
      <w:r>
        <w:t>227.  Transition pathways to sustainability in greater than 2 °C climate futures of Europe  (2019)</w:t>
      </w:r>
    </w:p>
    <w:p>
      <w:r>
        <w:t>The pathways support Europe in moving towards a desirable future vision, through top-down and bottom-up actions that lower greenhouse gas emissions, reduce impacts of and vulnerabilities to climate and socioeconomic changes and enhance well-being. Analysis shows that the pathways that are robust to future scenario uncertainty are those that shift Europe towards sustainable lifestyles, support and strengthen good governance for sustainability and promote adaptive resource management for water, agriculture and energy.</w:t>
      </w:r>
    </w:p>
    <w:p>
      <w:pPr>
        <w:spacing w:after="240"/>
      </w:pPr>
      <w:r>
        <w:rPr>
          <w:b/>
          <w:sz w:val="16"/>
        </w:rPr>
        <w:t xml:space="preserve">ORIGINAL STUDY   </w:t>
      </w:r>
      <w:r>
        <w:rPr>
          <w:sz w:val="16"/>
        </w:rPr>
        <w:t>https://doi.org/10.1007/s10113-019-01475-x</w:t>
      </w:r>
    </w:p>
    <w:p>
      <w:pPr>
        <w:pStyle w:val="Heading1"/>
      </w:pPr>
      <w:r>
        <w:t>228.  When will European Muslim population be majority and in which country?  (2019)</w:t>
      </w:r>
    </w:p>
    <w:p>
      <w:r>
        <w:t>Findings Among three scenarios, the most likely mid-point migration scenario identifies 13 countries where the Muslim population will be majority between years 2085 and 2215: Cyprus (in year 2085), Sweden (2125), France (2135), Greece (2135), Belgium (2140), Bulgaria (2140), Italy (2175), Luxembourg (2175), the UK (2180), Slovenia (2190), Switzerland (2195), Ireland (2200) and Lithuania (2215). Three scenarios are considered: the zero-migration scenario where the authors assume that the Muslim population has a higher fertility (one child more per woman, on average) than other Europeans, mirroring a global pattern; a 2017 migration scenario: to the Muslim population obtained in the zero-migration scenario, the authors add a continuous flow of migrants every year based on year 2017; the mid-point migration scenario is obtained by averaging the data of the two previous scenarios.</w:t>
      </w:r>
    </w:p>
    <w:p>
      <w:pPr>
        <w:spacing w:after="240"/>
      </w:pPr>
      <w:r>
        <w:rPr>
          <w:b/>
          <w:sz w:val="16"/>
        </w:rPr>
        <w:t xml:space="preserve">ORIGINAL STUDY   </w:t>
      </w:r>
      <w:r>
        <w:rPr>
          <w:sz w:val="16"/>
        </w:rPr>
        <w:t>https://doi.org/10.1108/prr-12-2018-0034</w:t>
      </w:r>
    </w:p>
    <w:p>
      <w:pPr>
        <w:pStyle w:val="Heading1"/>
      </w:pPr>
      <w:r>
        <w:t>229.  Will we reach the Sustainable Development Goals target for tuberculosis in the European Union/European Economic Area by 2030?  (2019)</w:t>
      </w:r>
    </w:p>
    <w:p>
      <w:r>
        <w:t>With the current average decline in notification rate and number of TB deaths however, the EU/EEA will not reach the targets by 2030.</w:t>
      </w:r>
    </w:p>
    <w:p>
      <w:pPr>
        <w:spacing w:after="240"/>
      </w:pPr>
      <w:r>
        <w:rPr>
          <w:b/>
          <w:sz w:val="16"/>
        </w:rPr>
        <w:t xml:space="preserve">ORIGINAL STUDY   </w:t>
      </w:r>
      <w:r>
        <w:rPr>
          <w:sz w:val="16"/>
        </w:rPr>
        <w:t>https://doi.org/10.2807/1560-7917.es.2019.24.12.1900153</w:t>
      </w:r>
    </w:p>
    <w:p>
      <w:pPr>
        <w:pStyle w:val="Heading1"/>
      </w:pPr>
      <w:r>
        <w:t>230.  A Foresight Study of European East-West Agrifood Trade Options  (2018)</w:t>
      </w:r>
    </w:p>
    <w:p>
      <w:r>
        <w:t>Taking a trade perspective with a focus on agrifood markets, the current foresight study employs a computable general equilibrium simulation model to quantify the implications of different future pathways of European East-West trade relations for the Commonwealth of Independent States (CIS), thereby providing insight on how best to orientate their political and trade strategies. Comparing with a baseline, two optimistic pathways explore greater market access, both within Europe (‘Deep integration’) and globally (‘trade liberalisation’).</w:t>
      </w:r>
    </w:p>
    <w:p>
      <w:pPr>
        <w:spacing w:after="240"/>
      </w:pPr>
      <w:r>
        <w:rPr>
          <w:b/>
          <w:sz w:val="16"/>
        </w:rPr>
        <w:t xml:space="preserve">ORIGINAL STUDY   </w:t>
      </w:r>
      <w:r>
        <w:rPr>
          <w:sz w:val="16"/>
        </w:rPr>
        <w:t>https://doi.org/10.52825/gjae.v67i3.2099</w:t>
      </w:r>
    </w:p>
    <w:p>
      <w:pPr>
        <w:pStyle w:val="Heading1"/>
      </w:pPr>
      <w:r>
        <w:t>231.  A forecast of international migration flows into EU countries until 2050  (2018)</w:t>
      </w:r>
    </w:p>
    <w:p>
      <w:r>
        <w:t>The data used for the forecast is UN data on migration flows in 1990-2015, and the UN’s predictions regarding changes in population between now and 2050. The research objective is a quantitative estimation of the volume of international migration flows into European countries and their close neighbors until 2050.</w:t>
      </w:r>
    </w:p>
    <w:p>
      <w:pPr>
        <w:spacing w:after="240"/>
      </w:pPr>
      <w:r>
        <w:rPr>
          <w:b/>
          <w:sz w:val="16"/>
        </w:rPr>
        <w:t xml:space="preserve">ORIGINAL STUDY   </w:t>
      </w:r>
      <w:r>
        <w:rPr>
          <w:sz w:val="16"/>
        </w:rPr>
        <w:t>https://doi.org/10.14746/pp.2018.23.4.6</w:t>
      </w:r>
    </w:p>
    <w:p>
      <w:pPr>
        <w:pStyle w:val="Heading1"/>
      </w:pPr>
      <w:r>
        <w:t>232.  A threat to climate-secure European futures? Exploring racial logics and climate-induced migration in US and EU climate security discourses  (2018)</w:t>
      </w:r>
    </w:p>
    <w:p>
      <w:r>
        <w:t>The paper proposes a reconceptualization of ‘racial logics’: a form of discursive construction that connects naturalized assumptions about racialized Others with possible outcomes in conditions of future climate insecurity. Constructed as racialized Others, ‘Muslim’ and ‘African’ migrant populations could face exclusionary containment policies in climate-insecure futures.</w:t>
      </w:r>
    </w:p>
    <w:p>
      <w:pPr>
        <w:spacing w:after="240"/>
      </w:pPr>
      <w:r>
        <w:rPr>
          <w:b/>
          <w:sz w:val="16"/>
        </w:rPr>
        <w:t xml:space="preserve">ORIGINAL STUDY   </w:t>
      </w:r>
      <w:r>
        <w:rPr>
          <w:sz w:val="16"/>
        </w:rPr>
        <w:t>https://doi.org/10.1016/j.geoforum.2018.08.021</w:t>
      </w:r>
    </w:p>
    <w:p>
      <w:pPr>
        <w:pStyle w:val="Heading1"/>
      </w:pPr>
      <w:r>
        <w:t>233.  Abandonment landscapes: user attitudes, alternative futures and land management in Castro Laboreiro, Portugal  (2018)</w:t>
      </w:r>
    </w:p>
    <w:p>
      <w:r>
        <w:t>In a case study in Northern Portugal, we used a combination of statements, photograph rating exercises and open questions to assess the perceptions of local inhabitants, visitors and experts regarding land abandonment and their preferences of different possible trajectories after abandonment. The results show that all user groups have a negative response towards abandonment and associate it mainly with negative emotions and the loss of heritage and traditions.</w:t>
      </w:r>
    </w:p>
    <w:p>
      <w:pPr>
        <w:spacing w:after="240"/>
      </w:pPr>
      <w:r>
        <w:rPr>
          <w:b/>
          <w:sz w:val="16"/>
        </w:rPr>
        <w:t xml:space="preserve">ORIGINAL STUDY   </w:t>
      </w:r>
      <w:r>
        <w:rPr>
          <w:sz w:val="16"/>
        </w:rPr>
        <w:t>https://doi.org/10.1007/s10113-018-1294-x</w:t>
      </w:r>
    </w:p>
    <w:p>
      <w:pPr>
        <w:pStyle w:val="Heading1"/>
      </w:pPr>
      <w:r>
        <w:t>234.  Analysing the potential of integrating wind and solar power in Europe using spatial optimisation under various scenarios  (2018)</w:t>
      </w:r>
    </w:p>
    <w:p>
      <w:r>
        <w:t>We test the potential of this method by modelling several scenarios exploring the effects of vRES penetration, alternative demand profiles, access to wind sites located far offshore, and alternative PV configurations. We find that expanding offshore wind capacity in the North Sea is a ‘no regret’ option, though correlated generation patterns with onshore wind farms in neighbouring countries at high vRES penetration rates may lead to significant surplus generation.</w:t>
      </w:r>
    </w:p>
    <w:p>
      <w:pPr>
        <w:spacing w:after="240"/>
      </w:pPr>
      <w:r>
        <w:rPr>
          <w:b/>
          <w:sz w:val="16"/>
        </w:rPr>
        <w:t xml:space="preserve">ORIGINAL STUDY   </w:t>
      </w:r>
      <w:r>
        <w:rPr>
          <w:sz w:val="16"/>
        </w:rPr>
        <w:t>https://doi.org/10.1016/j.rser.2018.05.071</w:t>
      </w:r>
    </w:p>
    <w:p>
      <w:pPr>
        <w:pStyle w:val="Heading1"/>
      </w:pPr>
      <w:r>
        <w:t>235.  Assessing the Future of Renewable Energy Consumption for United Kingdom, Turkey and Nigeria  (2018)</w:t>
      </w:r>
    </w:p>
    <w:p>
      <w:r>
        <w:t>Then, a prediction model is developed for the year 2030. These findings support the advantages of government policies encouraging the use of RE by implementing RE markets and RE portfolio standards to not only enhance the security and environmental concerns, but also from a macroeconomic point of view (stable economic growth).</w:t>
      </w:r>
    </w:p>
    <w:p>
      <w:pPr>
        <w:spacing w:after="240"/>
      </w:pPr>
      <w:r>
        <w:rPr>
          <w:b/>
          <w:sz w:val="16"/>
        </w:rPr>
        <w:t xml:space="preserve">ORIGINAL STUDY   </w:t>
      </w:r>
      <w:r>
        <w:rPr>
          <w:sz w:val="16"/>
        </w:rPr>
        <w:t>https://doi.org/10.17323/2500-2597.2018.4.62.77</w:t>
      </w:r>
    </w:p>
    <w:p>
      <w:pPr>
        <w:pStyle w:val="Heading1"/>
      </w:pPr>
      <w:r>
        <w:t>236.  Baltic herring for food: Shades of grey in how backcasting recommendations work across exploratory scenarios  (2018)</w:t>
      </w:r>
    </w:p>
    <w:p>
      <w:r>
        <w:t>The case study: 1) develops recommendations on how the use of Baltic herring as food can be increased based on a participatory backcasting workshop with fisheries experts; 2) identifies four exploratory scenarios on the future of Baltic fisheries governance based on a literature review; 3) assesses how the recommendations work under four alternative plausible futures. Together, these stress the need to analyse simultaneously multiple drivers, stakeholders, exploratory scenarios, normative recommendations, and synergies and frictions between recommendations.</w:t>
      </w:r>
    </w:p>
    <w:p>
      <w:pPr>
        <w:spacing w:after="240"/>
      </w:pPr>
      <w:r>
        <w:rPr>
          <w:b/>
          <w:sz w:val="16"/>
        </w:rPr>
        <w:t xml:space="preserve">ORIGINAL STUDY   </w:t>
      </w:r>
      <w:r>
        <w:rPr>
          <w:sz w:val="16"/>
        </w:rPr>
        <w:t>https://doi.org/10.1016/j.techfore.2018.11.001</w:t>
      </w:r>
    </w:p>
    <w:p>
      <w:pPr>
        <w:pStyle w:val="Heading1"/>
      </w:pPr>
      <w:r>
        <w:t>237.  Central-East European employees on the labour market of London  (2018)</w:t>
      </w:r>
    </w:p>
    <w:p>
      <w:r>
        <w:t>Practical implications – The conclusions of the study provide an adequate framework for the development of a rational economic policy program, which is the basis for future development, for the conscious development of the future of our region.</w:t>
      </w:r>
    </w:p>
    <w:p>
      <w:pPr>
        <w:spacing w:after="240"/>
      </w:pPr>
      <w:r>
        <w:rPr>
          <w:b/>
          <w:sz w:val="16"/>
        </w:rPr>
        <w:t xml:space="preserve">ORIGINAL STUDY   </w:t>
      </w:r>
      <w:r>
        <w:rPr>
          <w:sz w:val="16"/>
        </w:rPr>
        <w:t>https://doi.org/10.33605/croma-012018-004</w:t>
      </w:r>
    </w:p>
    <w:p>
      <w:pPr>
        <w:pStyle w:val="Heading1"/>
      </w:pPr>
      <w:r>
        <w:t>238.  Climate change mitigation: evidences from the European scenario  (2018)</w:t>
      </w:r>
    </w:p>
    <w:p>
      <w:r>
        <w:t>By 2050, the EU aims to reduce its greenhouse gas emissions by 80%-95% compared with 1990 levels. New objectives up to 2030 provide for a 40% reduction of GHG emissions and an increase of 27% for renewables and energy efficiency.</w:t>
      </w:r>
    </w:p>
    <w:p>
      <w:pPr>
        <w:spacing w:after="240"/>
      </w:pPr>
      <w:r>
        <w:rPr>
          <w:b/>
          <w:sz w:val="16"/>
        </w:rPr>
        <w:t xml:space="preserve">ORIGINAL STUDY   </w:t>
      </w:r>
      <w:r>
        <w:rPr>
          <w:sz w:val="16"/>
        </w:rPr>
        <w:t>https://doi.org/10.1504/ijmne.2018.095079</w:t>
      </w:r>
    </w:p>
    <w:p>
      <w:pPr>
        <w:pStyle w:val="Heading1"/>
      </w:pPr>
      <w:r>
        <w:t>239.  Climate change mitigation: evidences from the European scenario  (2018)</w:t>
      </w:r>
    </w:p>
    <w:p>
      <w:r>
        <w:t>By 2050, the EU aims to reduce its greenhouse gas emissions by 80%-95% compared with 1990 levels. New objectives up to 2030 provide for a 40% reduction of GHG emissions and an increase of 27% for renewables and energy efficiency.</w:t>
      </w:r>
    </w:p>
    <w:p>
      <w:pPr>
        <w:spacing w:after="240"/>
      </w:pPr>
      <w:r>
        <w:rPr>
          <w:b/>
          <w:sz w:val="16"/>
        </w:rPr>
        <w:t xml:space="preserve">ORIGINAL STUDY   </w:t>
      </w:r>
      <w:r>
        <w:rPr>
          <w:sz w:val="16"/>
        </w:rPr>
        <w:t>https://doi.org/10.1504/ijmne.2018.10016474</w:t>
      </w:r>
    </w:p>
    <w:p>
      <w:pPr>
        <w:pStyle w:val="Heading1"/>
      </w:pPr>
      <w:r>
        <w:t>240.  Current situation and future prospects for beef production in Europe — A review  (2018)</w:t>
      </w:r>
    </w:p>
    <w:p>
      <w:r>
        <w:t>These may affect the whole industry, especially its farmers. Different future scenarios can be written depending on the major driving forces, notably meat consumption, climate change, environmental policies and future organization of the supply chain.</w:t>
      </w:r>
    </w:p>
    <w:p>
      <w:pPr>
        <w:spacing w:after="240"/>
      </w:pPr>
      <w:r>
        <w:rPr>
          <w:b/>
          <w:sz w:val="16"/>
        </w:rPr>
        <w:t xml:space="preserve">ORIGINAL STUDY   </w:t>
      </w:r>
      <w:r>
        <w:rPr>
          <w:sz w:val="16"/>
        </w:rPr>
        <w:t>https://doi.org/10.5713/ajas.18.0196</w:t>
      </w:r>
    </w:p>
    <w:p>
      <w:pPr>
        <w:pStyle w:val="Heading1"/>
      </w:pPr>
      <w:r>
        <w:t>241.  Delphi Prospection on Additive Manufacturing in 2030: Implications for Education and Employment in Spain  (2018)</w:t>
      </w:r>
    </w:p>
    <w:p>
      <w:r>
        <w:t>The purpose of this paper is to anticipate the main changes that will occur in AM by 2030 as forecast by more than 100 Spanish experts through Delphi prospection performed in 2018. Such changes will enable students to have the profiles foreseen in these job trends.</w:t>
      </w:r>
    </w:p>
    <w:p>
      <w:pPr>
        <w:spacing w:after="240"/>
      </w:pPr>
      <w:r>
        <w:rPr>
          <w:b/>
          <w:sz w:val="16"/>
        </w:rPr>
        <w:t xml:space="preserve">ORIGINAL STUDY   </w:t>
      </w:r>
      <w:r>
        <w:rPr>
          <w:sz w:val="16"/>
        </w:rPr>
        <w:t>https://doi.org/10.3390/ma11091500</w:t>
      </w:r>
    </w:p>
    <w:p>
      <w:pPr>
        <w:pStyle w:val="Heading1"/>
      </w:pPr>
      <w:r>
        <w:t>242.  Drivers, trends and scenarios for the future of health in Europe. Impressions from the FRESHER project  (2018)</w:t>
      </w:r>
    </w:p>
    <w:p>
      <w:r>
        <w:t>In our foresight project FRESHER (FORESIGHT AND MODELLING FOR EUROPEAN HEALTH POLICY AND REGULATION) we discuss policy options with stakeholders from health, research, care, patient organisations, insurances and policy-making that go beyond the usual activities and pose alternatives that promise to be more successful. From an analysis of trends that affect NCD development far beyond the usual determinants of tobacco and alcohol consumption, salt, sugar and fat intake or sedentary behaviour the most relevant and significant trends are combined to four scenarios depicting possible futures.</w:t>
      </w:r>
    </w:p>
    <w:p>
      <w:pPr>
        <w:spacing w:after="240"/>
      </w:pPr>
      <w:r>
        <w:rPr>
          <w:b/>
          <w:sz w:val="16"/>
        </w:rPr>
        <w:t xml:space="preserve">ORIGINAL STUDY   </w:t>
      </w:r>
      <w:r>
        <w:rPr>
          <w:sz w:val="16"/>
        </w:rPr>
        <w:t>https://doi.org/10.1007/s40309-017-0118-4</w:t>
      </w:r>
    </w:p>
    <w:p>
      <w:pPr>
        <w:pStyle w:val="Heading1"/>
      </w:pPr>
      <w:r>
        <w:t>243.  EUHFORIA: European heliospheric forecasting information asset  (2018)</w:t>
      </w:r>
    </w:p>
    <w:p>
      <w:r>
        <w:t>The implementation and first results of the new space weather forecasting-targeted inner heliosphere model “European heliospheric forecasting information asset” (EUHFORIA) are presented. The results feature a highly dynamic heliosphere that the model is able to capture in good agreement with in situ observations.</w:t>
      </w:r>
    </w:p>
    <w:p>
      <w:pPr>
        <w:spacing w:after="240"/>
      </w:pPr>
      <w:r>
        <w:rPr>
          <w:b/>
          <w:sz w:val="16"/>
        </w:rPr>
        <w:t xml:space="preserve">ORIGINAL STUDY   </w:t>
      </w:r>
      <w:r>
        <w:rPr>
          <w:sz w:val="16"/>
        </w:rPr>
        <w:t>https://doi.org/10.1051/swsc/2018020</w:t>
      </w:r>
    </w:p>
    <w:p>
      <w:pPr>
        <w:pStyle w:val="Heading1"/>
      </w:pPr>
      <w:r>
        <w:t>244.  Estimation and Forecasts for the Share of Renewable Energy Consumption in Final Energy Consumption by 2020 in the European Union  (2018)</w:t>
      </w:r>
    </w:p>
    <w:p>
      <w:r>
        <w:t>Forecasts of this share for the 2020 horizon were obtained, all showing that the EU target is yet to be reached. Empirical estimations of renewable energy share into the final energy consumption showed increasing trend for all groups, while providing forecasts quite different from the EU ones.</w:t>
      </w:r>
    </w:p>
    <w:p>
      <w:pPr>
        <w:spacing w:after="240"/>
      </w:pPr>
      <w:r>
        <w:rPr>
          <w:b/>
          <w:sz w:val="16"/>
        </w:rPr>
        <w:t xml:space="preserve">ORIGINAL STUDY   </w:t>
      </w:r>
      <w:r>
        <w:rPr>
          <w:sz w:val="16"/>
        </w:rPr>
        <w:t>https://doi.org/10.3390/su10051515</w:t>
      </w:r>
    </w:p>
    <w:p>
      <w:pPr>
        <w:pStyle w:val="Heading1"/>
      </w:pPr>
      <w:r>
        <w:t>245.  European Road Safety Policy 2016-2020: A Forecast on Topics and Activities  (2018)</w:t>
      </w:r>
    </w:p>
    <w:p>
      <w:r>
        <w:t>However, no legislative proposals are expected. - Reducing the number of seriously injured will be a core objective in the future: A reduction goal of 50% has been set by the Council of the European Union for the period 2020-2030.The results show that the developments of the last years point towards a full and active agenda till 2020 and beyond. However, the topics and activities of road safety policy that will determine the next few years are less apparent.</w:t>
      </w:r>
    </w:p>
    <w:p>
      <w:pPr>
        <w:spacing w:after="240"/>
      </w:pPr>
      <w:r>
        <w:rPr>
          <w:b/>
          <w:sz w:val="16"/>
        </w:rPr>
        <w:t xml:space="preserve">ORIGINAL STUDY   </w:t>
      </w:r>
      <w:r>
        <w:rPr>
          <w:sz w:val="16"/>
        </w:rPr>
        <w:t>https://doi.org/10.21625/archive.v2i1.237</w:t>
      </w:r>
    </w:p>
    <w:p>
      <w:pPr>
        <w:pStyle w:val="Heading1"/>
      </w:pPr>
      <w:r>
        <w:t>246.  Focused Futures from Finland  (2018)</w:t>
      </w:r>
    </w:p>
    <w:p>
      <w:r>
        <w:t>At the end of the article, we present four scenarios of the future of the FFRC jointly made by the staff.</w:t>
      </w:r>
    </w:p>
    <w:p>
      <w:pPr>
        <w:spacing w:after="240"/>
      </w:pPr>
      <w:r>
        <w:rPr>
          <w:b/>
          <w:sz w:val="16"/>
        </w:rPr>
        <w:t xml:space="preserve">ORIGINAL STUDY   </w:t>
      </w:r>
      <w:r>
        <w:rPr>
          <w:sz w:val="16"/>
        </w:rPr>
        <w:t>https://doi.org/10.1177/1946756718754847</w:t>
      </w:r>
    </w:p>
    <w:p>
      <w:pPr>
        <w:pStyle w:val="Heading1"/>
      </w:pPr>
      <w:r>
        <w:t>247.  Forecasting turbulence in the Asian and European stock market using regime-switching models  (2018)</w:t>
      </w:r>
    </w:p>
    <w:p>
      <w:r>
        <w:t>An early warning system to timely forecast turbulences in the Asian and European stock market is proposed. Subsequently, a forecasting model using logistic regression and economic input factors is selected.</w:t>
      </w:r>
    </w:p>
    <w:p>
      <w:pPr>
        <w:spacing w:after="240"/>
      </w:pPr>
      <w:r>
        <w:rPr>
          <w:b/>
          <w:sz w:val="16"/>
        </w:rPr>
        <w:t xml:space="preserve">ORIGINAL STUDY   </w:t>
      </w:r>
      <w:r>
        <w:rPr>
          <w:sz w:val="16"/>
        </w:rPr>
        <w:t>https://doi.org/10.3934/qfe.2018.2.388</w:t>
      </w:r>
    </w:p>
    <w:p>
      <w:pPr>
        <w:pStyle w:val="Heading1"/>
      </w:pPr>
      <w:r>
        <w:t>248.  Foresight in Public Administration: Methods and Perspectives of Implementation in Ukraine  (2018)</w:t>
      </w:r>
    </w:p>
    <w:p>
      <w:r>
        <w:t>Examples of practical application of foresight methodology and individual technologies of social prediction are given.The author draws attention to the fact that in the field of public administration decisions must be made on the basis of knowledge of long-term trends and opportunities of technology and society. If they are not included in the timetable in time, then all long-term projects may be doomed to failure.Particular attention is needed to new factors and innovations, in conditions when the state is working on changing the ways of development of the country.</w:t>
      </w:r>
    </w:p>
    <w:p>
      <w:pPr>
        <w:spacing w:after="240"/>
      </w:pPr>
      <w:r>
        <w:rPr>
          <w:b/>
          <w:sz w:val="16"/>
        </w:rPr>
        <w:t xml:space="preserve">ORIGINAL STUDY   </w:t>
      </w:r>
      <w:r>
        <w:rPr>
          <w:sz w:val="16"/>
        </w:rPr>
        <w:t>https://doi.org/10.15421/151847</w:t>
      </w:r>
    </w:p>
    <w:p>
      <w:pPr>
        <w:pStyle w:val="Heading1"/>
      </w:pPr>
      <w:r>
        <w:t>249.  Future Trajectories of Renewable Energy Consumption in the European Union  (2018)</w:t>
      </w:r>
    </w:p>
    <w:p>
      <w:r>
        <w:t>Starting from historical data reported in the Eurostat database and through a mathematical model, this work proposes future trajectories towards 2020 of the share of energy from renewables (REs) in terms of gross final energy consumption (GFEC). The share of REs in GFEC in EU 28 varies from 19.4% to 21.8% in future trajectories towards 2020.</w:t>
      </w:r>
    </w:p>
    <w:p>
      <w:pPr>
        <w:spacing w:after="240"/>
      </w:pPr>
      <w:r>
        <w:rPr>
          <w:b/>
          <w:sz w:val="16"/>
        </w:rPr>
        <w:t xml:space="preserve">ORIGINAL STUDY   </w:t>
      </w:r>
      <w:r>
        <w:rPr>
          <w:sz w:val="16"/>
        </w:rPr>
        <w:t>https://doi.org/10.3390/resources7010010</w:t>
      </w:r>
    </w:p>
    <w:p>
      <w:pPr>
        <w:pStyle w:val="Heading1"/>
      </w:pPr>
      <w:r>
        <w:t>250.  Grassland futures in Great Britain – Productivity assessment and scenarios for land use change opportunities  (2018)</w:t>
      </w:r>
    </w:p>
    <w:p>
      <w:r>
        <w:t>The effects of climate change, rising atmospheric [CO 2 ] and technological progress on baseline DMYs were used to estimate future grassland productivities (up to 2050) for low and medium CO 2 emission scenarios of UKCP09. By 2050, productivities under medium emission scenario are predicted to increase to 15.5 and 9.8 t/ha on temporary and permanent grassland, respectively, but not on rough grassland.</w:t>
      </w:r>
    </w:p>
    <w:p>
      <w:pPr>
        <w:spacing w:after="240"/>
      </w:pPr>
      <w:r>
        <w:rPr>
          <w:b/>
          <w:sz w:val="16"/>
        </w:rPr>
        <w:t xml:space="preserve">ORIGINAL STUDY   </w:t>
      </w:r>
      <w:r>
        <w:rPr>
          <w:sz w:val="16"/>
        </w:rPr>
        <w:t>https://doi.org/10.1016/j.scitotenv.2018.03.395</w:t>
      </w:r>
    </w:p>
    <w:p>
      <w:pPr>
        <w:pStyle w:val="Heading1"/>
      </w:pPr>
      <w:r>
        <w:t>251.  Implementing exogenous scenarios in a global MRIO model for the estimation of future environmental footprints  (2018)</w:t>
      </w:r>
    </w:p>
    <w:p>
      <w:r>
        <w:t>As an additional example, we show that the energy dependency of Europe is reduced in the 2-degree scenario compared to the 6-degree scenario, while the material dependency is higher. This paper introduces a simple approach to implementing existing climate change scenarios, such as the IEA energy technology perspective scenarios, in MRIO models.</w:t>
      </w:r>
    </w:p>
    <w:p>
      <w:pPr>
        <w:spacing w:after="240"/>
      </w:pPr>
      <w:r>
        <w:rPr>
          <w:b/>
          <w:sz w:val="16"/>
        </w:rPr>
        <w:t xml:space="preserve">ORIGINAL STUDY   </w:t>
      </w:r>
      <w:r>
        <w:rPr>
          <w:sz w:val="16"/>
        </w:rPr>
        <w:t>https://doi.org/10.1186/s40008-018-0118-y</w:t>
      </w:r>
    </w:p>
    <w:p>
      <w:pPr>
        <w:pStyle w:val="Heading1"/>
      </w:pPr>
      <w:r>
        <w:t>252.  Multi-Model Projections of River Flood Risk in Europe under Global Warming  (2018)</w:t>
      </w:r>
    </w:p>
    <w:p>
      <w:r>
        <w:t>Knowledge on the costs of natural disasters under climate change is key information for planning adaptation and mitigation strategies of future climate policies. This work compares estimates of river flood risk in Europe from three recent case studies, assuming global warming scenarios of 1.5, 2, and 3 degrees Celsius from pre-industrial levels.</w:t>
      </w:r>
    </w:p>
    <w:p>
      <w:pPr>
        <w:spacing w:after="240"/>
      </w:pPr>
      <w:r>
        <w:rPr>
          <w:b/>
          <w:sz w:val="16"/>
        </w:rPr>
        <w:t xml:space="preserve">ORIGINAL STUDY   </w:t>
      </w:r>
      <w:r>
        <w:rPr>
          <w:sz w:val="16"/>
        </w:rPr>
        <w:t>https://doi.org/10.3390/cli6010006</w:t>
      </w:r>
    </w:p>
    <w:p>
      <w:pPr>
        <w:pStyle w:val="Heading1"/>
      </w:pPr>
      <w:r>
        <w:t>253.  New European socio-economic scenarios for climate change research: operationalising concepts to extend the shared socio-economic pathways  (2018)</w:t>
      </w:r>
    </w:p>
    <w:p>
      <w:r>
        <w:t>Scenarios have been recognised as a useful tool for planning, which have resulted in a strong increase in the number of (multi-scale) scenarios in climate change research. We present a set of four European SSPs until 2100 and a novel method to develop qualitative stories for Europe equivalent to the global SSPs starting from an existing set of European scenarios.</w:t>
      </w:r>
    </w:p>
    <w:p>
      <w:pPr>
        <w:spacing w:after="240"/>
      </w:pPr>
      <w:r>
        <w:rPr>
          <w:b/>
          <w:sz w:val="16"/>
        </w:rPr>
        <w:t xml:space="preserve">ORIGINAL STUDY   </w:t>
      </w:r>
      <w:r>
        <w:rPr>
          <w:sz w:val="16"/>
        </w:rPr>
        <w:t>https://doi.org/10.1007/s10113-018-1400-0</w:t>
      </w:r>
    </w:p>
    <w:p>
      <w:pPr>
        <w:pStyle w:val="Heading1"/>
      </w:pPr>
      <w:r>
        <w:t>254.  Outlook of the European forest-based sector: forest growth, harvest demand, wood-product markets, and forest carbon dynamics implications  (2018)</w:t>
      </w:r>
    </w:p>
    <w:p>
      <w:r>
        <w:t>In a business-as-usual (BaU) scenario, European Union harvests increase seven percent by 2030 compared to past levels (485 million m3 on 2000-2012 average and 517 million m3 in 2030). In the HM scenario, harvest increases by 55% (754 million m3 in 2030) compared to the BaU scenario.</w:t>
      </w:r>
    </w:p>
    <w:p>
      <w:pPr>
        <w:spacing w:after="240"/>
      </w:pPr>
      <w:r>
        <w:rPr>
          <w:b/>
          <w:sz w:val="16"/>
        </w:rPr>
        <w:t xml:space="preserve">ORIGINAL STUDY   </w:t>
      </w:r>
      <w:r>
        <w:rPr>
          <w:sz w:val="16"/>
        </w:rPr>
        <w:t>https://doi.org/10.3832/ifor2636-011</w:t>
      </w:r>
    </w:p>
    <w:p>
      <w:pPr>
        <w:pStyle w:val="Heading1"/>
      </w:pPr>
      <w:r>
        <w:t>255.  PROGNOSTIC MODEL OF THE UKRAINE SYSTEM OF GENERAL SECONDARY EDUCATION DEVELOPMENT: FORECASTING SCENARIOS OF THE DEVELOPMENT  (2018)</w:t>
      </w:r>
    </w:p>
    <w:p>
      <w:r>
        <w:t>The article is presented four forecasting scenarios Ukraine system of general secondary education development (optimistic, first realistic with positive profile characteristics, second realistic with positive background characteristics and pessimistic), described the content of each forecasting scenario, and indicated the main external and internal factors, which will contribute to its implementation.</w:t>
      </w:r>
    </w:p>
    <w:p>
      <w:pPr>
        <w:spacing w:after="240"/>
      </w:pPr>
      <w:r>
        <w:rPr>
          <w:b/>
          <w:sz w:val="16"/>
        </w:rPr>
        <w:t xml:space="preserve">ORIGINAL STUDY   </w:t>
      </w:r>
      <w:r>
        <w:rPr>
          <w:sz w:val="16"/>
        </w:rPr>
        <w:t>https://doi.org/10.32405/2411-1317-2018-4-45-53</w:t>
      </w:r>
    </w:p>
    <w:p>
      <w:pPr>
        <w:pStyle w:val="Heading1"/>
      </w:pPr>
      <w:r>
        <w:t>256.  Plan Ceibal 2020: future scenarios for technology and education—the case of the Uruguayan public education system  (2018)</w:t>
      </w:r>
    </w:p>
    <w:p>
      <w:r>
        <w:t>In the present work, a set of future studies were implemented in order to answer the following question: What will the future scenarios be within the next 5 years regarding new technologies in the public education sector in Uruguay? This approach allowed us to define the possible technological future for the national education and technology policy.</w:t>
      </w:r>
    </w:p>
    <w:p>
      <w:pPr>
        <w:spacing w:after="240"/>
      </w:pPr>
      <w:r>
        <w:rPr>
          <w:b/>
          <w:sz w:val="16"/>
        </w:rPr>
        <w:t xml:space="preserve">ORIGINAL STUDY   </w:t>
      </w:r>
      <w:r>
        <w:rPr>
          <w:sz w:val="16"/>
        </w:rPr>
        <w:t>https://doi.org/10.1186/s40309-018-0134-z</w:t>
      </w:r>
    </w:p>
    <w:p>
      <w:pPr>
        <w:pStyle w:val="Heading1"/>
      </w:pPr>
      <w:r>
        <w:t>257.  Polish and Ukrainian foresight into the directions for the innovation of power plants  (2018)</w:t>
      </w:r>
    </w:p>
    <w:p>
      <w:r>
        <w:t>Such an approach could be used to establish a set of measures aimed at the continuous improvement of technical, technological, socioeconomic and environmental processes in power plants (e.g., the operation of Ukrainian hydroelectric power plants).</w:t>
      </w:r>
    </w:p>
    <w:p>
      <w:pPr>
        <w:spacing w:after="240"/>
      </w:pPr>
      <w:r>
        <w:rPr>
          <w:b/>
          <w:sz w:val="16"/>
        </w:rPr>
        <w:t xml:space="preserve">ORIGINAL STUDY   </w:t>
      </w:r>
      <w:r>
        <w:rPr>
          <w:sz w:val="16"/>
        </w:rPr>
        <w:t>https://doi.org/10.5277/ord180404</w:t>
      </w:r>
    </w:p>
    <w:p>
      <w:pPr>
        <w:pStyle w:val="Heading1"/>
      </w:pPr>
      <w:r>
        <w:t>258.  Potential for hydrogen and Power-to-Liquid in a low-carbon EU energy system using cost optimization  (2018)</w:t>
      </w:r>
    </w:p>
    <w:p>
      <w:r>
        <w:t>This study assesses the role of these pathways across scenarios that achieve 80–95% CO2 reduction by 2050 (vs. 1990) using the JRC-EU-TIMES model.</w:t>
      </w:r>
    </w:p>
    <w:p>
      <w:pPr>
        <w:spacing w:after="240"/>
      </w:pPr>
      <w:r>
        <w:rPr>
          <w:b/>
          <w:sz w:val="16"/>
        </w:rPr>
        <w:t xml:space="preserve">ORIGINAL STUDY   </w:t>
      </w:r>
      <w:r>
        <w:rPr>
          <w:sz w:val="16"/>
        </w:rPr>
        <w:t>https://doi.org/10.1016/j.apenergy.2018.09.216</w:t>
      </w:r>
    </w:p>
    <w:p>
      <w:pPr>
        <w:pStyle w:val="Heading1"/>
      </w:pPr>
      <w:r>
        <w:t>259.  Projecting Drivers of Human Vulnerability under the Shared Socioeconomic Pathways  (2018)</w:t>
      </w:r>
    </w:p>
    <w:p>
      <w:r>
        <w:t>The Shared Socioeconomic Pathways (SSPs) are the new set of alternative futures of societal development that inform global and regional climate change research. They have the potential to foster the integration of socioeconomic scenarios within assessments of future climate-related health impacts.</w:t>
      </w:r>
    </w:p>
    <w:p>
      <w:pPr>
        <w:spacing w:after="240"/>
      </w:pPr>
      <w:r>
        <w:rPr>
          <w:b/>
          <w:sz w:val="16"/>
        </w:rPr>
        <w:t xml:space="preserve">ORIGINAL STUDY   </w:t>
      </w:r>
      <w:r>
        <w:rPr>
          <w:sz w:val="16"/>
        </w:rPr>
        <w:t>https://doi.org/10.3390/ijerph15030554</w:t>
      </w:r>
    </w:p>
    <w:p>
      <w:pPr>
        <w:pStyle w:val="Heading1"/>
      </w:pPr>
      <w:r>
        <w:t>260.  Public health air pollution impacts of pathway options to meet the 2050 UK Climate Change Act target: a modelling study  (2018)</w:t>
      </w:r>
    </w:p>
    <w:p>
      <w:r>
        <w:t>Concentrations of PM2.5show a modest decrease by 2050, which would have been larger if it had not been for a significant increase in biomass (wood burning) use in the two CCA scenarios peaking in 2035. Conclusions We have established a system which can be used to explore a wider range of climate policy scenarios, including more European and global scenarios as well as local measures.</w:t>
      </w:r>
    </w:p>
    <w:p>
      <w:pPr>
        <w:spacing w:after="240"/>
      </w:pPr>
      <w:r>
        <w:rPr>
          <w:b/>
          <w:sz w:val="16"/>
        </w:rPr>
        <w:t xml:space="preserve">ORIGINAL STUDY   </w:t>
      </w:r>
      <w:r>
        <w:rPr>
          <w:sz w:val="16"/>
        </w:rPr>
        <w:t>https://doi.org/10.3310/phr06070</w:t>
      </w:r>
    </w:p>
    <w:p>
      <w:pPr>
        <w:pStyle w:val="Heading1"/>
      </w:pPr>
      <w:r>
        <w:t>261.  Renewable and Sustainable Energy Transitions for Countries with Different Climates and Renewable Energy Sources Potentials  (2018)</w:t>
      </w:r>
    </w:p>
    <w:p>
      <w:r>
        <w:t>The outcomes of the new scenarios support the future national plans, showing how decarburization in an energy system can occur in relation to the European Roadmap 2030 and 2050.</w:t>
      </w:r>
    </w:p>
    <w:p>
      <w:pPr>
        <w:spacing w:after="240"/>
      </w:pPr>
      <w:r>
        <w:rPr>
          <w:b/>
          <w:sz w:val="16"/>
        </w:rPr>
        <w:t xml:space="preserve">ORIGINAL STUDY   </w:t>
      </w:r>
      <w:r>
        <w:rPr>
          <w:sz w:val="16"/>
        </w:rPr>
        <w:t>https://doi.org/10.3390/en11123523</w:t>
      </w:r>
    </w:p>
    <w:p>
      <w:pPr>
        <w:pStyle w:val="Heading1"/>
      </w:pPr>
      <w:r>
        <w:t>262.  Renewable jet fuel supply scenarios in the European Union in 2021–2030 in the context of proposed biofuel policy and competing biomass demand  (2018)</w:t>
      </w:r>
    </w:p>
    <w:p>
      <w:r>
        <w:t>Model scenarios show nonfood RJF supply could increase from 1 PJ in 2021 to 165–261 PJ /year (3.8–6.1 million tonne (Mt)/year) by 2030, provided advanced biofuel technologies are developed and adequate (policy) incentives are present. Abstract This study presents supply scenarios of nonfood renewable jet fuel ( RJF ) in the European Union ( EU ) toward 2030, based on the anticipated regulatory context, availability of biomass and conversion technologies, and competing biomass demand from other sectors (i.e., transport, heat, power, and chemicals).</w:t>
      </w:r>
    </w:p>
    <w:p>
      <w:pPr>
        <w:spacing w:after="240"/>
      </w:pPr>
      <w:r>
        <w:rPr>
          <w:b/>
          <w:sz w:val="16"/>
        </w:rPr>
        <w:t xml:space="preserve">ORIGINAL STUDY   </w:t>
      </w:r>
      <w:r>
        <w:rPr>
          <w:sz w:val="16"/>
        </w:rPr>
        <w:t>https://doi.org/10.1111/gcbb.12525</w:t>
      </w:r>
    </w:p>
    <w:p>
      <w:pPr>
        <w:pStyle w:val="Heading1"/>
      </w:pPr>
      <w:r>
        <w:t>263.  Retirement timing in a future welfare state: a Finnish Delphi study  (2018)</w:t>
      </w:r>
    </w:p>
    <w:p>
      <w:r>
        <w:t>Design/methodology/approach The study employs the Delphi method by interviewing anonymous experts from a variety of relevant organisations and fields in Finland, then sending them a scaled on-line questionnaire from the initial findings to elicit views on the likelihood of different scenarios influencing retirement timing over the next 20 years. Findings While the experts perceived that a raised state pension age and a removal of early retirement options will inevitably delay retirement on average, multiple scenarios were believe to hinder this trend.</w:t>
      </w:r>
    </w:p>
    <w:p>
      <w:pPr>
        <w:spacing w:after="240"/>
      </w:pPr>
      <w:r>
        <w:rPr>
          <w:b/>
          <w:sz w:val="16"/>
        </w:rPr>
        <w:t xml:space="preserve">ORIGINAL STUDY   </w:t>
      </w:r>
      <w:r>
        <w:rPr>
          <w:sz w:val="16"/>
        </w:rPr>
        <w:t>https://doi.org/10.1108/ijssp-04-2018-0067</w:t>
      </w:r>
    </w:p>
    <w:p>
      <w:pPr>
        <w:pStyle w:val="Heading1"/>
      </w:pPr>
      <w:r>
        <w:t>264.  South East Europe electricity roadmap – modelling energy transition in the electricity sectors  (2018)</w:t>
      </w:r>
    </w:p>
    <w:p>
      <w:r>
        <w:t>It also explores what are the most important system wide impacts of the high deployment of renewable energy concerning generation adequacy and security of supply.Key policy insights Energy policies in the South East Europe (SEE) region, both at the national and regional level, should focus on enabling renewable energy integration, as this will be a key component of the future energy mix.EU and Energy Community policies should be incorporated into national energy planning to ensure that SEE countries embark on the energy transition process at an early stage.Stranded costs should be carefully considered in decision-making on new fossil-fuel generation and gas network investment in order to avoid lock-in to carbon intensive technologies.If consistent decarbonization policy prevails, with a significant and persistent CO2 price signal, the role of natural gas remains transitory in the region.The SEE region offers relatively cheap decarbonization options: the power sector can reduce GHG emissions above 94% by 2050 in the modelled scenarios.</w:t>
      </w:r>
    </w:p>
    <w:p>
      <w:pPr>
        <w:spacing w:after="240"/>
      </w:pPr>
      <w:r>
        <w:rPr>
          <w:b/>
          <w:sz w:val="16"/>
        </w:rPr>
        <w:t xml:space="preserve">ORIGINAL STUDY   </w:t>
      </w:r>
      <w:r>
        <w:rPr>
          <w:sz w:val="16"/>
        </w:rPr>
        <w:t>https://doi.org/10.1080/14693062.2018.1532390</w:t>
      </w:r>
    </w:p>
    <w:p>
      <w:pPr>
        <w:pStyle w:val="Heading1"/>
      </w:pPr>
      <w:r>
        <w:t>265.  Technology roadmapping in security and defence foresight  (2018)</w:t>
      </w:r>
    </w:p>
    <w:p>
      <w:r>
        <w:t>Design/methodology/approach The analysis is based on a content analysis of public domain Spanish Defence National Foresight Exercise, and a study directed to analyse the impact on defence technological and industrial base. Findings Foresight studies on the defence and security environment uses hybrid methodologies, but rarely involve all the stakeholders, and specially the citizens.</w:t>
      </w:r>
    </w:p>
    <w:p>
      <w:pPr>
        <w:spacing w:after="240"/>
      </w:pPr>
      <w:r>
        <w:rPr>
          <w:b/>
          <w:sz w:val="16"/>
        </w:rPr>
        <w:t xml:space="preserve">ORIGINAL STUDY   </w:t>
      </w:r>
      <w:r>
        <w:rPr>
          <w:sz w:val="16"/>
        </w:rPr>
        <w:t>https://doi.org/10.1108/fs-12-2017-0074</w:t>
      </w:r>
    </w:p>
    <w:p>
      <w:pPr>
        <w:pStyle w:val="Heading1"/>
      </w:pPr>
      <w:r>
        <w:t>266.  The Future of Rural Poland: the Main Trends and Possible Scenarios.  (2017)</w:t>
      </w:r>
    </w:p>
    <w:p>
      <w:r>
        <w:t>The objective of the report is to attempt the identification of the most significant factors that will shape Polish countryside until the year 2050 and to outline the feasible scenarios of changes in rural areas. The image of the Polish countryside in the perspective of the decades to come will most probably not undergo radical shifts.</w:t>
      </w:r>
    </w:p>
    <w:p>
      <w:pPr>
        <w:spacing w:after="240"/>
      </w:pPr>
      <w:r>
        <w:rPr>
          <w:b/>
          <w:sz w:val="16"/>
        </w:rPr>
        <w:t xml:space="preserve">ORIGINAL STUDY   </w:t>
      </w:r>
      <w:r>
        <w:rPr>
          <w:sz w:val="16"/>
        </w:rPr>
        <w:t>https://doi.org/10.1515/eec-2017-0004</w:t>
      </w:r>
    </w:p>
    <w:p>
      <w:pPr>
        <w:pStyle w:val="Heading1"/>
      </w:pPr>
      <w:r>
        <w:t>267.  The Public Health Status and Foresight report 2014: Four normative perspectives on a healthier Netherlands in 2040  (2018)</w:t>
      </w:r>
    </w:p>
    <w:p>
      <w:r>
        <w:t>We organized meetings with experts to explore how engagement and policy strategies in each scenario would affect the other three societal challenges. Possible synergies and trade-offs between the four scenarios were identified.</w:t>
      </w:r>
    </w:p>
    <w:p>
      <w:pPr>
        <w:spacing w:after="240"/>
      </w:pPr>
      <w:r>
        <w:rPr>
          <w:b/>
          <w:sz w:val="16"/>
        </w:rPr>
        <w:t xml:space="preserve">ORIGINAL STUDY   </w:t>
      </w:r>
      <w:r>
        <w:rPr>
          <w:sz w:val="16"/>
        </w:rPr>
        <w:t>https://doi.org/10.1016/j.healthpol.2018.10.014</w:t>
      </w:r>
    </w:p>
    <w:p>
      <w:pPr>
        <w:pStyle w:val="Heading1"/>
      </w:pPr>
      <w:r>
        <w:t>268.  The northern hemisphere circumglobal teleconnection in a seasonal forecast model and its relationship to European summer forecast skill  (2018)</w:t>
      </w:r>
    </w:p>
    <w:p>
      <w:r>
        <w:t>Third, the model jet is systematically shifted northwards by several degrees latitude over large parts of the northern hemisphere, which may affect the propagation characteristics of Rossby waves in the model.</w:t>
      </w:r>
    </w:p>
    <w:p>
      <w:pPr>
        <w:spacing w:after="240"/>
      </w:pPr>
      <w:r>
        <w:rPr>
          <w:b/>
          <w:sz w:val="16"/>
        </w:rPr>
        <w:t xml:space="preserve">ORIGINAL STUDY   </w:t>
      </w:r>
      <w:r>
        <w:rPr>
          <w:sz w:val="16"/>
        </w:rPr>
        <w:t>https://doi.org/10.1007/s00382-018-4371-4</w:t>
      </w:r>
    </w:p>
    <w:p>
      <w:pPr>
        <w:pStyle w:val="Heading1"/>
      </w:pPr>
      <w:r>
        <w:t>269.  Trends and forecast of obesity in Finland  (2018)</w:t>
      </w:r>
    </w:p>
    <w:p>
      <w:r>
        <w:t>The increase in the prevalence of obesity is projected to continue: every third adult is expected to be obese in 2028.</w:t>
      </w:r>
    </w:p>
    <w:p>
      <w:pPr>
        <w:spacing w:after="240"/>
      </w:pPr>
      <w:r>
        <w:rPr>
          <w:b/>
          <w:sz w:val="16"/>
        </w:rPr>
        <w:t xml:space="preserve">ORIGINAL STUDY   </w:t>
      </w:r>
      <w:r>
        <w:rPr>
          <w:sz w:val="16"/>
        </w:rPr>
        <w:t>https://doi.org/10.1093/eurpub/cky214.146</w:t>
      </w:r>
    </w:p>
    <w:p>
      <w:pPr>
        <w:pStyle w:val="Heading1"/>
      </w:pPr>
      <w:r>
        <w:t>270.  UK-EU RELATIONSHIP AFTER BREXIT: AN EXERCISE IN SCENARIO-BUILDING  (2018)</w:t>
      </w:r>
    </w:p>
    <w:p>
      <w:r>
        <w:t>In 2010s, the mainstream academic debate slowly but surely shifted towards European Union's internal crisis and the possibility of its disintegration.United Kingdom applying to exit the Union in 2017 is the most recent and arguably the strongest indicator of such possibility."Brexit" (as this process was dubbed) provides an interesting testing ground for latent European disintegration theories proposed by some political scientists.As the withdrawal negotiations have just started, one can only raise causal arguments for the future (if..., then); therefore this article employs scenario-building methodology recently established in political science with an aim to develop a set of scenarios of possible UK-EU relationship after Brexit.Four driving forces are cross-combined: (1) U.S. involvement in European security matters and bilateral relations with UK, (2) German leadership of the integrationist projects within the EU, (3) activism of the European Commission and the European Court of Justice, and (4) the stability of current minority cabinet in UK under Prime Minister May.The three scenarios that logically follow are: (1) UK as member of a nascent European security and defence union, (2) UK's return to the EU, and (3) UK as an independent power in an "anglobal" world.Rarely, however, do any scenarios composed by political scientists ever materialize in full and a mix of all three scenarios is most likely to come to pass over the course of the next five years or so.</w:t>
      </w:r>
    </w:p>
    <w:p>
      <w:pPr>
        <w:spacing w:after="240"/>
      </w:pPr>
      <w:r>
        <w:rPr>
          <w:b/>
          <w:sz w:val="16"/>
        </w:rPr>
        <w:t xml:space="preserve">ORIGINAL STUDY   </w:t>
      </w:r>
      <w:r>
        <w:rPr>
          <w:sz w:val="16"/>
        </w:rPr>
        <w:t>https://doi.org/10.9770/jssi.2018.8.1(3)</w:t>
      </w:r>
    </w:p>
    <w:p>
      <w:pPr>
        <w:pStyle w:val="Heading1"/>
      </w:pPr>
      <w:r>
        <w:t>271.  Using urban foresight techniques in city visioning: Lessons from the Reading 2050 vision  (2018)</w:t>
      </w:r>
    </w:p>
    <w:p>
      <w:r>
        <w:t>The emergence of urban (or city) foresight techniques focuses on the need to create coherent city visions to plan and manage for future long-term change and create opportunities for new investment into the local urban economy. The paper critically reviews the development of the vision for a small city (the ‘Reading 2050’ project, linked to the UK Future of Cities Foresight Programme), and the lessons it holds for visioning, foresight and planning, using the ‘quadruple helix’ framework as a conceptual lens for analysis.</w:t>
      </w:r>
    </w:p>
    <w:p>
      <w:pPr>
        <w:spacing w:after="240"/>
      </w:pPr>
      <w:r>
        <w:rPr>
          <w:b/>
          <w:sz w:val="16"/>
        </w:rPr>
        <w:t xml:space="preserve">ORIGINAL STUDY   </w:t>
      </w:r>
      <w:r>
        <w:rPr>
          <w:sz w:val="16"/>
        </w:rPr>
        <w:t>https://doi.org/10.1177/0269094218800677</w:t>
      </w:r>
    </w:p>
    <w:p>
      <w:pPr>
        <w:pStyle w:val="Heading1"/>
      </w:pPr>
      <w:r>
        <w:t>272.  Varying soil moisture–atmosphere feedbacks explain divergent temperature extremes and precipitation projections in central Europe  (2018)</w:t>
      </w:r>
    </w:p>
    <w:p>
      <w:r>
        <w:t>Our results suggest that long-term temperature changes in TXx in central Europe are about 20 % lower than those projected by the multi-model median of the full ensemble. We find a divergent behavior in long-term projections of summer precipitation until the end of the 21st century, resulting in a trimodal distribution of precipitation (wet, dry and very dry).</w:t>
      </w:r>
    </w:p>
    <w:p>
      <w:pPr>
        <w:spacing w:after="240"/>
      </w:pPr>
      <w:r>
        <w:rPr>
          <w:b/>
          <w:sz w:val="16"/>
        </w:rPr>
        <w:t xml:space="preserve">ORIGINAL STUDY   </w:t>
      </w:r>
      <w:r>
        <w:rPr>
          <w:sz w:val="16"/>
        </w:rPr>
        <w:t>https://doi.org/10.5194/esd-9-1107-2018</w:t>
      </w:r>
    </w:p>
    <w:p>
      <w:pPr>
        <w:pStyle w:val="Heading1"/>
      </w:pPr>
      <w:r>
        <w:t>273.  A road map for explorative scenario creation on Belgian rail freight transport development  (2017)</w:t>
      </w:r>
    </w:p>
    <w:p>
      <w:r>
        <w:t>This interdisciplinary research develops a road map for the creation of three integrated scenarios: a best case, medium case and worst case scenario for rail freight development, based on a detailed SWOT (strength, weakness, opportunities, threats) analysis. The obtained scenarios allow future research to quantify and measure the impact of future developments and decisions towards the Belgian rail freight market.</w:t>
      </w:r>
    </w:p>
    <w:p>
      <w:pPr>
        <w:spacing w:after="240"/>
      </w:pPr>
      <w:r>
        <w:rPr>
          <w:b/>
          <w:sz w:val="16"/>
        </w:rPr>
        <w:t xml:space="preserve">ORIGINAL STUDY   </w:t>
      </w:r>
      <w:r>
        <w:rPr>
          <w:sz w:val="16"/>
        </w:rPr>
        <w:t>https://doi.org/10.1177/1783591717734792</w:t>
      </w:r>
    </w:p>
    <w:p>
      <w:pPr>
        <w:pStyle w:val="Heading1"/>
      </w:pPr>
      <w:r>
        <w:t>274.  Animal Health Surveillance in Scotland in 2030: Using Scenario Planning to Develop Strategies in the Context of “Brexit”  (2017)</w:t>
      </w:r>
    </w:p>
    <w:p>
      <w:r>
        <w:t>In this paper, we describe the use of scenario planning as an effective tool for the creation and exploration of five plausible long-term futures; we describe prioritization of critical drivers of change (i.e., international trade policy, data-sharing philosophies, and public versus private resourcing of surveillance capacity) that will unpredictably influence the future implementation of animal health surveillance activities. We present 10 participant-developed strategies to support 3 long-term visions to improve future resilience of animal health surveillance and contingency planning for animal and zoonotic disease outbreaks in Scotland.</w:t>
      </w:r>
    </w:p>
    <w:p>
      <w:pPr>
        <w:spacing w:after="240"/>
      </w:pPr>
      <w:r>
        <w:rPr>
          <w:b/>
          <w:sz w:val="16"/>
        </w:rPr>
        <w:t xml:space="preserve">ORIGINAL STUDY   </w:t>
      </w:r>
      <w:r>
        <w:rPr>
          <w:sz w:val="16"/>
        </w:rPr>
        <w:t>https://doi.org/10.3389/fvets.2017.00201</w:t>
      </w:r>
    </w:p>
    <w:p>
      <w:pPr>
        <w:pStyle w:val="Heading1"/>
      </w:pPr>
      <w:r>
        <w:t>275.  Brexit adds to gloom over long‐term growth prospects  (2017)</w:t>
      </w:r>
    </w:p>
    <w:p>
      <w:r>
        <w:t>Our forecasts show potential output growth of just 1.6% a year from 2017–2030.</w:t>
      </w:r>
    </w:p>
    <w:p>
      <w:pPr>
        <w:spacing w:after="240"/>
      </w:pPr>
      <w:r>
        <w:rPr>
          <w:b/>
          <w:sz w:val="16"/>
        </w:rPr>
        <w:t xml:space="preserve">ORIGINAL STUDY   </w:t>
      </w:r>
      <w:r>
        <w:rPr>
          <w:sz w:val="16"/>
        </w:rPr>
        <w:t>https://doi.org/10.1111/1468-0319.12257</w:t>
      </w:r>
    </w:p>
    <w:p>
      <w:pPr>
        <w:pStyle w:val="Heading1"/>
      </w:pPr>
      <w:r>
        <w:t>276.  By 2050 the Mitigation Effects of EU Forests Could Nearly Double through Climate Smart Forestry  (2017)</w:t>
      </w:r>
    </w:p>
    <w:p>
      <w:r>
        <w:t>With the right set of incentives in place at EU and Member States levels, we find the current literature supports the view that the EU has the potential to achieve an additional combined mitigation impact through CSF of 441 Mt CO2/year by 2050. In July 2016, the European Commission (EC) published a legislative proposal for incorporating greenhouse gas emissions and removals due to Land Use, Land Use Change and Forestry (LULUCF) into its 2030 Climate and Energy Framework.</w:t>
      </w:r>
    </w:p>
    <w:p>
      <w:pPr>
        <w:spacing w:after="240"/>
      </w:pPr>
      <w:r>
        <w:rPr>
          <w:b/>
          <w:sz w:val="16"/>
        </w:rPr>
        <w:t xml:space="preserve">ORIGINAL STUDY   </w:t>
      </w:r>
      <w:r>
        <w:rPr>
          <w:sz w:val="16"/>
        </w:rPr>
        <w:t>https://doi.org/10.3390/f8120484</w:t>
      </w:r>
    </w:p>
    <w:p>
      <w:pPr>
        <w:pStyle w:val="Heading1"/>
      </w:pPr>
      <w:r>
        <w:t>277.  Clean Disruption for Abundant Futures - Neo-Carbon Energy Futures Clinique III  (2017)</w:t>
      </w:r>
    </w:p>
    <w:p>
      <w:r>
        <w:t>The four transformational scenarios of the Neo-Carbon Energy project were used as material for the groups’ foresight work.</w:t>
      </w:r>
    </w:p>
    <w:p>
      <w:pPr>
        <w:spacing w:after="240"/>
      </w:pPr>
      <w:r>
        <w:rPr>
          <w:b/>
          <w:sz w:val="16"/>
        </w:rPr>
        <w:t xml:space="preserve">ORIGINAL STUDY   </w:t>
      </w:r>
      <w:r>
        <w:rPr>
          <w:sz w:val="16"/>
        </w:rPr>
        <w:t>https://doi.org/10.13140/rg.2.2.25471.87200</w:t>
      </w:r>
    </w:p>
    <w:p>
      <w:pPr>
        <w:pStyle w:val="Heading1"/>
      </w:pPr>
      <w:r>
        <w:t>278.  Conditional forecasts of tourism exports and tourism export prices of the EU-15 within a global vector autoregression framework  (2017)</w:t>
      </w:r>
    </w:p>
    <w:p>
      <w:r>
        <w:t>Purpose The purpose of this paper is to analyze the ex ante projected future trajectories of real tourism exports and relative tourism export prices of the EU-15, conditional on expert real gross domestic product growth forecasts for the global economy provided by the Organisation for Economic Co-operation and Development for the years 2013-2017.</w:t>
      </w:r>
    </w:p>
    <w:p>
      <w:pPr>
        <w:spacing w:after="240"/>
      </w:pPr>
      <w:r>
        <w:rPr>
          <w:b/>
          <w:sz w:val="16"/>
        </w:rPr>
        <w:t xml:space="preserve">ORIGINAL STUDY   </w:t>
      </w:r>
      <w:r>
        <w:rPr>
          <w:sz w:val="16"/>
        </w:rPr>
        <w:t>https://doi.org/10.1108/jtf-01-2017-0001</w:t>
      </w:r>
    </w:p>
    <w:p>
      <w:pPr>
        <w:pStyle w:val="Heading1"/>
      </w:pPr>
      <w:r>
        <w:t>279.  Decarbonizing Sweden’s energy and transportation system by 2050  (2017)</w:t>
      </w:r>
    </w:p>
    <w:p>
      <w:r>
        <w:t>Decarbonizing Sweden’s transportation sector is necessary to realize its long-term vision of eliminating net greenhouse gas (GHG) emissions from the energy system by 2050. Within this context, this study develops two scenarios for the transportation sector: one with high electrification (EVS) and the other with high biofuel and biomethane utilization (BIOS).</w:t>
      </w:r>
    </w:p>
    <w:p>
      <w:pPr>
        <w:spacing w:after="240"/>
      </w:pPr>
      <w:r>
        <w:rPr>
          <w:b/>
          <w:sz w:val="16"/>
        </w:rPr>
        <w:t xml:space="preserve">ORIGINAL STUDY   </w:t>
      </w:r>
      <w:r>
        <w:rPr>
          <w:sz w:val="16"/>
        </w:rPr>
        <w:t>https://doi.org/10.5278/ijsepm.2017.14.2</w:t>
      </w:r>
    </w:p>
    <w:p>
      <w:pPr>
        <w:pStyle w:val="Heading1"/>
      </w:pPr>
      <w:r>
        <w:t>280.  Development and transport implications of automated vehicles in the Netherlands: scenarios for 2030 and 2050  (2017)</w:t>
      </w:r>
    </w:p>
    <w:p>
      <w:r>
        <w:t>Penetration rates are expected to vary among different scenarios between 1% and 11% (mainly conditionally automated vehicles) in 2030 and between 7% and 61% (mainly fully automated vehicles) in 2050. This study uses scenario analysis to identify plausible future development paths of automated vehicles in the Netherlands and to estimate potential implications for traffic, travel behaviour and transport planning on a time horizon up to 2030 and 2050.</w:t>
      </w:r>
    </w:p>
    <w:p>
      <w:pPr>
        <w:spacing w:after="240"/>
      </w:pPr>
      <w:r>
        <w:rPr>
          <w:b/>
          <w:sz w:val="16"/>
        </w:rPr>
        <w:t xml:space="preserve">ORIGINAL STUDY   </w:t>
      </w:r>
      <w:r>
        <w:rPr>
          <w:sz w:val="16"/>
        </w:rPr>
        <w:t>https://doi.org/10.18757/ejtir.2017.17.1.3180</w:t>
      </w:r>
    </w:p>
    <w:p>
      <w:pPr>
        <w:pStyle w:val="Heading1"/>
      </w:pPr>
      <w:r>
        <w:t>281.  European human‐dominated landscapes provide ample space for the recolonization of large carnivore populations under future land change scenarios  (2017)</w:t>
      </w:r>
    </w:p>
    <w:p>
      <w:r>
        <w:t>Third, we projected permanent occurrences into the future across a range of land‐use change scenarios.</w:t>
      </w:r>
    </w:p>
    <w:p>
      <w:pPr>
        <w:spacing w:after="240"/>
      </w:pPr>
      <w:r>
        <w:rPr>
          <w:b/>
          <w:sz w:val="16"/>
        </w:rPr>
        <w:t xml:space="preserve">ORIGINAL STUDY   </w:t>
      </w:r>
      <w:r>
        <w:rPr>
          <w:sz w:val="16"/>
        </w:rPr>
        <w:t>https://doi.org/10.1111/ecog.02223</w:t>
      </w:r>
    </w:p>
    <w:p>
      <w:pPr>
        <w:pStyle w:val="Heading1"/>
      </w:pPr>
      <w:r>
        <w:t>282.  Exploring scenario guided pathways for food assistance in Tuscany  (2017)</w:t>
      </w:r>
    </w:p>
    <w:p>
      <w:r>
        <w:t>We combine the strengths of back-casted planning, which develops desirable pathways for the future, and explorative scenarios that describe plausible future contexts.</w:t>
      </w:r>
    </w:p>
    <w:p>
      <w:pPr>
        <w:spacing w:after="240"/>
      </w:pPr>
      <w:r>
        <w:rPr>
          <w:b/>
          <w:sz w:val="16"/>
        </w:rPr>
        <w:t xml:space="preserve">ORIGINAL STUDY   </w:t>
      </w:r>
      <w:r>
        <w:rPr>
          <w:sz w:val="16"/>
        </w:rPr>
        <w:t>https://doi.org/10.13128/bae-18520</w:t>
      </w:r>
    </w:p>
    <w:p>
      <w:pPr>
        <w:pStyle w:val="Heading1"/>
      </w:pPr>
      <w:r>
        <w:t>283.  Future life expectancy in 35 industrialised countries: projections with a Bayesian model ensemble  (2017)</w:t>
      </w:r>
    </w:p>
    <w:p>
      <w:r>
        <w:t>The female life expectancy advantage over men is likely to shrink by 2030 in every country except Mexico, where female life expectancy is predicted to increase more than male life expectancy, and in Chile, France, and Greece where the two sexes will see similar gains. We applied this approach to project age-specific mortality to 2030 in 35 industrialised countries with high-quality vital statistics data.</w:t>
      </w:r>
    </w:p>
    <w:p>
      <w:pPr>
        <w:spacing w:after="240"/>
      </w:pPr>
      <w:r>
        <w:rPr>
          <w:b/>
          <w:sz w:val="16"/>
        </w:rPr>
        <w:t xml:space="preserve">ORIGINAL STUDY   </w:t>
      </w:r>
      <w:r>
        <w:rPr>
          <w:sz w:val="16"/>
        </w:rPr>
        <w:t>https://doi.org/10.1016/s0140-6736(16)32381-9</w:t>
      </w:r>
    </w:p>
    <w:p>
      <w:pPr>
        <w:pStyle w:val="Heading1"/>
      </w:pPr>
      <w:r>
        <w:t>284.  Futures of robotics. Human work in digital transformation  (2017)</w:t>
      </w:r>
    </w:p>
    <w:p>
      <w:r>
        <w:t>We evaluate key future trends in the field of robotics and analyse different scenarios regarding the futures of human beings and work life.</w:t>
      </w:r>
    </w:p>
    <w:p>
      <w:pPr>
        <w:spacing w:after="240"/>
      </w:pPr>
      <w:r>
        <w:rPr>
          <w:b/>
          <w:sz w:val="16"/>
        </w:rPr>
        <w:t xml:space="preserve">ORIGINAL STUDY   </w:t>
      </w:r>
      <w:r>
        <w:rPr>
          <w:sz w:val="16"/>
        </w:rPr>
        <w:t>https://doi.org/10.1504/ijtm.2017.083074</w:t>
      </w:r>
    </w:p>
    <w:p>
      <w:pPr>
        <w:pStyle w:val="Heading1"/>
      </w:pPr>
      <w:r>
        <w:t>285.  Futures of robotics. Human work in digital transformation  (2017)</w:t>
      </w:r>
    </w:p>
    <w:p>
      <w:r>
        <w:t>We evaluate key future trends in the field of robotics and analyse different scenarios regarding the futures of human beings and work life.</w:t>
      </w:r>
    </w:p>
    <w:p>
      <w:pPr>
        <w:spacing w:after="240"/>
      </w:pPr>
      <w:r>
        <w:rPr>
          <w:b/>
          <w:sz w:val="16"/>
        </w:rPr>
        <w:t xml:space="preserve">ORIGINAL STUDY   </w:t>
      </w:r>
      <w:r>
        <w:rPr>
          <w:sz w:val="16"/>
        </w:rPr>
        <w:t>https://doi.org/10.1504/ijtm.2017.10004003</w:t>
      </w:r>
    </w:p>
    <w:p>
      <w:pPr>
        <w:pStyle w:val="Heading1"/>
      </w:pPr>
      <w:r>
        <w:t>286.  Governance barriers to sustainable energy transitions – Assessing Ireland's capacity towards marine energy futures  (2017)</w:t>
      </w:r>
    </w:p>
    <w:p>
      <w:r>
        <w:t>We observe that ME governance is complex, as development offshore involves engagement and may often result in conflict.</w:t>
      </w:r>
    </w:p>
    <w:p>
      <w:pPr>
        <w:spacing w:after="240"/>
      </w:pPr>
      <w:r>
        <w:rPr>
          <w:b/>
          <w:sz w:val="16"/>
        </w:rPr>
        <w:t xml:space="preserve">ORIGINAL STUDY   </w:t>
      </w:r>
      <w:r>
        <w:rPr>
          <w:sz w:val="16"/>
        </w:rPr>
        <w:t>https://doi.org/10.1016/j.enpol.2017.11.020</w:t>
      </w:r>
    </w:p>
    <w:p>
      <w:pPr>
        <w:pStyle w:val="Heading1"/>
      </w:pPr>
      <w:r>
        <w:t>287.  How much does climate change threaten European forest tree species distributions?  (2017)</w:t>
      </w:r>
    </w:p>
    <w:p>
      <w:r>
        <w:t>We aimed to quantify changes in projected ranges and threat level by the years 2061-2080, for 12 European forest tree species under three climate change scenarios. Models were developed for three climate change scenarios-optimistic (RCP2.6), moderate (RCP4.5), and pessimistic (RPC8.5)-using three General Circulation Models, for the period 2061-2080.</w:t>
      </w:r>
    </w:p>
    <w:p>
      <w:pPr>
        <w:spacing w:after="240"/>
      </w:pPr>
      <w:r>
        <w:rPr>
          <w:b/>
          <w:sz w:val="16"/>
        </w:rPr>
        <w:t xml:space="preserve">ORIGINAL STUDY   </w:t>
      </w:r>
      <w:r>
        <w:rPr>
          <w:sz w:val="16"/>
        </w:rPr>
        <w:t>https://doi.org/10.1111/gcb.13925</w:t>
      </w:r>
    </w:p>
    <w:p>
      <w:pPr>
        <w:pStyle w:val="Heading1"/>
      </w:pPr>
      <w:r>
        <w:t>288.  Improved Consistency of Climate Projections over Europe after Accounting for Atmospheric Circulation Variability  (2017)</w:t>
      </w:r>
    </w:p>
    <w:p>
      <w:r>
        <w:t>The differences in atmospheric circulation as simulated by different models in their control runs and under the historical and representative concentration pathway 8.5 (RCP8.5) forcing scenarios are investigated. A statistically significant response of sea level pressure to anthropogenic forcing is identified in the multimodel ensemble under the RCP8.5 scenario.</w:t>
      </w:r>
    </w:p>
    <w:p>
      <w:pPr>
        <w:spacing w:after="240"/>
      </w:pPr>
      <w:r>
        <w:rPr>
          <w:b/>
          <w:sz w:val="16"/>
        </w:rPr>
        <w:t xml:space="preserve">ORIGINAL STUDY   </w:t>
      </w:r>
      <w:r>
        <w:rPr>
          <w:sz w:val="16"/>
        </w:rPr>
        <w:t>https://doi.org/10.1175/jcli-d-16-0695.1</w:t>
      </w:r>
    </w:p>
    <w:p>
      <w:pPr>
        <w:pStyle w:val="Heading1"/>
      </w:pPr>
      <w:r>
        <w:t>289.  Institutional issues in planning for more uncertain futures  (2017)</w:t>
      </w:r>
    </w:p>
    <w:p>
      <w:r>
        <w:t>In contrast to the changing ideas around what mobility in the future will look like and the types of demand it may need to service, the practice of forecasting future travel demand remains largely unchanged as do the decision-making processes which flow from this. Alternative approaches to thinking about futures such as scenario planning exist but have had more limited deployment in the transport sector.</w:t>
      </w:r>
    </w:p>
    <w:p>
      <w:pPr>
        <w:spacing w:after="240"/>
      </w:pPr>
      <w:r>
        <w:rPr>
          <w:b/>
          <w:sz w:val="16"/>
        </w:rPr>
        <w:t xml:space="preserve">ORIGINAL STUDY   </w:t>
      </w:r>
      <w:r>
        <w:rPr>
          <w:sz w:val="16"/>
        </w:rPr>
        <w:t>https://doi.org/10.1007/s11116-017-9805-z</w:t>
      </w:r>
    </w:p>
    <w:p>
      <w:pPr>
        <w:pStyle w:val="Heading1"/>
      </w:pPr>
      <w:r>
        <w:t>290.  Long-Term Hydrocarbon Trade Options for the Maghreb Region and Europe—Renewable Energy Based Synthetic Fuels for a Net Zero Emissions World  (2017)</w:t>
      </w:r>
    </w:p>
    <w:p>
      <w:r>
        <w:t>Results show that, for 7% weighted average cost of capital (WACC), renewable energy based synthetic natural gas (RE-SNG) and RE-diesel can be produced in 2030 for a minimum cost of 76 €/MWhHHV (0.78 €/m3SNG) and 88 €/MWhHHV (0.85 €/L), respectively. While in 2040, these production costs can drop to 66 €/MWhHHV (0.68 €/m3SNG) and 83 €/MWhHHV (0.80 €/L), respectively.</w:t>
      </w:r>
    </w:p>
    <w:p>
      <w:pPr>
        <w:spacing w:after="240"/>
      </w:pPr>
      <w:r>
        <w:rPr>
          <w:b/>
          <w:sz w:val="16"/>
        </w:rPr>
        <w:t xml:space="preserve">ORIGINAL STUDY   </w:t>
      </w:r>
      <w:r>
        <w:rPr>
          <w:sz w:val="16"/>
        </w:rPr>
        <w:t>https://doi.org/10.3390/su9020306</w:t>
      </w:r>
    </w:p>
    <w:p>
      <w:pPr>
        <w:pStyle w:val="Heading1"/>
      </w:pPr>
      <w:r>
        <w:t>291.  Modeling the climatic suitability of leishmaniasis vector species in Europe  (2017)</w:t>
      </w:r>
    </w:p>
    <w:p>
      <w:r>
        <w:t>Climate change will affect the geographical distribution of many species in the future. An increased number of vector species, or a higher abundance of a single species, might result in a higher transmission risk of leishmaniasis, provided that the pathogens follow the projected range shifts.</w:t>
      </w:r>
    </w:p>
    <w:p>
      <w:pPr>
        <w:spacing w:after="240"/>
      </w:pPr>
      <w:r>
        <w:rPr>
          <w:b/>
          <w:sz w:val="16"/>
        </w:rPr>
        <w:t xml:space="preserve">ORIGINAL STUDY   </w:t>
      </w:r>
      <w:r>
        <w:rPr>
          <w:sz w:val="16"/>
        </w:rPr>
        <w:t>https://doi.org/10.1038/s41598-017-13822-1</w:t>
      </w:r>
    </w:p>
    <w:p>
      <w:pPr>
        <w:pStyle w:val="Heading1"/>
      </w:pPr>
      <w:r>
        <w:t>292.  Multi-model ensemble simulations of olive pollen distribution in Europe in 2014: current status and outlook  (2017)</w:t>
      </w:r>
    </w:p>
    <w:p>
      <w:r>
        <w:t>The best skill scores were obtained with data fusion, which used the previous-days observations to identify the optimal weighting coefficients of the individual model forecasts. Such combinations were tested for the forecasting period up to 4 days and shown to remain nearly optimal throughout the whole period.</w:t>
      </w:r>
    </w:p>
    <w:p>
      <w:pPr>
        <w:spacing w:after="240"/>
      </w:pPr>
      <w:r>
        <w:rPr>
          <w:b/>
          <w:sz w:val="16"/>
        </w:rPr>
        <w:t xml:space="preserve">ORIGINAL STUDY   </w:t>
      </w:r>
      <w:r>
        <w:rPr>
          <w:sz w:val="16"/>
        </w:rPr>
        <w:t>https://doi.org/10.5194/acp-17-12341-2017</w:t>
      </w:r>
    </w:p>
    <w:p>
      <w:pPr>
        <w:pStyle w:val="Heading1"/>
      </w:pPr>
      <w:r>
        <w:t>293.  New EU-scale environmental scenarios until 2050 – Scenario process and initial scenario applications  (2017)</w:t>
      </w:r>
    </w:p>
    <w:p>
      <w:r>
        <w:t>In a participatory iterative approach four scenarios were developed for the period to 2050, involving regional and EU-level users and stakeholders. Understanding uncertainties and risks can be considered to be the main motivation behind environmental scenario studies to assess potential economic, environmental, social or technical developments and their expected consequences for society and environment.</w:t>
      </w:r>
    </w:p>
    <w:p>
      <w:pPr>
        <w:spacing w:after="240"/>
      </w:pPr>
      <w:r>
        <w:rPr>
          <w:b/>
          <w:sz w:val="16"/>
        </w:rPr>
        <w:t xml:space="preserve">ORIGINAL STUDY   </w:t>
      </w:r>
      <w:r>
        <w:rPr>
          <w:sz w:val="16"/>
        </w:rPr>
        <w:t>https://doi.org/10.1016/j.ecoser.2017.08.006</w:t>
      </w:r>
    </w:p>
    <w:p>
      <w:pPr>
        <w:pStyle w:val="Heading1"/>
      </w:pPr>
      <w:r>
        <w:t>294.  Occupational Structure in European Countries: What do Forecasts Predict?  (2017)</w:t>
      </w:r>
    </w:p>
    <w:p>
      <w:r>
        <w:t>The paper demonstrates that the main occupational trend over the next decade will consist in the increasing importance of professionals, as well as technicians and associate professionals. The increase in demand for health professionals and representatives of occupations providing scientific and technological innovation will be most significant.</w:t>
      </w:r>
    </w:p>
    <w:p>
      <w:pPr>
        <w:spacing w:after="240"/>
      </w:pPr>
      <w:r>
        <w:rPr>
          <w:b/>
          <w:sz w:val="16"/>
        </w:rPr>
        <w:t xml:space="preserve">ORIGINAL STUDY   </w:t>
      </w:r>
      <w:r>
        <w:rPr>
          <w:sz w:val="16"/>
        </w:rPr>
        <w:t>https://doi.org/10.17323/1996-7845-2017-04-109</w:t>
      </w:r>
    </w:p>
    <w:p>
      <w:pPr>
        <w:pStyle w:val="Heading1"/>
      </w:pPr>
      <w:r>
        <w:t>295.  Pathways to Decarbonise the European Car Fleet: A Scenario Analysis Using the Backcasting Approach  (2017)</w:t>
      </w:r>
    </w:p>
    <w:p>
      <w:r>
        <w:t>This paper analyses decarbonisation scenarios for the European passenger car fleet in 2050. 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pPr>
        <w:spacing w:after="240"/>
      </w:pPr>
      <w:r>
        <w:rPr>
          <w:b/>
          <w:sz w:val="16"/>
        </w:rPr>
        <w:t xml:space="preserve">ORIGINAL STUDY   </w:t>
      </w:r>
      <w:r>
        <w:rPr>
          <w:sz w:val="16"/>
        </w:rPr>
        <w:t>https://doi.org/10.3390/en11010020</w:t>
      </w:r>
    </w:p>
    <w:p>
      <w:pPr>
        <w:pStyle w:val="Heading1"/>
      </w:pPr>
      <w:r>
        <w:t>296.  Policy insights and modelling challenges: The case of passenger car powertrain technology transition in the European Union  (2017)</w:t>
      </w:r>
    </w:p>
    <w:p>
      <w:r>
        <w:t>We then transfer the policy scenarios to other EU member states and assess the transferability of the policies.</w:t>
      </w:r>
    </w:p>
    <w:p>
      <w:pPr>
        <w:spacing w:after="240"/>
      </w:pPr>
      <w:r>
        <w:rPr>
          <w:b/>
          <w:sz w:val="16"/>
        </w:rPr>
        <w:t xml:space="preserve">ORIGINAL STUDY   </w:t>
      </w:r>
      <w:r>
        <w:rPr>
          <w:sz w:val="16"/>
        </w:rPr>
        <w:t>https://doi.org/10.1007/s12544-017-0252-x</w:t>
      </w:r>
    </w:p>
    <w:p>
      <w:pPr>
        <w:pStyle w:val="Heading1"/>
      </w:pPr>
      <w:r>
        <w:t>297.  Pressures on soil functions from soil management in Germany. A foresight review  (2017)</w:t>
      </w:r>
    </w:p>
    <w:p>
      <w:r>
        <w:t>We analyzed socio-economic, biophysical and technological drivers and identified two types of future management changes: (1) Quantitative changes, i.e., more or less of the same input factors, such as fertilizers, as part of a moderate intensification. Positive practices may be reinforced by a behavioral trend towards sustainable soil management, driven by increasing awareness, knowledge, and consumer demand.</w:t>
      </w:r>
    </w:p>
    <w:p>
      <w:pPr>
        <w:spacing w:after="240"/>
      </w:pPr>
      <w:r>
        <w:rPr>
          <w:b/>
          <w:sz w:val="16"/>
        </w:rPr>
        <w:t xml:space="preserve">ORIGINAL STUDY   </w:t>
      </w:r>
      <w:r>
        <w:rPr>
          <w:sz w:val="16"/>
        </w:rPr>
        <w:t>https://doi.org/10.1007/s13593-017-0473-3</w:t>
      </w:r>
    </w:p>
    <w:p>
      <w:pPr>
        <w:pStyle w:val="Heading1"/>
      </w:pPr>
      <w:r>
        <w:t>298.  Projections of Future Precipitation Extremes Over Europe: A Multimodel Assessment of Climate Simulations  (2017)</w:t>
      </w:r>
    </w:p>
    <w:p>
      <w:r>
        <w:t>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The projected changes of the European hydrological cycle may have substantial impact on environmental and anthropogenic systems.</w:t>
      </w:r>
    </w:p>
    <w:p>
      <w:pPr>
        <w:spacing w:after="240"/>
      </w:pPr>
      <w:r>
        <w:rPr>
          <w:b/>
          <w:sz w:val="16"/>
        </w:rPr>
        <w:t xml:space="preserve">ORIGINAL STUDY   </w:t>
      </w:r>
      <w:r>
        <w:rPr>
          <w:sz w:val="16"/>
        </w:rPr>
        <w:t>https://doi.org/10.1002/2017jd027176</w:t>
      </w:r>
    </w:p>
    <w:p>
      <w:pPr>
        <w:pStyle w:val="Heading1"/>
      </w:pPr>
      <w:r>
        <w:t>299.  Realising transition pathways for a more electric, low-carbon energy system in the United Kingdom: Challenges, insights and opportunities  (2017)</w:t>
      </w:r>
    </w:p>
    <w:p>
      <w:r>
        <w:t>The United Kingdom has placed itself on a transition towards a low-carbon economy and society, through the imposition of a legally-binding goal aimed at reducing its ‘greenhouse gas’ emissions by 80% by 2050 against a 1990 baseline. This provided a basis for integrating the analysis within a whole systems framework of electricity system development, together with the evaluation of future economic benefits, costs and uncertainties.</w:t>
      </w:r>
    </w:p>
    <w:p>
      <w:pPr>
        <w:spacing w:after="240"/>
      </w:pPr>
      <w:r>
        <w:rPr>
          <w:b/>
          <w:sz w:val="16"/>
        </w:rPr>
        <w:t xml:space="preserve">ORIGINAL STUDY   </w:t>
      </w:r>
      <w:r>
        <w:rPr>
          <w:sz w:val="16"/>
        </w:rPr>
        <w:t>https://doi.org/10.1177/0957650917695448</w:t>
      </w:r>
    </w:p>
    <w:p>
      <w:pPr>
        <w:pStyle w:val="Heading1"/>
      </w:pPr>
      <w:r>
        <w:t>300.  Regulating the Use of Bisphenol A in Baby and Children's Products in the European Union: Current Developments and Scenarios for the Regulatory Future  (2011)</w:t>
      </w:r>
    </w:p>
    <w:p>
      <w:r>
        <w:t>Apart from regulatory exposure limits (Tolerable Daily Intake levels (TDI), Bisphenol A is currently not subject to any restrictions in use yet (although BPA will be subject to a ban on the EU level from spring 2011 onwards). However, with the REACH framework (Registration, Evaluation, Authorisation of Chemicals), a new regulatory framework for EU's chemical policy in place since June 2007, these exposure limits may be reviewed and BPA may face regulatory action.</w:t>
      </w:r>
    </w:p>
    <w:p>
      <w:pPr>
        <w:spacing w:after="240"/>
      </w:pPr>
      <w:r>
        <w:rPr>
          <w:b/>
          <w:sz w:val="16"/>
        </w:rPr>
        <w:t xml:space="preserve">ORIGINAL STUDY   </w:t>
      </w:r>
      <w:r>
        <w:rPr>
          <w:sz w:val="16"/>
        </w:rPr>
        <w:t>https://doi.org/10.1017/s1867299x00000593</w:t>
      </w:r>
    </w:p>
    <w:p>
      <w:pPr>
        <w:pStyle w:val="Heading1"/>
      </w:pPr>
      <w:r>
        <w:t>301.  Scenarios for Chemistry Teacher Training and Practice in Romania in 2030: Views of Chemistry Students  (2017)</w:t>
      </w:r>
    </w:p>
    <w:p>
      <w:r>
        <w:t>Four scenarios regarding Chemistry teacher training and practice in Romania in 2030 were developed by using the 2x2 matrix design for scenario writing.The two driving forces taken in account for the design of scenarios were migration and consumerism.In two of the proposed scenarios teachers are trained to teach socioscientific courses at class.One aim of this study was to collect Chemistry students' views on the developed scenarios for Chemistry teacher training and practice in Romania in 2030.From the N=111 students tested, 51.35 % of students selected the most auspicious scenario as the scenario for teacher training and practice in 2030, a scenario which did not include teaching socioscientific courses at class.This result was confirmed to be statistically significant by the Kruskal-Wallis test (p&lt;0.01)and the Mann-Whitney U test (p &lt; 0.01).This made us wonder if the students are aware of the consequences in time of migration and consumerism and if a more comprehensive study was necessary, to identify the predictors for their selection of scenarios.</w:t>
      </w:r>
    </w:p>
    <w:p>
      <w:pPr>
        <w:spacing w:after="240"/>
      </w:pPr>
      <w:r>
        <w:rPr>
          <w:b/>
          <w:sz w:val="16"/>
        </w:rPr>
        <w:t xml:space="preserve">ORIGINAL STUDY   </w:t>
      </w:r>
      <w:r>
        <w:rPr>
          <w:sz w:val="16"/>
        </w:rPr>
        <w:t>https://doi.org/10.13187/ejced.2017.4.797</w:t>
      </w:r>
    </w:p>
    <w:p>
      <w:pPr>
        <w:pStyle w:val="Heading1"/>
      </w:pPr>
      <w:r>
        <w:t>302.  THE EUROPEAN MIGRATION CRISIS – ECONOMIC AND POLITICAL FACTORS AND CHALLENGES FOR THE FUTURE  (2017)</w:t>
      </w:r>
    </w:p>
    <w:p>
      <w:r>
        <w:t>The need for tight cooperation and support for the countries affected must lead to the development of a long-term strategy for the future. In 2015 alone, over a million migrants arrived in the EU, creating an urgent need to develop adequate solutions and mechanisms that would help to manage this influx and prevent its negative effects.</w:t>
      </w:r>
    </w:p>
    <w:p>
      <w:pPr>
        <w:spacing w:after="240"/>
      </w:pPr>
      <w:r>
        <w:rPr>
          <w:b/>
          <w:sz w:val="16"/>
        </w:rPr>
        <w:t xml:space="preserve">ORIGINAL STUDY   </w:t>
      </w:r>
      <w:r>
        <w:rPr>
          <w:sz w:val="16"/>
        </w:rPr>
        <w:t>https://doi.org/10.5755/j01.eis.0.11.18958</w:t>
      </w:r>
    </w:p>
    <w:p>
      <w:pPr>
        <w:pStyle w:val="Heading1"/>
      </w:pPr>
      <w:r>
        <w:t>303.  THREE INVESTMENT SCENARIOS FOR  FUTURE NUCLEAR REACTORS IN EUROPE  (2017)</w:t>
      </w:r>
    </w:p>
    <w:p>
      <w:r>
        <w:t>While nuclear power may experience a technological breakthrough in Europe with Generation IV nuclear reactors within a few decades (2040), several events and drivers could question this possibility, e.g. the Fukushima accident, climate issues and liberalization of the electricity market.This article analyzes how the conditions necessary for their industrial development from now up to 2040 can be either favorable or detrimental to future nuclear reactors compared with other technologies and according to four main investment drivers: 1) technical change, 2) policy, 3) market, and 4) power company drivers.Twenty-four scenarios have been identified through structural analysis, with only three proving to be favorable to the development of future nuclear reactors.</w:t>
      </w:r>
    </w:p>
    <w:p>
      <w:pPr>
        <w:spacing w:after="240"/>
      </w:pPr>
      <w:r>
        <w:rPr>
          <w:b/>
          <w:sz w:val="16"/>
        </w:rPr>
        <w:t xml:space="preserve">ORIGINAL STUDY   </w:t>
      </w:r>
      <w:r>
        <w:rPr>
          <w:sz w:val="16"/>
        </w:rPr>
        <w:t>https://doi.org/10.15173/esr.v23i1.3312</w:t>
      </w:r>
    </w:p>
    <w:p>
      <w:pPr>
        <w:pStyle w:val="Heading1"/>
      </w:pPr>
      <w:r>
        <w:t>304.  The European Union and Africa towards 2030: perspectives from transnational civil society organisations  (2017)</w:t>
      </w:r>
    </w:p>
    <w:p>
      <w:r>
        <w:t>SDG17 sets the legal (morally binding) framework under which supranational actors, among others, are warmly invited to contribute to reach Sustainable Development by 2030. The rhetoric of aid as redeeming for the poor and redemptive for the rich, in line with an updated ‘white man’s burden’, might be transubstantiated in the narrative of a new EU-AU ‘equal partnership’.</w:t>
      </w:r>
    </w:p>
    <w:p>
      <w:pPr>
        <w:spacing w:after="240"/>
      </w:pPr>
      <w:r>
        <w:rPr>
          <w:b/>
          <w:sz w:val="16"/>
        </w:rPr>
        <w:t xml:space="preserve">ORIGINAL STUDY   </w:t>
      </w:r>
      <w:r>
        <w:rPr>
          <w:sz w:val="16"/>
        </w:rPr>
        <w:t>https://doi.org/10.4000/151gv</w:t>
      </w:r>
    </w:p>
    <w:p>
      <w:pPr>
        <w:pStyle w:val="Heading1"/>
      </w:pPr>
      <w:r>
        <w:t>305.  The European forest sector: past and future carbon budget and fluxes under different management scenarios  (2017)</w:t>
      </w:r>
    </w:p>
    <w:p>
      <w:r>
        <w:t>Under the constant harvest rate scenario, our findings show an incipient aging process of the forests existing in 1990: although NPP increases (+7 %), heterotrophic respiration increases at a greater rate (+13 %) and this leads to a decrease in the sink in the forest pools (−6 %) in 2030 compared to the historical period.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w:t>
      </w:r>
    </w:p>
    <w:p>
      <w:pPr>
        <w:spacing w:after="240"/>
      </w:pPr>
      <w:r>
        <w:rPr>
          <w:b/>
          <w:sz w:val="16"/>
        </w:rPr>
        <w:t xml:space="preserve">ORIGINAL STUDY   </w:t>
      </w:r>
      <w:r>
        <w:rPr>
          <w:sz w:val="16"/>
        </w:rPr>
        <w:t>https://doi.org/10.5194/bg-14-2387-2017</w:t>
      </w:r>
    </w:p>
    <w:p>
      <w:pPr>
        <w:pStyle w:val="Heading1"/>
      </w:pPr>
      <w:r>
        <w:t>306.  The European pulp and paper industry in transition to a bio-economy: A Delphi study  (2017)</w:t>
      </w:r>
    </w:p>
    <w:p>
      <w:r>
        <w:t>This study adopts a three-round dissensus-based Delphi approach in order to explore our key research question of how the pulp and paper industry may change strategically, and what is the potential for value creation in the year 2030. According to our expert panel, the main drivers of competitiveness in 2030 will include energy and material efficiency, sustainability, as well as new innovations in products to serve customer needs better.</w:t>
      </w:r>
    </w:p>
    <w:p>
      <w:pPr>
        <w:spacing w:after="240"/>
      </w:pPr>
      <w:r>
        <w:rPr>
          <w:b/>
          <w:sz w:val="16"/>
        </w:rPr>
        <w:t xml:space="preserve">ORIGINAL STUDY   </w:t>
      </w:r>
      <w:r>
        <w:rPr>
          <w:sz w:val="16"/>
        </w:rPr>
        <w:t>https://doi.org/10.1016/j.futures.2017.02.002</w:t>
      </w:r>
    </w:p>
    <w:p>
      <w:pPr>
        <w:pStyle w:val="Heading1"/>
      </w:pPr>
      <w:r>
        <w:t>307.  Towards the European Union's Foreign Policy 2025 – Taking Stock of the Dahrendorf Foresight Project  (2017)</w:t>
      </w:r>
    </w:p>
    <w:p>
      <w:r>
        <w:t>Based on an analysis of the current state of the Union, this paper takes stock of the outcomes of the Dahrendorf Foresight Project and looks ahead at the EU 's role in the world of 2025.</w:t>
      </w:r>
    </w:p>
    <w:p>
      <w:pPr>
        <w:spacing w:after="240"/>
      </w:pPr>
      <w:r>
        <w:rPr>
          <w:b/>
          <w:sz w:val="16"/>
        </w:rPr>
        <w:t xml:space="preserve">ORIGINAL STUDY   </w:t>
      </w:r>
      <w:r>
        <w:rPr>
          <w:sz w:val="16"/>
        </w:rPr>
        <w:t>https://doi.org/10.1111/1758-5899.12438</w:t>
      </w:r>
    </w:p>
    <w:p>
      <w:pPr>
        <w:pStyle w:val="Heading1"/>
      </w:pPr>
      <w:r>
        <w:t>308.  Transition pathways for a UK low-carbon electricity system: Comparing scenarios and technology implications  (2017)</w:t>
      </w:r>
    </w:p>
    <w:p>
      <w:r>
        <w:t>This can aid an informed debate on the technical feasibility and social acceptability of realising transition pathways for decarbonising the UK energy sector by 2050. The United Kingdom (UK) has placed itself on a transition towards a low-carbon economy and society, through the imposition of a goal of reducing its ‘greenhouse’ gas emissions by 80% by 2050.</w:t>
      </w:r>
    </w:p>
    <w:p>
      <w:pPr>
        <w:spacing w:after="240"/>
      </w:pPr>
      <w:r>
        <w:rPr>
          <w:b/>
          <w:sz w:val="16"/>
        </w:rPr>
        <w:t xml:space="preserve">ORIGINAL STUDY   </w:t>
      </w:r>
      <w:r>
        <w:rPr>
          <w:sz w:val="16"/>
        </w:rPr>
        <w:t>https://doi.org/10.1016/j.rser.2017.10.007</w:t>
      </w:r>
    </w:p>
    <w:p>
      <w:pPr>
        <w:pStyle w:val="Heading1"/>
      </w:pPr>
      <w:r>
        <w:t>309.  An exploratory policy analysis of electric vehicle sales competition and sensitivity to infrastructure in Europe  (2016)</w:t>
      </w:r>
    </w:p>
    <w:p>
      <w:r>
        <w:t>Infrastructure provision is important for improving the utility of a PiEV, but we find that in the early market it may have a weaker correlation with uptake than other policy options, until the PiEV stock share is over around 5%. Furthermore, an attempt to install a ratio of much more than one charge point per 10 PiEV may lead to little gains and high costs.</w:t>
      </w:r>
    </w:p>
    <w:p>
      <w:pPr>
        <w:spacing w:after="240"/>
      </w:pPr>
      <w:r>
        <w:rPr>
          <w:b/>
          <w:sz w:val="16"/>
        </w:rPr>
        <w:t xml:space="preserve">ORIGINAL STUDY   </w:t>
      </w:r>
      <w:r>
        <w:rPr>
          <w:sz w:val="16"/>
        </w:rPr>
        <w:t>https://doi.org/10.1016/j.techfore.2016.08.007</w:t>
      </w:r>
    </w:p>
    <w:p>
      <w:pPr>
        <w:pStyle w:val="Heading1"/>
      </w:pPr>
      <w:r>
        <w:t>310.  Argentinian Energy Landscapes - Case Study of the Neo-Carbon Energy Project  (2016)</w:t>
      </w:r>
    </w:p>
    <w:p>
      <w:r>
        <w:t>Therefore, it is important to explore different scenarios of how neo-carbon energy system can affect a society, businesses, individual’s lives and relationships.</w:t>
      </w:r>
    </w:p>
    <w:p>
      <w:pPr>
        <w:spacing w:after="240"/>
      </w:pPr>
      <w:r>
        <w:rPr>
          <w:b/>
          <w:sz w:val="16"/>
        </w:rPr>
        <w:t xml:space="preserve">ORIGINAL STUDY   </w:t>
      </w:r>
      <w:r>
        <w:rPr>
          <w:sz w:val="16"/>
        </w:rPr>
        <w:t>https://doi.org/10.13140/rg.2.2.13727.82088</w:t>
      </w:r>
    </w:p>
    <w:p>
      <w:pPr>
        <w:pStyle w:val="Heading1"/>
      </w:pPr>
      <w:r>
        <w:t>311.  Assessing the desirability and feasibility of scenarios on eco-efficient transport: a heuristic for efficient stakeholder involvement during foresight processes  (2016)</w:t>
      </w:r>
    </w:p>
    <w:p>
      <w:r>
        <w:t>Purpose – The purpose of this paper is to illustrate and discuss how stakeholder assessment of scenarios can be used to trigger a structured and, therefore, more efficient debate amongst stakeholders about future options for achieving a more eco-efficient transport system in Europe.</w:t>
      </w:r>
    </w:p>
    <w:p>
      <w:pPr>
        <w:spacing w:after="240"/>
      </w:pPr>
      <w:r>
        <w:rPr>
          <w:b/>
          <w:sz w:val="16"/>
        </w:rPr>
        <w:t xml:space="preserve">ORIGINAL STUDY   </w:t>
      </w:r>
      <w:r>
        <w:rPr>
          <w:sz w:val="16"/>
        </w:rPr>
        <w:t>https://doi.org/10.1108/fs-05-2014-0034</w:t>
      </w:r>
    </w:p>
    <w:p>
      <w:pPr>
        <w:pStyle w:val="Heading1"/>
      </w:pPr>
      <w:r>
        <w:t>312.  Bioenergy futures in Sweden – Modeling integration scenarios for biofuel production  (2016)</w:t>
      </w:r>
    </w:p>
    <w:p>
      <w:r>
        <w:t>However, even though biomass is a renewable resource, the potential is limited, and efficient use of available biomass resources will become increasingly important.</w:t>
      </w:r>
    </w:p>
    <w:p>
      <w:pPr>
        <w:spacing w:after="240"/>
      </w:pPr>
      <w:r>
        <w:rPr>
          <w:b/>
          <w:sz w:val="16"/>
        </w:rPr>
        <w:t xml:space="preserve">ORIGINAL STUDY   </w:t>
      </w:r>
      <w:r>
        <w:rPr>
          <w:sz w:val="16"/>
        </w:rPr>
        <w:t>https://doi.org/10.1016/j.energy.2016.04.044</w:t>
      </w:r>
    </w:p>
    <w:p>
      <w:pPr>
        <w:pStyle w:val="Heading1"/>
      </w:pPr>
      <w:r>
        <w:t>313.  Changing knowledge, changing technology: implications for teacher education futures  (2016)</w:t>
      </w:r>
    </w:p>
    <w:p>
      <w:r>
        <w:t>Data from these interviews were analysed to stimulate the construction of four future teacher education scenarios.</w:t>
      </w:r>
    </w:p>
    <w:p>
      <w:pPr>
        <w:spacing w:after="240"/>
      </w:pPr>
      <w:r>
        <w:rPr>
          <w:b/>
          <w:sz w:val="16"/>
        </w:rPr>
        <w:t xml:space="preserve">ORIGINAL STUDY   </w:t>
      </w:r>
      <w:r>
        <w:rPr>
          <w:sz w:val="16"/>
        </w:rPr>
        <w:t>https://doi.org/10.1080/02607476.2015.1125432</w:t>
      </w:r>
    </w:p>
    <w:p>
      <w:pPr>
        <w:pStyle w:val="Heading1"/>
      </w:pPr>
      <w:r>
        <w:t>314.  Consistent economic cross-sectoral climate change impact scenario analysis: Method and application to Austria  (2016)</w:t>
      </w:r>
    </w:p>
    <w:p>
      <w:r>
        <w:t>Thus, we develop here an approach which applies climate and socioeconomic scenario analysis, harmonized economic costing, and sector explicit bandwidth analysis in a coupled framework of eleven (bio)physical impact assessment models and a uniform multi-sectoral computable general equilibrium model.</w:t>
      </w:r>
    </w:p>
    <w:p>
      <w:pPr>
        <w:spacing w:after="240"/>
      </w:pPr>
      <w:r>
        <w:rPr>
          <w:b/>
          <w:sz w:val="16"/>
        </w:rPr>
        <w:t xml:space="preserve">ORIGINAL STUDY   </w:t>
      </w:r>
      <w:r>
        <w:rPr>
          <w:sz w:val="16"/>
        </w:rPr>
        <w:t>https://doi.org/10.1016/j.cliser.2016.02.003</w:t>
      </w:r>
    </w:p>
    <w:p>
      <w:pPr>
        <w:pStyle w:val="Heading1"/>
      </w:pPr>
      <w:r>
        <w:t>315.  Decarbonizing the EU energy system by 2050: an important role for BECCS  (2016)</w:t>
      </w:r>
    </w:p>
    <w:p>
      <w:r>
        <w:t>The key conclusions are as follows: (a) the achievement of negative emissions in the power sector via the use of biomass with carbon capture and storage (BECCS) allows for much more limited decarbonization in the buildings and transport sectors; (b) CCS is also extensively used for decarbonization of the industrial sector; (c) because of the absence in the model of options for transport mode-switching and building fabric efficiency improvements, the transport and buildings sectors achieve relatively little abatement by 2050 – the inclusion of these options could considerably reduce the need for BECCS and the cost of abatement; (d) decarbonization of the EU’s energy system by 2050 would increase energy system costs by 14% compared to a Reference scenario with no CO2 constraints; and (e) average EU-wide marginal CO2 abatement costs in Policy Success reach $300/tCO2 in 2050.</w:t>
      </w:r>
    </w:p>
    <w:p>
      <w:pPr>
        <w:spacing w:after="240"/>
      </w:pPr>
      <w:r>
        <w:rPr>
          <w:b/>
          <w:sz w:val="16"/>
        </w:rPr>
        <w:t xml:space="preserve">ORIGINAL STUDY   </w:t>
      </w:r>
      <w:r>
        <w:rPr>
          <w:sz w:val="16"/>
        </w:rPr>
        <w:t>https://doi.org/10.1080/14693062.2016.1242058</w:t>
      </w:r>
    </w:p>
    <w:p>
      <w:pPr>
        <w:pStyle w:val="Heading1"/>
      </w:pPr>
      <w:r>
        <w:t>316.  Developed Foresight for Borders Model Predicts the Amount of Borders Traffic in Finland  (2016)</w:t>
      </w:r>
    </w:p>
    <w:p>
      <w:r>
        <w:t>This paper describes the factors which have an influence on travelling and presents the forecast model to Finnish-Russian land border.The number of border traffic between Finland and the Russian Federation's border stations has been an upward trend through the 2000s.A significant part of growth is due to increased travelling of the Russian Federation's citizens to the European Union.Forecasting of cross-border traffic and tourism in Finnish-Russian land border has been based on the official statistics.Laurea University of Applied Sciences carried out a study which generates information on the factors that influence on border traffic.The research study is based on qualitative methods and co-creation tools.As a finding, the key structural factors are tourist's motivations, service and infrastructure in border station, and travelling documents.Foresight for Borders model predicts the amount of border traffic which are based on the key structural factors.Foresight for Borders model will improve service at the border stations by providing information of the traffic amounts that are anticipated to cross the border during specified time periods.As a conclusion, the study can be stated to be necessary in terms of creating new approaches to border service, security and tourism studies.</w:t>
      </w:r>
    </w:p>
    <w:p>
      <w:pPr>
        <w:spacing w:after="240"/>
      </w:pPr>
      <w:r>
        <w:rPr>
          <w:b/>
          <w:sz w:val="16"/>
        </w:rPr>
        <w:t xml:space="preserve">ORIGINAL STUDY   </w:t>
      </w:r>
      <w:r>
        <w:rPr>
          <w:sz w:val="16"/>
        </w:rPr>
        <w:t>https://doi.org/10.30958/ajt.3-2-3</w:t>
      </w:r>
    </w:p>
    <w:p>
      <w:pPr>
        <w:pStyle w:val="Heading1"/>
      </w:pPr>
      <w:r>
        <w:t>317.  Dynamics of the land use, land use change, and forestry sink in the European Union: the impacts of energy and climate targets for 2030  (2016)</w:t>
      </w:r>
    </w:p>
    <w:p>
      <w:r>
        <w:t>We show that implementing a 40 % GHG emission reduction target by 2030 may only have a small negative impact on the domestic LULUCF sink if the additional biomass demand for energy is mostly met through ligno-cellulosic energy crops rather than forest removals. However, if the increased biomass demand were met through higher rates of forest harvest removals, a more negative impact on the LULUCF sink could be expected.</w:t>
      </w:r>
    </w:p>
    <w:p>
      <w:pPr>
        <w:spacing w:after="240"/>
      </w:pPr>
      <w:r>
        <w:rPr>
          <w:b/>
          <w:sz w:val="16"/>
        </w:rPr>
        <w:t xml:space="preserve">ORIGINAL STUDY   </w:t>
      </w:r>
      <w:r>
        <w:rPr>
          <w:sz w:val="16"/>
        </w:rPr>
        <w:t>https://doi.org/10.1007/s10584-016-1729-7</w:t>
      </w:r>
    </w:p>
    <w:p>
      <w:pPr>
        <w:pStyle w:val="Heading1"/>
      </w:pPr>
      <w:r>
        <w:t>318.  Electromobility Scenarios: Research Findings to Inform Policy  (2016)</w:t>
      </w:r>
    </w:p>
    <w:p>
      <w:r>
        <w:t>We also present the cost-benefit-analysis of the modelling results to assess the different scenarios and to show variation between regions regarding profitability of alternative technological or political support and interventions. The model allows calculating the market diffusion of alternative powertrain technologies to the European market until 2030, taking into account different taxation schemes, incentives and other country-specific characteristics.</w:t>
      </w:r>
    </w:p>
    <w:p>
      <w:pPr>
        <w:spacing w:after="240"/>
      </w:pPr>
      <w:r>
        <w:rPr>
          <w:b/>
          <w:sz w:val="16"/>
        </w:rPr>
        <w:t xml:space="preserve">ORIGINAL STUDY   </w:t>
      </w:r>
      <w:r>
        <w:rPr>
          <w:sz w:val="16"/>
        </w:rPr>
        <w:t>https://doi.org/10.1016/j.trpro.2016.05.346</w:t>
      </w:r>
    </w:p>
    <w:p>
      <w:pPr>
        <w:pStyle w:val="Heading1"/>
      </w:pPr>
      <w:r>
        <w:t>319.  Environmental Implications of Dynamic Policies on Food Consumption and Waste Handling in the European Union  (2016)</w:t>
      </w:r>
    </w:p>
    <w:p>
      <w:r>
        <w:t>The implications are reviewed using a number of scenarios for the years 2030 and 2050 assuming policy instruments are fully effective.</w:t>
      </w:r>
    </w:p>
    <w:p>
      <w:pPr>
        <w:spacing w:after="240"/>
      </w:pPr>
      <w:r>
        <w:rPr>
          <w:b/>
          <w:sz w:val="16"/>
        </w:rPr>
        <w:t xml:space="preserve">ORIGINAL STUDY   </w:t>
      </w:r>
      <w:r>
        <w:rPr>
          <w:sz w:val="16"/>
        </w:rPr>
        <w:t>https://doi.org/10.3390/su8030282</w:t>
      </w:r>
    </w:p>
    <w:p>
      <w:pPr>
        <w:pStyle w:val="Heading1"/>
      </w:pPr>
      <w:r>
        <w:t>320.  European Water Footprint Scenarios for 2050  (2016)</w:t>
      </w:r>
    </w:p>
    <w:p>
      <w:r>
        <w:t>This study develops water footprint scenarios for Europe for 2050, at the country level, based on projections regarding population and economic growth, production and trade patterns, consumption patterns (diets and bioenergy use) and technological development. We develop four scenarios, considering globalization versus regional self-sufficiency, and development driven by economic objectives versus development driven by social and environmental objectives.</w:t>
      </w:r>
    </w:p>
    <w:p>
      <w:pPr>
        <w:spacing w:after="240"/>
      </w:pPr>
      <w:r>
        <w:rPr>
          <w:b/>
          <w:sz w:val="16"/>
        </w:rPr>
        <w:t xml:space="preserve">ORIGINAL STUDY   </w:t>
      </w:r>
      <w:r>
        <w:rPr>
          <w:sz w:val="16"/>
        </w:rPr>
        <w:t>https://doi.org/10.3390/w8060226</w:t>
      </w:r>
    </w:p>
    <w:p>
      <w:pPr>
        <w:pStyle w:val="Heading1"/>
      </w:pPr>
      <w:r>
        <w:t>321.  Financing Innovations for the Renewable Energy Transition in Europe  (2016)</w:t>
      </w:r>
    </w:p>
    <w:p>
      <w:r>
        <w:t>Results indicate that Member States in Europe currently tend to fund renewables more than the European Commission, but funding from both sources is expected to increase in the future. Both scenarios are compared to the European 2030 climate and energy framework target sets.</w:t>
      </w:r>
    </w:p>
    <w:p>
      <w:pPr>
        <w:spacing w:after="240"/>
      </w:pPr>
      <w:r>
        <w:rPr>
          <w:b/>
          <w:sz w:val="16"/>
        </w:rPr>
        <w:t xml:space="preserve">ORIGINAL STUDY   </w:t>
      </w:r>
      <w:r>
        <w:rPr>
          <w:sz w:val="16"/>
        </w:rPr>
        <w:t>https://doi.org/10.3390/en9120990</w:t>
      </w:r>
    </w:p>
    <w:p>
      <w:pPr>
        <w:pStyle w:val="Heading1"/>
      </w:pPr>
      <w:r>
        <w:t>322.  First-mover advantages of the European Union's climate change mitigation strategy  (2016)</w:t>
      </w:r>
    </w:p>
    <w:p>
      <w:r>
        <w:t>Assuming that strong climate mitigation action will be undertaken only after 2030, the scenarios compare two main strategies for the EU: pursuing strong emission reduction unilaterally until 2030 versus deferring action for the period after 2030. The model-based projections show clear advantages for the EU as a first mover in climate change mitigation compared with a delaying of climate action until 2030.</w:t>
      </w:r>
    </w:p>
    <w:p>
      <w:pPr>
        <w:spacing w:after="240"/>
      </w:pPr>
      <w:r>
        <w:rPr>
          <w:b/>
          <w:sz w:val="16"/>
        </w:rPr>
        <w:t xml:space="preserve">ORIGINAL STUDY   </w:t>
      </w:r>
      <w:r>
        <w:rPr>
          <w:sz w:val="16"/>
        </w:rPr>
        <w:t>https://doi.org/10.1002/er.3487</w:t>
      </w:r>
    </w:p>
    <w:p>
      <w:pPr>
        <w:pStyle w:val="Heading1"/>
      </w:pPr>
      <w:r>
        <w:t>323.  Foresighting organizational learning equilibrium in European universities  (2016)</w:t>
      </w:r>
    </w:p>
    <w:p>
      <w:r>
        <w:t>Presently, the rate of change (and especially exogenous change) have reached a level that has given researchers and managers alike reason to reflect upon and be concerned about whether this balance could or should be maintained in the future. In this article, we use a classical organizational learning model to envision and simulate how a primary driver (mutual learning) in the balance between exploration and exploitation of knowledge in universities may evolve over time.</w:t>
      </w:r>
    </w:p>
    <w:p>
      <w:pPr>
        <w:spacing w:after="240"/>
      </w:pPr>
      <w:r>
        <w:rPr>
          <w:b/>
          <w:sz w:val="16"/>
        </w:rPr>
        <w:t xml:space="preserve">ORIGINAL STUDY   </w:t>
      </w:r>
      <w:r>
        <w:rPr>
          <w:sz w:val="16"/>
        </w:rPr>
        <w:t>https://doi.org/10.1007/s40309-016-0108-y</w:t>
      </w:r>
    </w:p>
    <w:p>
      <w:pPr>
        <w:pStyle w:val="Heading1"/>
      </w:pPr>
      <w:r>
        <w:t>324.  Futures of science with and for society: towards transformative policy orientations  (2016)</w:t>
      </w:r>
    </w:p>
    <w:p>
      <w:r>
        <w:t>This paper analyzes methodological and content issues of five future scenarios of transformed R&amp;I systems. Design/methodology/approach The paper elaborates a four-step methodology to assess the scenario’s policy implications: first, by articulating the scenario implications for six core dimensions of R&amp;I systems; second, an RRI assessment framework is developed to assess in each scenario opportunities and limitations for transforming R&amp;I systems towards responsibility goals; the third involves a cross-scenario analysis of similarities and differences between the scenarios, allowing the identification of robust policy options that make sense in more than one scenario.</w:t>
      </w:r>
    </w:p>
    <w:p>
      <w:pPr>
        <w:spacing w:after="240"/>
      </w:pPr>
      <w:r>
        <w:rPr>
          <w:b/>
          <w:sz w:val="16"/>
        </w:rPr>
        <w:t xml:space="preserve">ORIGINAL STUDY   </w:t>
      </w:r>
      <w:r>
        <w:rPr>
          <w:sz w:val="16"/>
        </w:rPr>
        <w:t>https://doi.org/10.1108/fs-10-2014-0063</w:t>
      </w:r>
    </w:p>
    <w:p>
      <w:pPr>
        <w:pStyle w:val="Heading1"/>
      </w:pPr>
      <w:r>
        <w:t>325.  Futuribles of learning 2030 - Delphi supports the reform of the core curricula in Finland  (2016)</w:t>
      </w:r>
    </w:p>
    <w:p>
      <w:r>
        <w:t>The aim of the Barometer is to acknowledge the futuribles of learning and take into consideration the possibilities and challenges that may affect the development of school, teaching and learning.</w:t>
      </w:r>
    </w:p>
    <w:p>
      <w:pPr>
        <w:spacing w:after="240"/>
      </w:pPr>
      <w:r>
        <w:rPr>
          <w:b/>
          <w:sz w:val="16"/>
        </w:rPr>
        <w:t xml:space="preserve">ORIGINAL STUDY   </w:t>
      </w:r>
      <w:r>
        <w:rPr>
          <w:sz w:val="16"/>
        </w:rPr>
        <w:t>https://doi.org/10.1007/s40309-016-0096-y</w:t>
      </w:r>
    </w:p>
    <w:p>
      <w:pPr>
        <w:pStyle w:val="Heading1"/>
      </w:pPr>
      <w:r>
        <w:t>326.  Futuring European industry: assessing the ManuFuture road towards EU re-industrialization  (2016)</w:t>
      </w:r>
    </w:p>
    <w:p>
      <w:r>
        <w:t>Based on a systemic assessment of the multi-actor, multi-governance-level and multi-sector policy approach, success factors are elaborated as guiding principles and framework for the upcoming Vision 2030 process.</w:t>
      </w:r>
    </w:p>
    <w:p>
      <w:pPr>
        <w:spacing w:after="240"/>
      </w:pPr>
      <w:r>
        <w:rPr>
          <w:b/>
          <w:sz w:val="16"/>
        </w:rPr>
        <w:t xml:space="preserve">ORIGINAL STUDY   </w:t>
      </w:r>
      <w:r>
        <w:rPr>
          <w:sz w:val="16"/>
        </w:rPr>
        <w:t>https://doi.org/10.1007/s40309-016-0100-6</w:t>
      </w:r>
    </w:p>
    <w:p>
      <w:pPr>
        <w:pStyle w:val="Heading1"/>
      </w:pPr>
      <w:r>
        <w:t>327.  GLOBAL FORECAST OF US NATIONAL INTELLIGENCE COUNCIL  (2016)</w:t>
      </w:r>
    </w:p>
    <w:p>
      <w:r>
        <w:t>The paper gives an analysis of the background, main trends, scenarios and factors of the long-term development of the world till 2030 which are exposed in forecasts of the National Intelligence Council (NIC) in its report of 2012.</w:t>
      </w:r>
    </w:p>
    <w:p>
      <w:pPr>
        <w:spacing w:after="240"/>
      </w:pPr>
      <w:r>
        <w:rPr>
          <w:b/>
          <w:sz w:val="16"/>
        </w:rPr>
        <w:t xml:space="preserve">ORIGINAL STUDY   </w:t>
      </w:r>
      <w:r>
        <w:rPr>
          <w:sz w:val="16"/>
        </w:rPr>
        <w:t>https://doi.org/10.20542/0131-2227-2016-60-11-5-13</w:t>
      </w:r>
    </w:p>
    <w:p>
      <w:pPr>
        <w:pStyle w:val="Heading1"/>
      </w:pPr>
      <w:r>
        <w:t>328.  Global food security: assessing trends in view of guiding future EU policies  (2016)</w:t>
      </w:r>
    </w:p>
    <w:p>
      <w:r>
        <w:t>The structure of the foresight was designed based on the following five objectives: envision the future of food systems, agree on the most crucial drivers of change affecting food security, reach a consensus on a likely vision for 2030, challenge this vision and analyse current policies and policy needs in terms of responsiveness and resilience to food security future challenges. A new paradigm shift is proposed: securing “regular” access to adequate food for the majority of the 8-9 billion people who will live on earth in the period 2030-2050, while addressing the food insecurity of a fraction of that total, is how a future European food security policy should be approached.</w:t>
      </w:r>
    </w:p>
    <w:p>
      <w:pPr>
        <w:spacing w:after="240"/>
      </w:pPr>
      <w:r>
        <w:rPr>
          <w:b/>
          <w:sz w:val="16"/>
        </w:rPr>
        <w:t xml:space="preserve">ORIGINAL STUDY   </w:t>
      </w:r>
      <w:r>
        <w:rPr>
          <w:sz w:val="16"/>
        </w:rPr>
        <w:t>https://doi.org/10.1108/fs-07-2015-0040</w:t>
      </w:r>
    </w:p>
    <w:p>
      <w:pPr>
        <w:pStyle w:val="Heading1"/>
      </w:pPr>
      <w:r>
        <w:t>329.  Imaginary scenarios: Literature and Democracy in Europe  (2016)</w:t>
      </w:r>
    </w:p>
    <w:p>
      <w:r>
        <w:t>The concept ‘imaginary scenario’ will be implemented to investigate imaginative scripts and settings constructed by authors to visualize democratic structures, as such commenting on political and social events and ideas. Tavares (Learning to pray in the age of technique) build their novels around a Vorstellung of how (future) individuals and people in power could act and speak.</w:t>
      </w:r>
    </w:p>
    <w:p>
      <w:pPr>
        <w:spacing w:after="240"/>
      </w:pPr>
      <w:r>
        <w:rPr>
          <w:b/>
          <w:sz w:val="16"/>
        </w:rPr>
        <w:t xml:space="preserve">ORIGINAL STUDY   </w:t>
      </w:r>
      <w:r>
        <w:rPr>
          <w:sz w:val="16"/>
        </w:rPr>
        <w:t>https://doi.org/10.25071/2369-7326.40256</w:t>
      </w:r>
    </w:p>
    <w:p>
      <w:pPr>
        <w:pStyle w:val="Heading1"/>
      </w:pPr>
      <w:r>
        <w:t>330.  Interpreting long-term energy scenarios and the role of bioenergy in Germany  (2016)</w:t>
      </w:r>
    </w:p>
    <w:p>
      <w:r>
        <w:t>This article aims to provide with information for better understanding energy scenarios and to interpret the expectations of the role that bioenergy can play in 2050. The results for the four indicators show a high uncertainty and a wide range of potential bioenergy development futures in Germany by 2050 – e.g. the sustainable domestic biomass potential ranges from 350 to 1700 PJ, the share of biomass in final energy consumption lies between 5 and 28% – principally due to the different key questions and methods and heterogeneous driving forces.</w:t>
      </w:r>
    </w:p>
    <w:p>
      <w:pPr>
        <w:spacing w:after="240"/>
      </w:pPr>
      <w:r>
        <w:rPr>
          <w:b/>
          <w:sz w:val="16"/>
        </w:rPr>
        <w:t xml:space="preserve">ORIGINAL STUDY   </w:t>
      </w:r>
      <w:r>
        <w:rPr>
          <w:sz w:val="16"/>
        </w:rPr>
        <w:t>https://doi.org/10.1016/j.rser.2016.02.016</w:t>
      </w:r>
    </w:p>
    <w:p>
      <w:pPr>
        <w:pStyle w:val="Heading1"/>
      </w:pPr>
      <w:r>
        <w:t>331.  Long-term outlook for wood construction in Europe  (2016)</w:t>
      </w:r>
    </w:p>
    <w:p>
      <w:r>
        <w:t>The aim of the study is to examine the factors affecting the market potential of wood construction in Europe towards 2030.The study takes three complementary perspectives: Past trends and current structures, future trends and uncertainties and measures required to meet the long-term targets of the industries.The methodological framework builds on combining quantitative, descriptive and participative research approaches.By adopting methods and approaches from the field of foresight, the study aims to contribute also to the methodology development for long-term forest sector outlook studies.The trends and pressures in the operating environment of construction were found to primarily relate to the need for reducing the environmental impact of construction and improving the quality and productivity of construction.However, few of the trends would appear to have decisive impact on the diffusion of wood construction.That is, the positive drivers might not translate into improved competitive advantage for wood construction to the extent often expected, due to the lack of willingness or ability to pay for the attributes exceeding the requirements posed by the building regulations.Instead, the cultural and structural hindrances culminating to the fragmented structure and risk-averse characteristics of the construction and wood products industries seem to create significant inertia for the diffusion of wood construction.Based on scenario analysis, the outlook would appear to be dependent on the possible regulatory push for green building and on the possible changes in the strategic orientations of the industries.However, the empirical part indicated that the short-term strategy and policy measures suggested by experts are regarded either as unlikely or as unattractive by the industry stakeholders.The results therefore suggest that the diffusion of wood construction in Europe is likely to be a gradual process, subject to significant inertia, and restricted to a few niche sub-sectors and regions towards 2030.</w:t>
      </w:r>
    </w:p>
    <w:p>
      <w:pPr>
        <w:spacing w:after="240"/>
      </w:pPr>
      <w:r>
        <w:rPr>
          <w:b/>
          <w:sz w:val="16"/>
        </w:rPr>
        <w:t xml:space="preserve">ORIGINAL STUDY   </w:t>
      </w:r>
      <w:r>
        <w:rPr>
          <w:sz w:val="16"/>
        </w:rPr>
        <w:t>https://doi.org/10.14214/df.211</w:t>
      </w:r>
    </w:p>
    <w:p>
      <w:pPr>
        <w:pStyle w:val="Heading1"/>
      </w:pPr>
      <w:r>
        <w:t>332.  New opportunities for future tourism after 25 years of political and socioeconomic transformation – foresight in Poland’s tourism planning  (2016)</w:t>
      </w:r>
    </w:p>
    <w:p>
      <w:r>
        <w:t>Since one of the main foresight goals is to identify trends, the paper takes attempt to verify trends that occurred in Poland after 1989 and if they have now and will have in the near future influence on Polish tourism. Findings The analysis of the political and economic changes that have taken place in Poland over the last 25 years shows that they were positive for the development of tourism base.</w:t>
      </w:r>
    </w:p>
    <w:p>
      <w:pPr>
        <w:spacing w:after="240"/>
      </w:pPr>
      <w:r>
        <w:rPr>
          <w:b/>
          <w:sz w:val="16"/>
        </w:rPr>
        <w:t xml:space="preserve">ORIGINAL STUDY   </w:t>
      </w:r>
      <w:r>
        <w:rPr>
          <w:sz w:val="16"/>
        </w:rPr>
        <w:t>https://doi.org/10.1108/jtf-05-2015-0031</w:t>
      </w:r>
    </w:p>
    <w:p>
      <w:pPr>
        <w:pStyle w:val="Heading1"/>
      </w:pPr>
      <w:r>
        <w:t>333.  Pathways to Deep Decarbonization in Italy  (2016)</w:t>
      </w:r>
    </w:p>
    <w:p>
      <w:r>
        <w:t>These 16 countries are: Australia, Brazil, Canada, China, France, Germany, India, Indonesia, Italy, Japan, Mexico, Russia, South Africa, South Korea, the United Kingdom, and the United States. “Pathways to Deep Carbonization in Italy” contributes to the national debate on climate-change mitigation, and the importance of deep decarbonization, by examining three alternative pathways that could reduce Italian CO2 emissions by at least 40% in 2030 and 80% in 2050, compared to 1990. It analyzes the challenges the Italian energy system faces, and possible future technological developments that will need to be pursued.</w:t>
      </w:r>
    </w:p>
    <w:p>
      <w:pPr>
        <w:spacing w:after="240"/>
      </w:pPr>
      <w:r>
        <w:rPr>
          <w:b/>
          <w:sz w:val="16"/>
        </w:rPr>
        <w:t xml:space="preserve">ORIGINAL STUDY   </w:t>
      </w:r>
      <w:r>
        <w:rPr>
          <w:sz w:val="16"/>
        </w:rPr>
        <w:t>https://doi.org/10.22004/ag.econ.230582</w:t>
      </w:r>
    </w:p>
    <w:p>
      <w:pPr>
        <w:pStyle w:val="Heading1"/>
      </w:pPr>
      <w:r>
        <w:t>334.  Possible Futures towards a Wood-Based Bioeconomy: A Scenario Analysis for Germany  (2016)</w:t>
      </w:r>
    </w:p>
    <w:p>
      <w:r>
        <w:t>Driven by the growing awareness of the finite nature of fossil raw materials and the need for sustainable pathways of industrial production, the bio-based economy is expected to expand worldwide. We conclude that the wood-based bioeconomy has a certain potential to develop further, if adequate political framework conditions are implemented and meet voter support, if consumers exhibit an enhanced willingness to pay for bio-based products, and if among companies, a chance-oriented advocacy coalition of bioeconomy supporters dominates over proponents of fossil pathways.</w:t>
      </w:r>
    </w:p>
    <w:p>
      <w:pPr>
        <w:spacing w:after="240"/>
      </w:pPr>
      <w:r>
        <w:rPr>
          <w:b/>
          <w:sz w:val="16"/>
        </w:rPr>
        <w:t xml:space="preserve">ORIGINAL STUDY   </w:t>
      </w:r>
      <w:r>
        <w:rPr>
          <w:sz w:val="16"/>
        </w:rPr>
        <w:t>https://doi.org/10.3390/su8010098</w:t>
      </w:r>
    </w:p>
    <w:p>
      <w:pPr>
        <w:pStyle w:val="Heading1"/>
      </w:pPr>
      <w:r>
        <w:t>335.  Prediction of population with Alzheimer's disease in the European Union using a system dynamics model  (2016)</w:t>
      </w:r>
    </w:p>
    <w:p>
      <w:r>
        <w:t>In this research, population growth of the European Union (EU) until the year 2080 and the number of patients with AD are modeled.</w:t>
      </w:r>
    </w:p>
    <w:p>
      <w:pPr>
        <w:spacing w:after="240"/>
      </w:pPr>
      <w:r>
        <w:rPr>
          <w:b/>
          <w:sz w:val="16"/>
        </w:rPr>
        <w:t xml:space="preserve">ORIGINAL STUDY   </w:t>
      </w:r>
      <w:r>
        <w:rPr>
          <w:sz w:val="16"/>
        </w:rPr>
        <w:t>https://doi.org/10.2147/ndt.s107969</w:t>
      </w:r>
    </w:p>
    <w:p>
      <w:pPr>
        <w:pStyle w:val="Heading1"/>
      </w:pPr>
      <w:r>
        <w:t>336.  Problem of “Dinosauring” of European Union and Mapping of Its Future  (2016)</w:t>
      </w:r>
    </w:p>
    <w:p>
      <w:r>
        <w:t>The popular European vision of its future can be called The Davos World - simple scenario based of the economic benefits, predicting that the driving force for ruling the world will be the endless economic interest.</w:t>
      </w:r>
    </w:p>
    <w:p>
      <w:pPr>
        <w:spacing w:after="240"/>
      </w:pPr>
      <w:r>
        <w:rPr>
          <w:b/>
          <w:sz w:val="16"/>
        </w:rPr>
        <w:t xml:space="preserve">ORIGINAL STUDY   </w:t>
      </w:r>
      <w:r>
        <w:rPr>
          <w:sz w:val="16"/>
        </w:rPr>
        <w:t>https://doi.org/10.11114/smc.v4i1.1617</w:t>
      </w:r>
    </w:p>
    <w:p>
      <w:pPr>
        <w:pStyle w:val="Heading1"/>
      </w:pPr>
      <w:r>
        <w:t>337.  Prospects of labour migration pressure in Algeria, Morocco, Tunisia and Turkey  (2016)</w:t>
      </w:r>
    </w:p>
    <w:p>
      <w:r>
        <w:t>This model is then used as framework for deriving storylines for three different scenarios of economic and demographic change up to 2035. Subsequently, storylines are operationalized, leading to scenario estimates of migration pressure up to 2035.</w:t>
      </w:r>
    </w:p>
    <w:p>
      <w:pPr>
        <w:spacing w:after="240"/>
      </w:pPr>
      <w:r>
        <w:rPr>
          <w:b/>
          <w:sz w:val="16"/>
        </w:rPr>
        <w:t xml:space="preserve">ORIGINAL STUDY   </w:t>
      </w:r>
      <w:r>
        <w:rPr>
          <w:sz w:val="16"/>
        </w:rPr>
        <w:t>https://doi.org/10.1186/s41118-016-0015-x</w:t>
      </w:r>
    </w:p>
    <w:p>
      <w:pPr>
        <w:pStyle w:val="Heading1"/>
      </w:pPr>
      <w:r>
        <w:t>338.  Record dry summer in 2015 challenges precipitation projections in Central Europe  (2016)</w:t>
      </w:r>
    </w:p>
    <w:p>
      <w:r>
        <w:t>Climate change projections suggest that climate in this area will shift towards warmer temperatures by the end of the 21 st century, while projected precipitation changes are highly uncertain. Even though the models best capturing past droughts are not necessarily generally more reliable in the future, the 2015 drought event illustrates that potential future drying trends have severe implications and could be stronger than commonly assumed from the entire IPCC AR5 model ensemble.</w:t>
      </w:r>
    </w:p>
    <w:p>
      <w:pPr>
        <w:spacing w:after="240"/>
      </w:pPr>
      <w:r>
        <w:rPr>
          <w:b/>
          <w:sz w:val="16"/>
        </w:rPr>
        <w:t xml:space="preserve">ORIGINAL STUDY   </w:t>
      </w:r>
      <w:r>
        <w:rPr>
          <w:sz w:val="16"/>
        </w:rPr>
        <w:t>https://doi.org/10.1038/srep28334</w:t>
      </w:r>
    </w:p>
    <w:p>
      <w:pPr>
        <w:pStyle w:val="Heading1"/>
      </w:pPr>
      <w:r>
        <w:t>339.  STRATEGIC DIRECTIONS OF DEVELOPMENT OF THE POLISH POWER SECTOR IN THE LIGHT OF CLIMATE AND ENERGY POLICY OF THE EUROPEAN UNION  (2016)</w:t>
      </w:r>
    </w:p>
    <w:p>
      <w:r>
        <w:t>The paper analyzes the possible directions of development of the Polish electricity sector by 2050 in terms of its adaptation to the EU requirements.The analysis was performed for different scenarios of development of CCS technology, nuclear energy development conditions and forecasted fuel prices on the domestic market, assuming the EU's targets for energy and climate policy.Strategic directions of sector development, taking into account investments in gas-fired and nuclear power plants were considered.Position of coal in the future fuel structure of Polish electricity generation and its conditions were discussed.The costs of electricity production in the analyzed scenarios are set out.The areas of government activityessential for strategic decisions determining the direction of development of the energy sector in Poland are presented.The presented studies assumed equal preferences for all types of fuels and technologies while assuming the market prices of fuels.The Government, determining the desired directions of development of the sector, can stimulate their development by creating preferences, such as preferential tax treatment.Essential is active participation of the Polish government in setting the specific targets valid for European countries in future.Without denying the need to reduce emissions, Poland should have an impact on the choice of quantity and quality of indicative targets, which will have to be met.A target to reduce emissions should not be accompanied by further objectives.For example, a target to increase share of renewable energy sources limits the development of energy mix.</w:t>
      </w:r>
    </w:p>
    <w:p>
      <w:pPr>
        <w:spacing w:after="240"/>
      </w:pPr>
      <w:r>
        <w:rPr>
          <w:b/>
          <w:sz w:val="16"/>
        </w:rPr>
        <w:t xml:space="preserve">ORIGINAL STUDY   </w:t>
      </w:r>
      <w:r>
        <w:rPr>
          <w:sz w:val="16"/>
        </w:rPr>
        <w:t>https://doi.org/10.7862/rz.2016.hss.18</w:t>
      </w:r>
    </w:p>
    <w:p>
      <w:pPr>
        <w:pStyle w:val="Heading1"/>
      </w:pPr>
      <w:r>
        <w:t>340.  Scenario planning as communicative action: Lessons from participatory exercises conducted for the Scottish livestock industry  (2016)</w:t>
      </w:r>
    </w:p>
    <w:p>
      <w:r>
        <w:t>The paper considers the extent to which the case study approximates the conditions for ‘ideal speech situations’ and how these conditions could be applied more widely in participatory scenario planning. The authors explore the rationale for participatory scenario planning within the science–policy interface with critical reference to the corporate context in which scenario planning has evolved.</w:t>
      </w:r>
    </w:p>
    <w:p>
      <w:pPr>
        <w:spacing w:after="240"/>
      </w:pPr>
      <w:r>
        <w:rPr>
          <w:b/>
          <w:sz w:val="16"/>
        </w:rPr>
        <w:t xml:space="preserve">ORIGINAL STUDY   </w:t>
      </w:r>
      <w:r>
        <w:rPr>
          <w:sz w:val="16"/>
        </w:rPr>
        <w:t>https://doi.org/10.1016/j.techfore.2016.07.034</w:t>
      </w:r>
    </w:p>
    <w:p>
      <w:pPr>
        <w:pStyle w:val="Heading1"/>
      </w:pPr>
      <w:r>
        <w:t>341.  Secular stagnation – are we stuck in Summers' long winter?  (2016)</w:t>
      </w:r>
    </w:p>
    <w:p>
      <w:r>
        <w:t>Growth could be stronger were it not for the sizeable drag from fiscal consolidation over the next four years and the dampening effect that this will have on activity. Usually this would drive a period of strong economic growth, but we expect GDP growth to average a relatively underwhelming 2.4% a year over this period, largely due to the drag from aggressive fiscal consolidation.</w:t>
      </w:r>
    </w:p>
    <w:p>
      <w:pPr>
        <w:spacing w:after="240"/>
      </w:pPr>
      <w:r>
        <w:rPr>
          <w:b/>
          <w:sz w:val="16"/>
        </w:rPr>
        <w:t xml:space="preserve">ORIGINAL STUDY   </w:t>
      </w:r>
      <w:r>
        <w:rPr>
          <w:sz w:val="16"/>
        </w:rPr>
        <w:t>https://doi.org/10.1111/1468-0319.12197</w:t>
      </w:r>
    </w:p>
    <w:p>
      <w:pPr>
        <w:pStyle w:val="Heading1"/>
      </w:pPr>
      <w:r>
        <w:t>342.  Shaping the ‘Energy Union': between national positions and governance innovation in EU energy and climate policy  (2016)</w:t>
      </w:r>
    </w:p>
    <w:p>
      <w:r>
        <w:t>We sketch two possible scenarios for the future of EU energy policy, as suggested by the intergovernmentalist and supranationalist approaches and emphasize the potential impact of the governance mechanism of the Energy Union, which could reach far beyond what is expected and provide welcome coherence in Europe's energy and climate policy.Policy relevanceThe article structures the policy debate on the Energy Union, discussing the different elements and instruments proposed by key EU actors and provides a useful overview of national interests of some important players, set in the context of their wider systemic conditions and policy goals.</w:t>
      </w:r>
    </w:p>
    <w:p>
      <w:pPr>
        <w:spacing w:after="240"/>
      </w:pPr>
      <w:r>
        <w:rPr>
          <w:b/>
          <w:sz w:val="16"/>
        </w:rPr>
        <w:t xml:space="preserve">ORIGINAL STUDY   </w:t>
      </w:r>
      <w:r>
        <w:rPr>
          <w:sz w:val="16"/>
        </w:rPr>
        <w:t>https://doi.org/10.1080/14693062.2015.1135100</w:t>
      </w:r>
    </w:p>
    <w:p>
      <w:pPr>
        <w:pStyle w:val="Heading1"/>
      </w:pPr>
      <w:r>
        <w:t>343.  Situational analysis of EU renewable energy legislation  (2016)</w:t>
      </w:r>
    </w:p>
    <w:p>
      <w:r>
        <w:t>It next seeks to identify relationships between internal weaknesses and strengths and external threats and opportunities, resulting in four sets of policy options.Policy relevanceIn October 2014, the EU Heads of State and Government agreed to increase the EU's greenhouse gas reduction target to -40% by 2030. This article applies a situational analysis tool to help answer the question of how EU renewable energy policy could be reshaped after 2020 to further enhance renewable energy deployment in the EU.</w:t>
      </w:r>
    </w:p>
    <w:p>
      <w:pPr>
        <w:spacing w:after="240"/>
      </w:pPr>
      <w:r>
        <w:rPr>
          <w:b/>
          <w:sz w:val="16"/>
        </w:rPr>
        <w:t xml:space="preserve">ORIGINAL STUDY   </w:t>
      </w:r>
      <w:r>
        <w:rPr>
          <w:sz w:val="16"/>
        </w:rPr>
        <w:t>https://doi.org/10.1080/14693062.2015.1135412</w:t>
      </w:r>
    </w:p>
    <w:p>
      <w:pPr>
        <w:pStyle w:val="Heading1"/>
      </w:pPr>
      <w:r>
        <w:t>344.  Society in need of transformation. Citizen-Foresight as a method to co-create urban future  (2016)</w:t>
      </w:r>
    </w:p>
    <w:p>
      <w:r>
        <w:t>Third, we show how this can work in reality by shortly outlining two Citizen-Foresight cases with elderlies and, fourth, we derive selection-criteria for methods aiming at transforming mental images, maps and behaviour.</w:t>
      </w:r>
    </w:p>
    <w:p>
      <w:pPr>
        <w:spacing w:after="240"/>
      </w:pPr>
      <w:r>
        <w:rPr>
          <w:b/>
          <w:sz w:val="16"/>
        </w:rPr>
        <w:t xml:space="preserve">ORIGINAL STUDY   </w:t>
      </w:r>
      <w:r>
        <w:rPr>
          <w:sz w:val="16"/>
        </w:rPr>
        <w:t>https://doi.org/10.14746/fped.2016.5.2.21</w:t>
      </w:r>
    </w:p>
    <w:p>
      <w:pPr>
        <w:pStyle w:val="Heading1"/>
      </w:pPr>
      <w:r>
        <w:t>345.  Strategies for emerging research and innovation futures  (2016)</w:t>
      </w:r>
    </w:p>
    <w:p>
      <w:r>
        <w:t>In the light of the scenarios developed for the year 2030, a set of strategic options are identified and assessed for each stakeholder group. The analysis of scenarios indicated that their feasibility and desirability differ across different sectors of industry, and research areas within the research landscape.</w:t>
      </w:r>
    </w:p>
    <w:p>
      <w:pPr>
        <w:spacing w:after="240"/>
      </w:pPr>
      <w:r>
        <w:rPr>
          <w:b/>
          <w:sz w:val="16"/>
        </w:rPr>
        <w:t xml:space="preserve">ORIGINAL STUDY   </w:t>
      </w:r>
      <w:r>
        <w:rPr>
          <w:sz w:val="16"/>
        </w:rPr>
        <w:t>https://doi.org/10.1108/fs-07-2014-0048</w:t>
      </w:r>
    </w:p>
    <w:p>
      <w:pPr>
        <w:pStyle w:val="Heading1"/>
      </w:pPr>
      <w:r>
        <w:t>346.  Testing Scenarios to Achieve Workplace Sustainability Goals Using Backcasting and Agent-Based Modeling  (2016)</w:t>
      </w:r>
    </w:p>
    <w:p>
      <w:r>
        <w:t>Future scenarios were developed using a participatory backcasting scenario development methodology, and policy tracks were derived.</w:t>
      </w:r>
    </w:p>
    <w:p>
      <w:pPr>
        <w:spacing w:after="240"/>
      </w:pPr>
      <w:r>
        <w:rPr>
          <w:b/>
          <w:sz w:val="16"/>
        </w:rPr>
        <w:t xml:space="preserve">ORIGINAL STUDY   </w:t>
      </w:r>
      <w:r>
        <w:rPr>
          <w:sz w:val="16"/>
        </w:rPr>
        <w:t>https://doi.org/10.1177/0013916516673869</w:t>
      </w:r>
    </w:p>
    <w:p>
      <w:pPr>
        <w:pStyle w:val="Heading1"/>
      </w:pPr>
      <w:r>
        <w:t>347.  The Deliberative Practice of Vision Mobility 2050: Vision-making for Sustainable Mobility in the Region of Munich?  (2016)</w:t>
      </w:r>
    </w:p>
    <w:p>
      <w:r>
        <w:t>It specifically looks at a recent visioning process where this network of actors developed ideas on the future of mobility, particularly in the context of growth and development in one of the most powerful, economic Metropolitan Regions in Europe. The network propels the mobilities of ideas, concepts and perspectives on the future of mobility and transport in Munich.</w:t>
      </w:r>
    </w:p>
    <w:p>
      <w:pPr>
        <w:spacing w:after="240"/>
      </w:pPr>
      <w:r>
        <w:rPr>
          <w:b/>
          <w:sz w:val="16"/>
        </w:rPr>
        <w:t xml:space="preserve">ORIGINAL STUDY   </w:t>
      </w:r>
      <w:r>
        <w:rPr>
          <w:sz w:val="16"/>
        </w:rPr>
        <w:t>https://doi.org/10.1016/j.trpro.2016.12.096</w:t>
      </w:r>
    </w:p>
    <w:p>
      <w:pPr>
        <w:pStyle w:val="Heading1"/>
      </w:pPr>
      <w:r>
        <w:t>348.  The Future of European Labour Law and the Right to Employability  (2016)</w:t>
      </w:r>
    </w:p>
    <w:p>
      <w:r>
        <w:t>In view of an evaluation of the impact of the Council's Recommendation of December 2012 on the validation of informal and non-formal learning (as well as its possible review expected for 2019), the paper offers some preliminary elements for evaluating the relevance, the efficacy, and the consistency of European action in this field and speculates about the likely direction of future developments.</w:t>
      </w:r>
    </w:p>
    <w:p>
      <w:pPr>
        <w:spacing w:after="240"/>
      </w:pPr>
      <w:r>
        <w:rPr>
          <w:b/>
          <w:sz w:val="16"/>
        </w:rPr>
        <w:t xml:space="preserve">ORIGINAL STUDY   </w:t>
      </w:r>
      <w:r>
        <w:rPr>
          <w:sz w:val="16"/>
        </w:rPr>
        <w:t>https://doi.org/10.1177/201395251600700311</w:t>
      </w:r>
    </w:p>
    <w:p>
      <w:pPr>
        <w:pStyle w:val="Heading1"/>
      </w:pPr>
      <w:r>
        <w:t>349.  The state of democracy in the European Union in scenarios: federation, empire and Europe à la carte  (2016)</w:t>
      </w:r>
    </w:p>
    <w:p>
      <w:r>
        <w:t>The aim of the article is to present possible scenarios on maintaining democracy in the EU, while assuming different hypothetical directions in which it could develop as a federation, empire and Europe à la carte. The abovementioned objective of scenario development is achieved through distinguishing the notions of policy, politics and polity in the research.</w:t>
      </w:r>
    </w:p>
    <w:p>
      <w:pPr>
        <w:spacing w:after="240"/>
      </w:pPr>
      <w:r>
        <w:rPr>
          <w:b/>
          <w:sz w:val="16"/>
        </w:rPr>
        <w:t xml:space="preserve">ORIGINAL STUDY   </w:t>
      </w:r>
      <w:r>
        <w:rPr>
          <w:sz w:val="16"/>
        </w:rPr>
        <w:t>https://doi.org/10.31338/1641-2478pe.4.15.5</w:t>
      </w:r>
    </w:p>
    <w:p>
      <w:pPr>
        <w:pStyle w:val="Heading1"/>
      </w:pPr>
      <w:r>
        <w:t>350.  Towards an assessment of adaptive capacity of the European agricultural sector to droughts  (2016)</w:t>
      </w:r>
    </w:p>
    <w:p>
      <w:r>
        <w:t>We create a set of indicators which highlight areas of high or low AC, forecast to estimated times the world will reach 2° of warming using Shared Socioeconomic Pathway (SSP) and Representative Concentration Pathway (RCP) scenarios to drive AC indicator projections based on a fixed effects model.</w:t>
      </w:r>
    </w:p>
    <w:p>
      <w:pPr>
        <w:spacing w:after="240"/>
      </w:pPr>
      <w:r>
        <w:rPr>
          <w:b/>
          <w:sz w:val="16"/>
        </w:rPr>
        <w:t xml:space="preserve">ORIGINAL STUDY   </w:t>
      </w:r>
      <w:r>
        <w:rPr>
          <w:sz w:val="16"/>
        </w:rPr>
        <w:t>https://doi.org/10.1016/j.cliser.2016.10.003</w:t>
      </w:r>
    </w:p>
    <w:p>
      <w:pPr>
        <w:pStyle w:val="Heading1"/>
      </w:pPr>
      <w:r>
        <w:t>351.  Using Scenarios to Assess Policy Mixes for Resource Efficiency and Eco-Innovation in Different Fiscal Policy Frameworks  (2016)</w:t>
      </w:r>
    </w:p>
    <w:p>
      <w:r>
        <w:t>The purpose of the JRC foresight study “2035: Paths towards a sustainable EU economy” was to explore how this could be possible. The scenarios were used in an original way to help experts identify which policy mixes would be best adapted to push each scenario towards a more sustainable future, while respecting its own logic and constraints.</w:t>
      </w:r>
    </w:p>
    <w:p>
      <w:pPr>
        <w:spacing w:after="240"/>
      </w:pPr>
      <w:r>
        <w:rPr>
          <w:b/>
          <w:sz w:val="16"/>
        </w:rPr>
        <w:t xml:space="preserve">ORIGINAL STUDY   </w:t>
      </w:r>
      <w:r>
        <w:rPr>
          <w:sz w:val="16"/>
        </w:rPr>
        <w:t>https://doi.org/10.3390/su8040309</w:t>
      </w:r>
    </w:p>
    <w:p>
      <w:pPr>
        <w:pStyle w:val="Heading1"/>
      </w:pPr>
      <w:r>
        <w:t>352.  A Transport Policy Tool for Reduction of Co2 Emissions in Finland – Visions, Scenarios and Pathways using Pluralistic Backcasting Method  (2015)</w:t>
      </w:r>
    </w:p>
    <w:p>
      <w:r>
        <w:t>The reduction of greenhouse gas emission was the basis of a Delphi study where expert opinions about future development were asked and used to form visions of the future, and further elaborated to scenarios using a pluralistic backcasting method. A new innovative approach on how to use and combine methods and data from various disciplines in scenario modelling, on transport policy packaging and determining pathways to reach the desired futures, is presented for two of the visions analysed in detail.</w:t>
      </w:r>
    </w:p>
    <w:p>
      <w:pPr>
        <w:spacing w:after="240"/>
      </w:pPr>
      <w:r>
        <w:rPr>
          <w:b/>
          <w:sz w:val="16"/>
        </w:rPr>
        <w:t xml:space="preserve">ORIGINAL STUDY   </w:t>
      </w:r>
      <w:r>
        <w:rPr>
          <w:sz w:val="16"/>
        </w:rPr>
        <w:t>https://doi.org/10.1016/j.trpro.2015.12.016</w:t>
      </w:r>
    </w:p>
    <w:p>
      <w:pPr>
        <w:pStyle w:val="Heading1"/>
      </w:pPr>
      <w:r>
        <w:t>353.  A decision support system to find the best water allocation strategies in a Mediterranean river basin in future scenarios of global change  (2015)</w:t>
      </w:r>
    </w:p>
    <w:p>
      <w:r>
        <w:t>Several scenarios have been constructed to evaluate different sectorial water allocation policies to mitigate the water scarcity induced by global change.</w:t>
      </w:r>
    </w:p>
    <w:p>
      <w:pPr>
        <w:spacing w:after="240"/>
      </w:pPr>
      <w:r>
        <w:rPr>
          <w:b/>
          <w:sz w:val="16"/>
        </w:rPr>
        <w:t xml:space="preserve">ORIGINAL STUDY   </w:t>
      </w:r>
      <w:r>
        <w:rPr>
          <w:sz w:val="16"/>
        </w:rPr>
        <w:t>https://doi.org/10.1080/0952813x.2015.1024493</w:t>
      </w:r>
    </w:p>
    <w:p>
      <w:pPr>
        <w:pStyle w:val="Heading1"/>
      </w:pPr>
      <w:r>
        <w:t>354.  A strategic policy scenario analysis framework for the sustainable tourist development of peripheral small island areas – the case of Lefkada-Greece Island  (2015)</w:t>
      </w:r>
    </w:p>
    <w:p>
      <w:r>
        <w:t>This will be implemented to a specific peripheral small island region, the island of Lefkada-Greece, seeking the integrated development of the island with emphasis on the sustainable exploitation of local tourist assets. Information gathered on potential developments of the external environment are used to inform the structuring and evaluation of sustainable tourist development scenarios in order to conclude with the most prevalent future perspective for the specific region, taking into consideration the local preferences and values in a participatory evaluation context.</w:t>
      </w:r>
    </w:p>
    <w:p>
      <w:pPr>
        <w:spacing w:after="240"/>
      </w:pPr>
      <w:r>
        <w:rPr>
          <w:b/>
          <w:sz w:val="16"/>
        </w:rPr>
        <w:t xml:space="preserve">ORIGINAL STUDY   </w:t>
      </w:r>
      <w:r>
        <w:rPr>
          <w:sz w:val="16"/>
        </w:rPr>
        <w:t>https://doi.org/10.1007/s40309-015-0063-z</w:t>
      </w:r>
    </w:p>
    <w:p>
      <w:pPr>
        <w:pStyle w:val="Heading1"/>
      </w:pPr>
      <w:r>
        <w:t>355.  After crisis scenarios for Europe: alternative evolutions of structural adjustments  (2015)</w:t>
      </w:r>
    </w:p>
    <w:p>
      <w:r>
        <w:t>The effects that these structural changes will generate are difficult to be foreseen. This article builds after-crisis scenarios for Europe on the basis of alternative evolutions of these structural changes.</w:t>
      </w:r>
    </w:p>
    <w:p>
      <w:pPr>
        <w:spacing w:after="240"/>
      </w:pPr>
      <w:r>
        <w:rPr>
          <w:b/>
          <w:sz w:val="16"/>
        </w:rPr>
        <w:t xml:space="preserve">ORIGINAL STUDY   </w:t>
      </w:r>
      <w:r>
        <w:rPr>
          <w:sz w:val="16"/>
        </w:rPr>
        <w:t>https://doi.org/10.1093/cjres/rsv023</w:t>
      </w:r>
    </w:p>
    <w:p>
      <w:pPr>
        <w:pStyle w:val="Heading1"/>
      </w:pPr>
      <w:r>
        <w:t>356.  Analyst earnings forecast revision activity around profit warnings across four European countries  (2015)</w:t>
      </w:r>
    </w:p>
    <w:p>
      <w:r>
        <w:t>Research limitations/implications – The sample is only composed on firms from four European countries owing to a lack of firms from other European countries that disclosed PW during the period 2000-2010. It would be pertinent to conduct future research dealing with an international sample from different continents.</w:t>
      </w:r>
    </w:p>
    <w:p>
      <w:pPr>
        <w:spacing w:after="240"/>
      </w:pPr>
      <w:r>
        <w:rPr>
          <w:b/>
          <w:sz w:val="16"/>
        </w:rPr>
        <w:t xml:space="preserve">ORIGINAL STUDY   </w:t>
      </w:r>
      <w:r>
        <w:rPr>
          <w:sz w:val="16"/>
        </w:rPr>
        <w:t>https://doi.org/10.1108/jaar-01-2013-0005</w:t>
      </w:r>
    </w:p>
    <w:p>
      <w:pPr>
        <w:pStyle w:val="Heading1"/>
      </w:pPr>
      <w:r>
        <w:t>357.  Assessing the impact of the 2011 EU Transport White Paper - a rail freight demand forecast up to 2050 for the EU27  (2015)</w:t>
      </w:r>
    </w:p>
    <w:p>
      <w:r>
        <w:t>In stark contrast, the White paper High scenario results show that demand for rail freight services almost doubles compared to the Reference values. Specifically: a modal shift, from road to rail, and waterway transport, of 30 % by 2030 and 50 % by 2050 - for distances greater than 300 km.</w:t>
      </w:r>
    </w:p>
    <w:p>
      <w:pPr>
        <w:spacing w:after="240"/>
      </w:pPr>
      <w:r>
        <w:rPr>
          <w:b/>
          <w:sz w:val="16"/>
        </w:rPr>
        <w:t xml:space="preserve">ORIGINAL STUDY   </w:t>
      </w:r>
      <w:r>
        <w:rPr>
          <w:sz w:val="16"/>
        </w:rPr>
        <w:t>https://doi.org/10.1007/s12544-015-0171-7</w:t>
      </w:r>
    </w:p>
    <w:p>
      <w:pPr>
        <w:pStyle w:val="Heading1"/>
      </w:pPr>
      <w:r>
        <w:t>358.  Assessing the impacts of technology improvements on the deployment of marine energy in Europe with an energy system perspective  (2015)</w:t>
      </w:r>
    </w:p>
    <w:p>
      <w:r>
        <w:t>Marine energy could play a significant role in the long-term energy system in Europe, and substantial resources have been allocated to research and development in this field. A sensitivity analysis is performed, varying technology costs and conversion efficiency under two different carbon-emissions paths for Europe: a current policy initiative scenario and a scenario with long-term overall CO 2 emission reductions.</w:t>
      </w:r>
    </w:p>
    <w:p>
      <w:pPr>
        <w:spacing w:after="240"/>
      </w:pPr>
      <w:r>
        <w:rPr>
          <w:b/>
          <w:sz w:val="16"/>
        </w:rPr>
        <w:t xml:space="preserve">ORIGINAL STUDY   </w:t>
      </w:r>
      <w:r>
        <w:rPr>
          <w:sz w:val="16"/>
        </w:rPr>
        <w:t>https://doi.org/10.1016/j.renene.2015.11.076</w:t>
      </w:r>
    </w:p>
    <w:p>
      <w:pPr>
        <w:pStyle w:val="Heading1"/>
      </w:pPr>
      <w:r>
        <w:t>359.  Biotechnology versus agroecology: Entrenchments and surprise at a 2030 forecast scenario workshop  (2015)</w:t>
      </w:r>
    </w:p>
    <w:p>
      <w:r>
        <w:t>A scenario workshop methodology was used to obtain various assessments of the prospects of multi-stress resistant plants. In our results, the scenario method showed itself to be highly suited to easing the grip of cognitive entrenchments and hierarchical communication structures.</w:t>
      </w:r>
    </w:p>
    <w:p>
      <w:pPr>
        <w:spacing w:after="240"/>
      </w:pPr>
      <w:r>
        <w:rPr>
          <w:b/>
          <w:sz w:val="16"/>
        </w:rPr>
        <w:t xml:space="preserve">ORIGINAL STUDY   </w:t>
      </w:r>
      <w:r>
        <w:rPr>
          <w:sz w:val="16"/>
        </w:rPr>
        <w:t>https://doi.org/10.1093/scipol/scv021</w:t>
      </w:r>
    </w:p>
    <w:p>
      <w:pPr>
        <w:pStyle w:val="Heading1"/>
      </w:pPr>
      <w:r>
        <w:t>360.  CORPORATE FORESIGHT AND ASSESSMENT OF INNOVATIVE ACTIVITY OF INDUSTRIAL ENTERPRISES  (2015)</w:t>
      </w:r>
    </w:p>
    <w:p>
      <w:r>
        <w:t>Foresight is a system of expert evaluation of strategic directions of social and economic and innovative development, identification of technological breakthroughs that could have an impact on the economy and the society in the mid- and long-term perspective.</w:t>
      </w:r>
    </w:p>
    <w:p>
      <w:pPr>
        <w:spacing w:after="240"/>
      </w:pPr>
      <w:r>
        <w:rPr>
          <w:b/>
          <w:sz w:val="16"/>
        </w:rPr>
        <w:t xml:space="preserve">ORIGINAL STUDY   </w:t>
      </w:r>
      <w:r>
        <w:rPr>
          <w:sz w:val="16"/>
        </w:rPr>
        <w:t>https://doi.org/10.14529/em090308</w:t>
      </w:r>
    </w:p>
    <w:p>
      <w:pPr>
        <w:pStyle w:val="Heading1"/>
      </w:pPr>
      <w:r>
        <w:t>361.  Centre-Periphery Relations in Europe: Demographic Aspect  (2015)</w:t>
      </w:r>
    </w:p>
    <w:p>
      <w:r>
        <w:t>So, the recent number of unemployed in Spain (5.7 millions) is four times more than the expected decrease in the number of people aged 20 to 64 between 2010 and 2030 (1.4 millions).</w:t>
      </w:r>
    </w:p>
    <w:p>
      <w:pPr>
        <w:spacing w:after="240"/>
      </w:pPr>
      <w:r>
        <w:rPr>
          <w:b/>
          <w:sz w:val="16"/>
        </w:rPr>
        <w:t xml:space="preserve">ORIGINAL STUDY   </w:t>
      </w:r>
      <w:r>
        <w:rPr>
          <w:sz w:val="16"/>
        </w:rPr>
        <w:t>https://doi.org/10.20542/0131-2227-2015-2-58-67</w:t>
      </w:r>
    </w:p>
    <w:p>
      <w:pPr>
        <w:pStyle w:val="Heading1"/>
      </w:pPr>
      <w:r>
        <w:t>362.  Climate Change Effects on Heat- and Cold-Related Mortality in the Netherlands: A Scenario-Based Integrated Environmental Health Impact Assessment  (2015)</w:t>
      </w:r>
    </w:p>
    <w:p>
      <w:r>
        <w:t>This scenario-based integrated health impacts assessment explores baseline (1981-2010) and future (2050) population attributable fractions (PAF) of mortality due to heat (PAFheat) and cold (PAFcold), by combining observed temperature-mortality relationships with the Dutch KNMI'14 climate scenarios and three adaptation scenarios. When the 2050 model runs applying the different adaptation scenarios are considered as well, however, the PAFheat ranges between 0.94% and 2.52% and the PAFcold between 6.56% and 9.85%.</w:t>
      </w:r>
    </w:p>
    <w:p>
      <w:pPr>
        <w:spacing w:after="240"/>
      </w:pPr>
      <w:r>
        <w:rPr>
          <w:b/>
          <w:sz w:val="16"/>
        </w:rPr>
        <w:t xml:space="preserve">ORIGINAL STUDY   </w:t>
      </w:r>
      <w:r>
        <w:rPr>
          <w:sz w:val="16"/>
        </w:rPr>
        <w:t>https://doi.org/10.3390/ijerph121013295</w:t>
      </w:r>
    </w:p>
    <w:p>
      <w:pPr>
        <w:pStyle w:val="Heading1"/>
      </w:pPr>
      <w:r>
        <w:t>363.  Comparison of Water Flows in Four European Lagoon Catchments under a Set of Future Climate Scenarios  (2015)</w:t>
      </w:r>
    </w:p>
    <w:p>
      <w:r>
        <w:t>Probable impacts of projected climate changes on catchment hydrology and freshwater input were assessed using the eco-hydrological model SWIM (Soil and Water Integrated Model) for the drainage areas of four European lagoons: Ria de Aveiro (Portugal), Mar Menor (Spain), Tyligulskyi Liman (Ukraine) and Vistula Lagoon (Poland/Russia) under a set of 15 climate scenarios covering the time period until the year 2100. Precipitation is projected to decrease in two catchments on the Iberian Peninsula and increase in the Baltic region catchment, and does not show a clear trend in the catchment located near the Black Sea.</w:t>
      </w:r>
    </w:p>
    <w:p>
      <w:pPr>
        <w:spacing w:after="240"/>
      </w:pPr>
      <w:r>
        <w:rPr>
          <w:b/>
          <w:sz w:val="16"/>
        </w:rPr>
        <w:t xml:space="preserve">ORIGINAL STUDY   </w:t>
      </w:r>
      <w:r>
        <w:rPr>
          <w:sz w:val="16"/>
        </w:rPr>
        <w:t>https://doi.org/10.3390/w7020716</w:t>
      </w:r>
    </w:p>
    <w:p>
      <w:pPr>
        <w:pStyle w:val="Heading1"/>
      </w:pPr>
      <w:r>
        <w:t>364.  Comparison of temperature indices for three IPCC SRES scenarios based on RegCM simulations for Poland in 2011–2030 period  (2015)</w:t>
      </w:r>
    </w:p>
    <w:p>
      <w:r>
        <w:t>The regional climate model RegCM3 is used to investigate potential future changes of temperature indices in Poland for the period 2011–2030.</w:t>
      </w:r>
    </w:p>
    <w:p>
      <w:pPr>
        <w:spacing w:after="240"/>
      </w:pPr>
      <w:r>
        <w:rPr>
          <w:b/>
          <w:sz w:val="16"/>
        </w:rPr>
        <w:t xml:space="preserve">ORIGINAL STUDY   </w:t>
      </w:r>
      <w:r>
        <w:rPr>
          <w:sz w:val="16"/>
        </w:rPr>
        <w:t>https://doi.org/10.1127/metz/2014/0457</w:t>
      </w:r>
    </w:p>
    <w:p>
      <w:pPr>
        <w:pStyle w:val="Heading1"/>
      </w:pPr>
      <w:r>
        <w:t>365.  Consequences of Enduring Low Fertility – A German Case Study. Demographic Projections and Implications for Different Policy Fields  (2015)</w:t>
      </w:r>
    </w:p>
    <w:p>
      <w:r>
        <w:t>Ageing is a more severe problem than shrinking, because the severe changes in the age structure in the social security system that will take place until 2040 apply to most Germans and are inevitable.</w:t>
      </w:r>
    </w:p>
    <w:p>
      <w:pPr>
        <w:spacing w:after="240"/>
      </w:pPr>
      <w:r>
        <w:rPr>
          <w:b/>
          <w:sz w:val="16"/>
        </w:rPr>
        <w:t xml:space="preserve">ORIGINAL STUDY   </w:t>
      </w:r>
      <w:r>
        <w:rPr>
          <w:sz w:val="16"/>
        </w:rPr>
        <w:t>https://doi.org/10.12765/cpos-2015-06</w:t>
      </w:r>
    </w:p>
    <w:p>
      <w:pPr>
        <w:pStyle w:val="Heading1"/>
      </w:pPr>
      <w:r>
        <w:t>366.  Developing scenarios for the Norwegian travel industry 2025  (2015)</w:t>
      </w:r>
    </w:p>
    <w:p>
      <w:r>
        <w:t>Accordingly, a common understanding of future drivers and different scenarios for the industry is needed. This resulted in four scenarios: Money Rules, The Urban Diamond, Opportunities for All, and Master Plan.</w:t>
      </w:r>
    </w:p>
    <w:p>
      <w:pPr>
        <w:spacing w:after="240"/>
      </w:pPr>
      <w:r>
        <w:rPr>
          <w:b/>
          <w:sz w:val="16"/>
        </w:rPr>
        <w:t xml:space="preserve">ORIGINAL STUDY   </w:t>
      </w:r>
      <w:r>
        <w:rPr>
          <w:sz w:val="16"/>
        </w:rPr>
        <w:t>https://doi.org/10.1108/jtf-12-2014-0018</w:t>
      </w:r>
    </w:p>
    <w:p>
      <w:pPr>
        <w:pStyle w:val="Heading1"/>
      </w:pPr>
      <w:r>
        <w:t>367.  Ecosystem service provision in a changing Europe: adapting to the impacts of combined climate and socio-economic change  (2015)</w:t>
      </w:r>
    </w:p>
    <w:p>
      <w:r>
        <w:t>Adaptation options offer significant opportunities, but may necessitate trade-offs between services, particularly between agriculture- and forestry-related services. Integrated assessment enables exploration of interactions and trade-offs between ecosystem services, highlighting the importance of taking account of complex cross-sectoral interactions under different future scenarios of planning adaptation responses.</w:t>
      </w:r>
    </w:p>
    <w:p>
      <w:pPr>
        <w:spacing w:after="240"/>
      </w:pPr>
      <w:r>
        <w:rPr>
          <w:b/>
          <w:sz w:val="16"/>
        </w:rPr>
        <w:t xml:space="preserve">ORIGINAL STUDY   </w:t>
      </w:r>
      <w:r>
        <w:rPr>
          <w:sz w:val="16"/>
        </w:rPr>
        <w:t>https://doi.org/10.1007/s10980-014-0148-2</w:t>
      </w:r>
    </w:p>
    <w:p>
      <w:pPr>
        <w:pStyle w:val="Heading1"/>
      </w:pPr>
      <w:r>
        <w:t>368.  Ensemble flood risk assessment in Europe under high end climate scenarios  (2015)</w:t>
      </w:r>
    </w:p>
    <w:p>
      <w:r>
        <w:t>When coherent socio-economic development pathways are included in the assessment, central estimates of population annually affected by floods range between 500,000 and 640,000 in 2050, and between 540,000 and 950,000 in 2080, as compared to 216,000 in the current climate. A larger range is foreseen in the annual flood damage, currently of 5.3 B€, which is projected to rise at 20–40 B€ in 2050 and 30–100 B€ in 2080, depending on the future economic growth.</w:t>
      </w:r>
    </w:p>
    <w:p>
      <w:pPr>
        <w:spacing w:after="240"/>
      </w:pPr>
      <w:r>
        <w:rPr>
          <w:b/>
          <w:sz w:val="16"/>
        </w:rPr>
        <w:t xml:space="preserve">ORIGINAL STUDY   </w:t>
      </w:r>
      <w:r>
        <w:rPr>
          <w:sz w:val="16"/>
        </w:rPr>
        <w:t>https://doi.org/10.1016/j.gloenvcha.2015.09.004</w:t>
      </w:r>
    </w:p>
    <w:p>
      <w:pPr>
        <w:pStyle w:val="Heading1"/>
      </w:pPr>
      <w:r>
        <w:t>369.  Futurescapes: expectations in Europe for relative effectiveness evidence for drugs in 2020  (2015)</w:t>
      </w:r>
    </w:p>
    <w:p>
      <w:r>
        <w:t>The most likely scenario entailed some change with postlaunch regulatory studies driving the likely nature of RE evidence generated.</w:t>
      </w:r>
    </w:p>
    <w:p>
      <w:pPr>
        <w:spacing w:after="240"/>
      </w:pPr>
      <w:r>
        <w:rPr>
          <w:b/>
          <w:sz w:val="16"/>
        </w:rPr>
        <w:t xml:space="preserve">ORIGINAL STUDY   </w:t>
      </w:r>
      <w:r>
        <w:rPr>
          <w:sz w:val="16"/>
        </w:rPr>
        <w:t>https://doi.org/10.2217/cer.15.7</w:t>
      </w:r>
    </w:p>
    <w:p>
      <w:pPr>
        <w:pStyle w:val="Heading1"/>
      </w:pPr>
      <w:r>
        <w:t>370.  How far away is hydrogen? Its role in the medium and long-term decarbonisation of the European energy system  (2015)</w:t>
      </w:r>
    </w:p>
    <w:p>
      <w:r>
        <w:t>In this paper, the JRC-EU-TIMES model – a bottom-up, technology-rich model of the EU28 energy system – is used to assess the role of hydrogen in a future decarbonised Europe under two climate scenarios, current policy initiative (CPI) and long-term decarbonisation (CAP). Our results indicate that hydrogen could become a viable option already in 2030 – however, a long-term CO 2 cap is needed to sustain the transition.</w:t>
      </w:r>
    </w:p>
    <w:p>
      <w:pPr>
        <w:spacing w:after="240"/>
      </w:pPr>
      <w:r>
        <w:rPr>
          <w:b/>
          <w:sz w:val="16"/>
        </w:rPr>
        <w:t xml:space="preserve">ORIGINAL STUDY   </w:t>
      </w:r>
      <w:r>
        <w:rPr>
          <w:sz w:val="16"/>
        </w:rPr>
        <w:t>https://doi.org/10.1016/j.ijhydene.2015.09.004</w:t>
      </w:r>
    </w:p>
    <w:p>
      <w:pPr>
        <w:pStyle w:val="Heading1"/>
      </w:pPr>
      <w:r>
        <w:t>371.  Imagining energy futures: Sociotechnical imaginaries of the future Smart Grid in Norway  (2015)</w:t>
      </w:r>
    </w:p>
    <w:p>
      <w:r>
        <w:t>A future “Smart Grid” is increasingly being embraced in energy policies as a promising energy scenario for the future, with the introduction of “smart” electricity meters being seen as the first step. The paper suggests that increased openness and the inclusion of multiple perspectives and ways of knowing, inspired by post-normal science, could facilitate more careful consideration of potential social implications.</w:t>
      </w:r>
    </w:p>
    <w:p>
      <w:pPr>
        <w:spacing w:after="240"/>
      </w:pPr>
      <w:r>
        <w:rPr>
          <w:b/>
          <w:sz w:val="16"/>
        </w:rPr>
        <w:t xml:space="preserve">ORIGINAL STUDY   </w:t>
      </w:r>
      <w:r>
        <w:rPr>
          <w:sz w:val="16"/>
        </w:rPr>
        <w:t>https://doi.org/10.1016/j.erss.2015.08.015</w:t>
      </w:r>
    </w:p>
    <w:p>
      <w:pPr>
        <w:pStyle w:val="Heading1"/>
      </w:pPr>
      <w:r>
        <w:t>372.  Investigating scenario planning – a European tourism perspective  (2015)</w:t>
      </w:r>
    </w:p>
    <w:p>
      <w:r>
        <w:t>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w:t>
      </w:r>
    </w:p>
    <w:p>
      <w:pPr>
        <w:spacing w:after="240"/>
      </w:pPr>
      <w:r>
        <w:rPr>
          <w:b/>
          <w:sz w:val="16"/>
        </w:rPr>
        <w:t xml:space="preserve">ORIGINAL STUDY   </w:t>
      </w:r>
      <w:r>
        <w:rPr>
          <w:sz w:val="16"/>
        </w:rPr>
        <w:t>https://doi.org/10.1108/jtf-12-2014-0020</w:t>
      </w:r>
    </w:p>
    <w:p>
      <w:pPr>
        <w:pStyle w:val="Heading1"/>
      </w:pPr>
      <w:r>
        <w:t>373.  La aplicación estratégica por escenarios en el medio natural. El caso del Nature Outlook 2050 del PBL.  (2015)</w:t>
      </w:r>
    </w:p>
    <w:p>
      <w:r>
        <w:t>This paper shows how to implement the tool, mixing theoretical explanation and the practical performance done in project called: Nature Outlook 2050.</w:t>
      </w:r>
    </w:p>
    <w:p>
      <w:pPr>
        <w:spacing w:after="240"/>
      </w:pPr>
      <w:r>
        <w:rPr>
          <w:b/>
          <w:sz w:val="16"/>
        </w:rPr>
        <w:t xml:space="preserve">ORIGINAL STUDY   </w:t>
      </w:r>
      <w:r>
        <w:rPr>
          <w:sz w:val="16"/>
        </w:rPr>
        <w:t>https://doi.org/10.5209/rev_obmd.2015.v18.51291</w:t>
      </w:r>
    </w:p>
    <w:p>
      <w:pPr>
        <w:pStyle w:val="Heading1"/>
      </w:pPr>
      <w:r>
        <w:t>374.  Land use implications of future energy system trajectories—The case of the UK 2050 Carbon Plan  (2015)</w:t>
      </w:r>
    </w:p>
    <w:p>
      <w:r>
        <w:t>Four pathways to achieve this target have been developed by the Department of Energy and Climate Change, with all pathways requiring increased us of bioenergy. A significant amount of this could be indigenously sourced from crops, but will increased domestic production of energy crops conflict with other agricultural priorities?</w:t>
      </w:r>
    </w:p>
    <w:p>
      <w:pPr>
        <w:spacing w:after="240"/>
      </w:pPr>
      <w:r>
        <w:rPr>
          <w:b/>
          <w:sz w:val="16"/>
        </w:rPr>
        <w:t xml:space="preserve">ORIGINAL STUDY   </w:t>
      </w:r>
      <w:r>
        <w:rPr>
          <w:sz w:val="16"/>
        </w:rPr>
        <w:t>https://doi.org/10.1016/j.enpol.2015.07.008</w:t>
      </w:r>
    </w:p>
    <w:p>
      <w:pPr>
        <w:pStyle w:val="Heading1"/>
      </w:pPr>
      <w:r>
        <w:t>375.  Long-term scenarios for reaching climate targets and energy security in UK  (2015)</w:t>
      </w:r>
    </w:p>
    <w:p>
      <w:r>
        <w:t>The two scenarios, K_Scenario and Z_Scenario, were modelled with the use of the Department of Energy and Climate Change (DECC) 2050 Pathways Calculator. Both scenarios seek to achieve the UK's legally binding target of an 80% reduction in GHG emissions from 1990 levels by 2050.</w:t>
      </w:r>
    </w:p>
    <w:p>
      <w:pPr>
        <w:spacing w:after="240"/>
      </w:pPr>
      <w:r>
        <w:rPr>
          <w:b/>
          <w:sz w:val="16"/>
        </w:rPr>
        <w:t xml:space="preserve">ORIGINAL STUDY   </w:t>
      </w:r>
      <w:r>
        <w:rPr>
          <w:sz w:val="16"/>
        </w:rPr>
        <w:t>https://doi.org/10.1016/j.scs.2015.03.010</w:t>
      </w:r>
    </w:p>
    <w:p>
      <w:pPr>
        <w:pStyle w:val="Heading1"/>
      </w:pPr>
      <w:r>
        <w:t>376.  Losses of Ammonia and Nitrate from Agriculture and Their Effect on Nitrogen Recovery in the European Union and the United States between 1900 and 2050  (2015)</w:t>
      </w:r>
    </w:p>
    <w:p>
      <w:r>
        <w:t>In the United States, environmental N loads will remain substantially smaller than in the European Union, whereas agricultural production in 2050 in the United States will increase by 30% relative to 2005, as compared with an increase of 8% in the European Union. IMAGE projections for the IAASTD-baseline scenario indicate that N loading to the environment in 2050 will be similar to current levels.</w:t>
      </w:r>
    </w:p>
    <w:p>
      <w:pPr>
        <w:spacing w:after="240"/>
      </w:pPr>
      <w:r>
        <w:rPr>
          <w:b/>
          <w:sz w:val="16"/>
        </w:rPr>
        <w:t xml:space="preserve">ORIGINAL STUDY   </w:t>
      </w:r>
      <w:r>
        <w:rPr>
          <w:sz w:val="16"/>
        </w:rPr>
        <w:t>https://doi.org/10.2134/jeq2014.03.0102</w:t>
      </w:r>
    </w:p>
    <w:p>
      <w:pPr>
        <w:pStyle w:val="Heading1"/>
      </w:pPr>
      <w:r>
        <w:t>377.  Microgrids: Enhancing the Resilience of the European Megagrid  (2015)</w:t>
      </w:r>
    </w:p>
    <w:p>
      <w:r>
        <w:t>By 2020, 20% of the European electricity demand will be met by renewable generation while, by 2030, a substantial proportion of the electricity generation would become largely decarbonized. Furthermore, beyond 2030, it is expected that significant segments of the heat and transport sectors will be electrified to meet the targets proposed by the EU governments for greenhouse gas emission reductions of at least 80% in 2050.</w:t>
      </w:r>
    </w:p>
    <w:p>
      <w:pPr>
        <w:spacing w:after="240"/>
      </w:pPr>
      <w:r>
        <w:rPr>
          <w:b/>
          <w:sz w:val="16"/>
        </w:rPr>
        <w:t xml:space="preserve">ORIGINAL STUDY   </w:t>
      </w:r>
      <w:r>
        <w:rPr>
          <w:sz w:val="16"/>
        </w:rPr>
        <w:t>https://doi.org/10.1109/mpe.2015.2397336</w:t>
      </w:r>
    </w:p>
    <w:p>
      <w:pPr>
        <w:pStyle w:val="Heading1"/>
      </w:pPr>
      <w:r>
        <w:t>378.  Modelling street level PM 10 concentrations across Europe: source apportionment and possible futures  (2015)</w:t>
      </w:r>
    </w:p>
    <w:p>
      <w:r>
        <w:t>Furthermore, we analyse the predicted evolution of PM10 concentrations in the European Union until 2030 under different policy scenarios. Remaining issues are largely eliminated in a scenario applying the best available emission control technologies to the maximal technically feasible extent.</w:t>
      </w:r>
    </w:p>
    <w:p>
      <w:pPr>
        <w:spacing w:after="240"/>
      </w:pPr>
      <w:r>
        <w:rPr>
          <w:b/>
          <w:sz w:val="16"/>
        </w:rPr>
        <w:t xml:space="preserve">ORIGINAL STUDY   </w:t>
      </w:r>
      <w:r>
        <w:rPr>
          <w:sz w:val="16"/>
        </w:rPr>
        <w:t>https://doi.org/10.5194/acp-15-1539-2015</w:t>
      </w:r>
    </w:p>
    <w:p>
      <w:pPr>
        <w:pStyle w:val="Heading1"/>
      </w:pPr>
      <w:r>
        <w:t>379.  Ocean energy development in Europe: Current status and future perspectives  (2015)</w:t>
      </w:r>
    </w:p>
    <w:p>
      <w:r>
        <w:t>In the EU, the aim is to reach 100 GW of combined wave and tidal capacity installed by 2050. Ocean energy has the potential to play a significant role in the future energy system, whilst contributing to the reduction of carbon emissions and stimulating economic growth in coastal and remote areas.</w:t>
      </w:r>
    </w:p>
    <w:p>
      <w:pPr>
        <w:spacing w:after="240"/>
      </w:pPr>
      <w:r>
        <w:rPr>
          <w:b/>
          <w:sz w:val="16"/>
        </w:rPr>
        <w:t xml:space="preserve">ORIGINAL STUDY   </w:t>
      </w:r>
      <w:r>
        <w:rPr>
          <w:sz w:val="16"/>
        </w:rPr>
        <w:t>https://doi.org/10.1016/j.ijome.2015.05.001</w:t>
      </w:r>
    </w:p>
    <w:p>
      <w:pPr>
        <w:pStyle w:val="Heading1"/>
      </w:pPr>
      <w:r>
        <w:t>380.  On European metropolisation scenarios and the future course of metropolitan development in Poland  (2015)</w:t>
      </w:r>
    </w:p>
    <w:p>
      <w:r>
        <w:t>For this purpose two alternative reference scenarios are outlined and examined in the light of some specific characteristics of Poland’s metropolitan development. The questions posed in this context involve the sustainability of policy assumptions concerning the role of cities of various size categories, as well as factors that could lead to a discontinuity in the trends observed in metropolisation.</w:t>
      </w:r>
    </w:p>
    <w:p>
      <w:pPr>
        <w:spacing w:after="240"/>
      </w:pPr>
      <w:r>
        <w:rPr>
          <w:b/>
          <w:sz w:val="16"/>
        </w:rPr>
        <w:t xml:space="preserve">ORIGINAL STUDY   </w:t>
      </w:r>
      <w:r>
        <w:rPr>
          <w:sz w:val="16"/>
        </w:rPr>
        <w:t>https://doi.org/10.7163/gpol.0008</w:t>
      </w:r>
    </w:p>
    <w:p>
      <w:pPr>
        <w:pStyle w:val="Heading1"/>
      </w:pPr>
      <w:r>
        <w:t>381.  PROGNOZY WYDAJNOŚCI MLECZNEJ KRÓW W POLSCE I W UNII EUROPEJSKIEJ NA LATA 2030 I 2050  (2015)</w:t>
      </w:r>
    </w:p>
    <w:p>
      <w:r>
        <w:t>According to the CAPRI model in 2030 and 2050, the average milk yield in Poland will increase by 22 and 28% compared to 2010. On the basis of trend analysis, in 2030 for the average data from the CSO index of growth is 41%, and 46 and 60%, respectively for PFHBiPM and FADN.</w:t>
      </w:r>
    </w:p>
    <w:p>
      <w:pPr>
        <w:spacing w:after="240"/>
      </w:pPr>
      <w:r>
        <w:rPr>
          <w:b/>
          <w:sz w:val="16"/>
        </w:rPr>
        <w:t xml:space="preserve">ORIGINAL STUDY   </w:t>
      </w:r>
      <w:r>
        <w:rPr>
          <w:sz w:val="16"/>
        </w:rPr>
        <w:t>https://doi.org/10.22004/ag.econ.233003</w:t>
      </w:r>
    </w:p>
    <w:p>
      <w:pPr>
        <w:pStyle w:val="Heading1"/>
      </w:pPr>
      <w:r>
        <w:t>382.  PROJEKCJA ZMIAN WIELKOŚCI PLONÓW PSZENICY W POLSCE I UNII EUROPEJSKIEJ W LATACH 2030 I 2050 NA PODSTAWIE MODELU CAPRI  (2015)</w:t>
      </w:r>
    </w:p>
    <w:p>
      <w:r>
        <w:t>Based on the CAPRI model in 2030 , an average increase of 24% in wheat yield is projected in the 27 European Union countries compared to 2010. The aim of the study was to determine the dynamics of changes in wheat yield in Poland and the European Union in 2030 and 2050.</w:t>
      </w:r>
    </w:p>
    <w:p>
      <w:pPr>
        <w:spacing w:after="240"/>
      </w:pPr>
      <w:r>
        <w:rPr>
          <w:b/>
          <w:sz w:val="16"/>
        </w:rPr>
        <w:t xml:space="preserve">ORIGINAL STUDY   </w:t>
      </w:r>
      <w:r>
        <w:rPr>
          <w:sz w:val="16"/>
        </w:rPr>
        <w:t>https://doi.org/10.22004/ag.econ.233132</w:t>
      </w:r>
    </w:p>
    <w:p>
      <w:pPr>
        <w:pStyle w:val="Heading1"/>
      </w:pPr>
      <w:r>
        <w:t>383.  Population Projections and Demographic Knowledge in France and Great Britain in the Postwar Period  (2015)</w:t>
      </w:r>
    </w:p>
    <w:p>
      <w:r>
        <w:t>In France, publication of multiple variants emphasized future contingency, with low variants illustrating future population decline due to prolonged below‐replacement fertility. National population projections thus created divergent representations of the two countries' demographic futures: an ever‐present threat of population decline in France, and a reassuring image of stability in Britain.</w:t>
      </w:r>
    </w:p>
    <w:p>
      <w:pPr>
        <w:spacing w:after="240"/>
      </w:pPr>
      <w:r>
        <w:rPr>
          <w:b/>
          <w:sz w:val="16"/>
        </w:rPr>
        <w:t xml:space="preserve">ORIGINAL STUDY   </w:t>
      </w:r>
      <w:r>
        <w:rPr>
          <w:sz w:val="16"/>
        </w:rPr>
        <w:t>https://doi.org/10.1111/j.1728-4457.2015.00047.x</w:t>
      </w:r>
    </w:p>
    <w:p>
      <w:pPr>
        <w:pStyle w:val="Heading1"/>
      </w:pPr>
      <w:r>
        <w:t>384.  Potential of extensification of European agriculture for a more sustainable food system, focusing on nitrogen  (2015)</w:t>
      </w:r>
    </w:p>
    <w:p>
      <w:r>
        <w:t>A 2030 scenario for the EU27 reducing consumption and production of animal products by 50% (demitarean diet) reduces N pollution by 10% and benefits human health. This diet allows the EU27 to become a food exporter, while reducing land demand outside Europe in 2030 by more than 100 million hectares (2%), which more than compensates increased land demand when changing to organic farming.</w:t>
      </w:r>
    </w:p>
    <w:p>
      <w:pPr>
        <w:spacing w:after="240"/>
      </w:pPr>
      <w:r>
        <w:rPr>
          <w:b/>
          <w:sz w:val="16"/>
        </w:rPr>
        <w:t xml:space="preserve">ORIGINAL STUDY   </w:t>
      </w:r>
      <w:r>
        <w:rPr>
          <w:sz w:val="16"/>
        </w:rPr>
        <w:t>https://doi.org/10.1088/1748-9326/10/2/025002</w:t>
      </w:r>
    </w:p>
    <w:p>
      <w:pPr>
        <w:pStyle w:val="Heading1"/>
      </w:pPr>
      <w:r>
        <w:t>385.  Predicting Future European Breeding Distributions of British Seabird Species under Climate Change and Unlimited/No Dispersal Scenarios  (2015)</w:t>
      </w:r>
    </w:p>
    <w:p>
      <w:r>
        <w:t>Here, we combine climate envelope models with predicted bioclimatic data from two emission scenarios leading up to 2100, to predict European breeding distributions of 23 seabird species that currently breed in the British Isles. More globally, the results indicate, based on foraging ecology, which seabird species are likely to be most affected by climatic change.</w:t>
      </w:r>
    </w:p>
    <w:p>
      <w:pPr>
        <w:spacing w:after="240"/>
      </w:pPr>
      <w:r>
        <w:rPr>
          <w:b/>
          <w:sz w:val="16"/>
        </w:rPr>
        <w:t xml:space="preserve">ORIGINAL STUDY   </w:t>
      </w:r>
      <w:r>
        <w:rPr>
          <w:sz w:val="16"/>
        </w:rPr>
        <w:t>https://doi.org/10.3390/d7040342</w:t>
      </w:r>
    </w:p>
    <w:p>
      <w:pPr>
        <w:pStyle w:val="Heading1"/>
      </w:pPr>
      <w:r>
        <w:t>386.  Shifts, turning points and inertia exploring long-term industry trends in European transport  (2015)</w:t>
      </w:r>
    </w:p>
    <w:p>
      <w:r>
        <w:t>Such an analysis steps further into the technological realm, and targets social, industrial and political issues, which could affect the future of transport up until 2050, with a special focus on the post-ownership economy.</w:t>
      </w:r>
    </w:p>
    <w:p>
      <w:pPr>
        <w:spacing w:after="240"/>
      </w:pPr>
      <w:r>
        <w:rPr>
          <w:b/>
          <w:sz w:val="16"/>
        </w:rPr>
        <w:t xml:space="preserve">ORIGINAL STUDY   </w:t>
      </w:r>
      <w:r>
        <w:rPr>
          <w:sz w:val="16"/>
        </w:rPr>
        <w:t>https://doi.org/10.1007/s40309-015-0070-0</w:t>
      </w:r>
    </w:p>
    <w:p>
      <w:pPr>
        <w:pStyle w:val="Heading1"/>
      </w:pPr>
      <w:r>
        <w:t>387.  TRANSPORT PROJECT EVALUATION: FEASIBILITY RISK ASSESSMENT AND SCENARIO FORECASTING  (2015)</w:t>
      </w:r>
    </w:p>
    <w:p>
      <w:r>
        <w:t>Finally, RSF makes use of scenario forecasting where trend scenarios such as economic growth and level of cross-border integration are investigated.</w:t>
      </w:r>
    </w:p>
    <w:p>
      <w:pPr>
        <w:spacing w:after="240"/>
      </w:pPr>
      <w:r>
        <w:rPr>
          <w:b/>
          <w:sz w:val="16"/>
        </w:rPr>
        <w:t xml:space="preserve">ORIGINAL STUDY   </w:t>
      </w:r>
      <w:r>
        <w:rPr>
          <w:sz w:val="16"/>
        </w:rPr>
        <w:t>https://doi.org/10.3846/16484142.2015.1063003</w:t>
      </w:r>
    </w:p>
    <w:p>
      <w:pPr>
        <w:pStyle w:val="Heading1"/>
      </w:pPr>
      <w:r>
        <w:t>388.  Technopolis, shared resources or controlled mobility? A net-based Delphi-study to explore visions of future urban daily mobility in Norway  (2015)</w:t>
      </w:r>
    </w:p>
    <w:p>
      <w:r>
        <w:t>An explorative factor analysis (principal component analysis) is applied to reveal three slightly different understandings of how the urban future may look like in 2050. Although there are general agreements on the need for change, different ideas and visions for the future dominate across different groups of stakeholders and academics.</w:t>
      </w:r>
    </w:p>
    <w:p>
      <w:pPr>
        <w:spacing w:after="240"/>
      </w:pPr>
      <w:r>
        <w:rPr>
          <w:b/>
          <w:sz w:val="16"/>
        </w:rPr>
        <w:t xml:space="preserve">ORIGINAL STUDY   </w:t>
      </w:r>
      <w:r>
        <w:rPr>
          <w:sz w:val="16"/>
        </w:rPr>
        <w:t>https://doi.org/10.1007/s40309-015-0069-6</w:t>
      </w:r>
    </w:p>
    <w:p>
      <w:pPr>
        <w:pStyle w:val="Heading1"/>
      </w:pPr>
      <w:r>
        <w:t>389.  The Future of Internationalization of Higher Education in Europe  (2015)</w:t>
      </w:r>
    </w:p>
    <w:p>
      <w:r>
        <w:t>The study results in conclusions and recommendations on the future of internationalization of higher education in Europe, based on the national reports and a Delphi process among experts in international higher education. This is a summary of the key findings of the study, including a redefinition of the meaning of internationalization.</w:t>
      </w:r>
    </w:p>
    <w:p>
      <w:pPr>
        <w:spacing w:after="240"/>
      </w:pPr>
      <w:r>
        <w:rPr>
          <w:b/>
          <w:sz w:val="16"/>
        </w:rPr>
        <w:t xml:space="preserve">ORIGINAL STUDY   </w:t>
      </w:r>
      <w:r>
        <w:rPr>
          <w:sz w:val="16"/>
        </w:rPr>
        <w:t>https://doi.org/10.6017/ihe.2015.83.9073</w:t>
      </w:r>
    </w:p>
    <w:p>
      <w:pPr>
        <w:pStyle w:val="Heading1"/>
      </w:pPr>
      <w:r>
        <w:t>390.  The impact of EU Climate/Energy policies on Belgium’s energy dependence up to 2050  (2015)</w:t>
      </w:r>
    </w:p>
    <w:p>
      <w:r>
        <w:t>Le second scénario étudie, quant à lui, les effets du Cadre européen Climat/Énergie 2030 et de la feuille de route pour une transition vers une économie bas carbone d’ici 2050. Cet article compare et mesure l’évolution future de certains indicateurs de la dépendance énergétique dans deux scénarios de politique énergétique et climatique.</w:t>
      </w:r>
    </w:p>
    <w:p>
      <w:pPr>
        <w:spacing w:after="240"/>
      </w:pPr>
      <w:r>
        <w:rPr>
          <w:b/>
          <w:sz w:val="16"/>
        </w:rPr>
        <w:t xml:space="preserve">ORIGINAL STUDY   </w:t>
      </w:r>
      <w:r>
        <w:rPr>
          <w:sz w:val="16"/>
        </w:rPr>
        <w:t>https://doi.org/10.3917/rpve.541.0021</w:t>
      </w:r>
    </w:p>
    <w:p>
      <w:pPr>
        <w:pStyle w:val="Heading1"/>
      </w:pPr>
      <w:r>
        <w:t>391.  The pitfalls of ecological forecasting  (2015)</w:t>
      </w:r>
    </w:p>
    <w:p>
      <w:r>
        <w:t>Long-term biological recording schemes rather than experiments will often provide data for ecological forecasting and validation because these schemes allow capture of landscape-scale land-use effects and their interactions with other drivers. However, statistical models, incorporating relationships with drivers, simply offset the prediction problem, requiring us to forecast how the drivers will themselves change over time.</w:t>
      </w:r>
    </w:p>
    <w:p>
      <w:pPr>
        <w:spacing w:after="240"/>
      </w:pPr>
      <w:r>
        <w:rPr>
          <w:b/>
          <w:sz w:val="16"/>
        </w:rPr>
        <w:t xml:space="preserve">ORIGINAL STUDY   </w:t>
      </w:r>
      <w:r>
        <w:rPr>
          <w:sz w:val="16"/>
        </w:rPr>
        <w:t>https://doi.org/10.1111/bij.12579</w:t>
      </w:r>
    </w:p>
    <w:p>
      <w:pPr>
        <w:pStyle w:val="Heading1"/>
      </w:pPr>
      <w:r>
        <w:t>392.  Three scenarios for industrial relations in Europe  (2015)</w:t>
      </w:r>
    </w:p>
    <w:p>
      <w:r>
        <w:t>The author outlines three scenarios for the future of industrial relations in Europe. The second envisages that “elite reform” from above will succeed in re‐engineering industrial relations and workers' protection according to an ideal social policy agenda – an unlikely prospect given the overriding importance of financial considerations and globalized competition.</w:t>
      </w:r>
    </w:p>
    <w:p>
      <w:pPr>
        <w:spacing w:after="240"/>
      </w:pPr>
      <w:r>
        <w:rPr>
          <w:b/>
          <w:sz w:val="16"/>
        </w:rPr>
        <w:t xml:space="preserve">ORIGINAL STUDY   </w:t>
      </w:r>
      <w:r>
        <w:rPr>
          <w:sz w:val="16"/>
        </w:rPr>
        <w:t>https://doi.org/10.1111/j.1564-913x.2015.00221.x</w:t>
      </w:r>
    </w:p>
    <w:p>
      <w:pPr>
        <w:pStyle w:val="Heading1"/>
      </w:pPr>
      <w:r>
        <w:t>393.  Time banks, co-production and foresight: intertwined towards an alternative future  (2015)</w:t>
      </w:r>
    </w:p>
    <w:p>
      <w:r>
        <w:t>Time banks are particularly interesting for the future of services: they address all sorts of services while the time-bank “value” of these different types of services does not necessarily reflect their actual value in the free market; impacts may spread from the mere coverage of people’s needs, to increased social capital and community empowerment; and some scholars consider them as flexible forms of co-production, or even as enablers of wider social change.</w:t>
      </w:r>
    </w:p>
    <w:p>
      <w:pPr>
        <w:spacing w:after="240"/>
      </w:pPr>
      <w:r>
        <w:rPr>
          <w:b/>
          <w:sz w:val="16"/>
        </w:rPr>
        <w:t xml:space="preserve">ORIGINAL STUDY   </w:t>
      </w:r>
      <w:r>
        <w:rPr>
          <w:sz w:val="16"/>
        </w:rPr>
        <w:t>https://doi.org/10.1108/fs-05-2014-0035</w:t>
      </w:r>
    </w:p>
    <w:p>
      <w:pPr>
        <w:pStyle w:val="Heading1"/>
      </w:pPr>
      <w:r>
        <w:t>394.  Transport demand evolution in Europe – factors of change, scenarios and challenges  (2015)</w:t>
      </w:r>
    </w:p>
    <w:p>
      <w:r>
        <w:t>In the transport sector, where change comes with inertia and investments are made with a long term perspective, decision makers need to consider how the future may look like in the very long term. The work presented in this paper is a scenario analysis focusing on the evolution of transport demand towards 2050, aiming to identify related challenges for European industrial and policy players.</w:t>
      </w:r>
    </w:p>
    <w:p>
      <w:pPr>
        <w:spacing w:after="240"/>
      </w:pPr>
      <w:r>
        <w:rPr>
          <w:b/>
          <w:sz w:val="16"/>
        </w:rPr>
        <w:t xml:space="preserve">ORIGINAL STUDY   </w:t>
      </w:r>
      <w:r>
        <w:rPr>
          <w:sz w:val="16"/>
        </w:rPr>
        <w:t>https://doi.org/10.1007/s40309-015-0072-y</w:t>
      </w:r>
    </w:p>
    <w:p>
      <w:pPr>
        <w:pStyle w:val="Heading1"/>
      </w:pPr>
      <w:r>
        <w:t>395.  Wild cards in transport  (2015)</w:t>
      </w:r>
    </w:p>
    <w:p>
      <w:r>
        <w:t>Several Wild Cards reach high likelihood in 2040 or beyond, while the time by which full impact is reached varies.</w:t>
      </w:r>
    </w:p>
    <w:p>
      <w:pPr>
        <w:spacing w:after="240"/>
      </w:pPr>
      <w:r>
        <w:rPr>
          <w:b/>
          <w:sz w:val="16"/>
        </w:rPr>
        <w:t xml:space="preserve">ORIGINAL STUDY   </w:t>
      </w:r>
      <w:r>
        <w:rPr>
          <w:sz w:val="16"/>
        </w:rPr>
        <w:t>https://doi.org/10.1007/s40309-015-0066-9</w:t>
      </w:r>
    </w:p>
    <w:p>
      <w:pPr>
        <w:pStyle w:val="Heading1"/>
      </w:pPr>
      <w:r>
        <w:t>396.  A scenario-planning approach to human resources for health: the case of community pharmacists in Portugal  (2014)</w:t>
      </w:r>
    </w:p>
    <w:p>
      <w:r>
        <w:t>This study aims to design three future scenarios for Portuguese community pharmacists, recognizing the changing environment as an opportunity to develop the role that community pharmacists may play in the Portuguese health system. CONCLUSIONS: In all scenarios it is clear that the future advance of Portuguese community pharmacists will depend on pharmaceutical services provision beyond medicine dispensing.</w:t>
      </w:r>
    </w:p>
    <w:p>
      <w:pPr>
        <w:spacing w:after="240"/>
      </w:pPr>
      <w:r>
        <w:rPr>
          <w:b/>
          <w:sz w:val="16"/>
        </w:rPr>
        <w:t xml:space="preserve">ORIGINAL STUDY   </w:t>
      </w:r>
      <w:r>
        <w:rPr>
          <w:sz w:val="16"/>
        </w:rPr>
        <w:t>https://doi.org/10.1186/1478-4491-12-58</w:t>
      </w:r>
    </w:p>
    <w:p>
      <w:pPr>
        <w:pStyle w:val="Heading1"/>
      </w:pPr>
      <w:r>
        <w:t>397.  A vibrant European labor market with full employment  (2014)</w:t>
      </w:r>
    </w:p>
    <w:p>
      <w:r>
        <w:t>We hope these proposals will affect the debate about the future of the European Union, also with regard to the pivotal role and responsibility of the European Parliament and European Commission.</w:t>
      </w:r>
    </w:p>
    <w:p>
      <w:pPr>
        <w:spacing w:after="240"/>
      </w:pPr>
      <w:r>
        <w:rPr>
          <w:b/>
          <w:sz w:val="16"/>
        </w:rPr>
        <w:t xml:space="preserve">ORIGINAL STUDY   </w:t>
      </w:r>
      <w:r>
        <w:rPr>
          <w:sz w:val="16"/>
        </w:rPr>
        <w:t>https://doi.org/10.1186/2193-9012-3-10</w:t>
      </w:r>
    </w:p>
    <w:p>
      <w:pPr>
        <w:pStyle w:val="Heading1"/>
      </w:pPr>
      <w:r>
        <w:t>398.  An Agent-Based Assessment of Land Use and Ecosystem Changes in Traditional Agricultural Landscape of Portugal  (2014)</w:t>
      </w:r>
    </w:p>
    <w:p>
      <w:r>
        <w:t>The results of the scenario analysis show that the area of Montado declines significantly by 2050, but it remains the dominant land use in the case study area, indicating some resilience to change.</w:t>
      </w:r>
    </w:p>
    <w:p>
      <w:pPr>
        <w:spacing w:after="240"/>
      </w:pPr>
      <w:r>
        <w:rPr>
          <w:b/>
          <w:sz w:val="16"/>
        </w:rPr>
        <w:t xml:space="preserve">ORIGINAL STUDY   </w:t>
      </w:r>
      <w:r>
        <w:rPr>
          <w:sz w:val="16"/>
        </w:rPr>
        <w:t>https://doi.org/10.4236/iim.2014.62008</w:t>
      </w:r>
    </w:p>
    <w:p>
      <w:pPr>
        <w:pStyle w:val="Heading1"/>
      </w:pPr>
      <w:r>
        <w:t>399.  Assessing the prospective resource base for enhanced geothermal systems in Europe  (2014)</w:t>
      </w:r>
    </w:p>
    <w:p>
      <w:r>
        <w:t>In this study the resource base for EGS (enhanced geothermal systems) in Europe was quantified and economically constrained, applying a discounted cash-flow model to different techno-economic scenarios for future EGS in 2020, 2030, and 2050. Calculations for a typical EGS scenario yield costs of EUR 215 MWh−1 in 2020, EUR 127 MWh−1 in 2030, and EUR 70 MWh−1 in 2050.</w:t>
      </w:r>
    </w:p>
    <w:p>
      <w:pPr>
        <w:spacing w:after="240"/>
      </w:pPr>
      <w:r>
        <w:rPr>
          <w:b/>
          <w:sz w:val="16"/>
        </w:rPr>
        <w:t xml:space="preserve">ORIGINAL STUDY   </w:t>
      </w:r>
      <w:r>
        <w:rPr>
          <w:sz w:val="16"/>
        </w:rPr>
        <w:t>https://doi.org/10.5194/gtes-2-55-2014</w:t>
      </w:r>
    </w:p>
    <w:p>
      <w:pPr>
        <w:pStyle w:val="Heading1"/>
      </w:pPr>
      <w:r>
        <w:t>400.  Climate change signal of future climate projections for Aachen, Germany, in terms of temperature and precipitation  (2014)</w:t>
      </w:r>
    </w:p>
    <w:p>
      <w:r>
        <w:t>A multi-model ensemble of regional climate projections is used to estimate the climate change signal in terms of temperature and precipitation for the city of Aachen, Germany, until the end of the current century.Since the combination of heat and high moisture content in the ambient air is assumed to adversely affect human health, the equivalent temperature is employed as an indicator for heat stress and applied to identify heat waves.As prolonged periods of high temperatures may also cause summer drought, summer precipitation and dry periods are analyzed as well.The study refers to regional climate projections (A1B emission scenario) of the statistical climate models STARII and WETTREG and the dynamical climate models REMO and COSMO-CLM.The model outputs are compared a) with each other in order to assess discrepancies between them and b) with the 30-year baseline period of 1971-2000 in order to estimate future changes in heat load and precipitation patterns for the summer months of June, July and August.Based on median realizations of the model runs, further warming of approximately 1-2 K is expected by the middle of the 21 st century and 3-4 K by 2100.These changes will probably be accompanied by an increase in variance.Maximum temperature shows the greatest enhancement (+1.9 K 2031-2060 and 4.3 K 2071-2100, ensemble mean) causing almost a doubling of (extreme) hot days and a trebling of tropical nights as soon as the middle of the century.According to this temperature development heat waves are likely to last longer and occur more often in future whereas their intensity is not expected to change significantly.An increasing number of heat waves is concurrent with a decreasing amount of rainfall in the summer months until 2100.All four climate projections indicate a decrease in precipitation in summer until 2100 with -17 % on average.The highest decrease is shown by COSMO-CLM with -30 % rainfall in June for the period of 2071-2100.Dry periods are expected to occur 3 times more often at the end of the current century and to last longer by 1 day (COSMO-CLM) to 3 days (WETTREG) compared to the period of 1971-2000.</w:t>
      </w:r>
    </w:p>
    <w:p>
      <w:pPr>
        <w:spacing w:after="240"/>
      </w:pPr>
      <w:r>
        <w:rPr>
          <w:b/>
          <w:sz w:val="16"/>
        </w:rPr>
        <w:t xml:space="preserve">ORIGINAL STUDY   </w:t>
      </w:r>
      <w:r>
        <w:rPr>
          <w:sz w:val="16"/>
        </w:rPr>
        <w:t>https://doi.org/10.1127/0941-2948/2014/0549</w:t>
      </w:r>
    </w:p>
    <w:p>
      <w:pPr>
        <w:pStyle w:val="Heading1"/>
      </w:pPr>
      <w:r>
        <w:t>401.  Douglas‐fir plantations in Europe: a retrospective test of assisted migration to address climate change  (2014)</w:t>
      </w:r>
    </w:p>
    <w:p>
      <w:r>
        <w:t>We conclude by applying the partially validated model to climate change scenarios for Europe, demonstrating that climate trends observed over the last three decades warrant changes to current use of Douglas-fir provenances in plantation forestry throughout Western and Central Europe.</w:t>
      </w:r>
    </w:p>
    <w:p>
      <w:pPr>
        <w:spacing w:after="240"/>
      </w:pPr>
      <w:r>
        <w:rPr>
          <w:b/>
          <w:sz w:val="16"/>
        </w:rPr>
        <w:t xml:space="preserve">ORIGINAL STUDY   </w:t>
      </w:r>
      <w:r>
        <w:rPr>
          <w:sz w:val="16"/>
        </w:rPr>
        <w:t>https://doi.org/10.1111/gcb.12604</w:t>
      </w:r>
    </w:p>
    <w:p>
      <w:pPr>
        <w:pStyle w:val="Heading1"/>
      </w:pPr>
      <w:r>
        <w:t>402.  Ensemble projections of future streamflow droughts in Europe  (2014)</w:t>
      </w:r>
    </w:p>
    <w:p>
      <w:r>
        <w:t>Through off-line coupling of a hydrological model with an ensemble of bias-corrected climate simulations (IPCC SRES A1B) and a water use scenario (Economy First), long term (1961–2100) ensemble streamflow simulations are generated that account for changes in climate, and the uncertainty therein, and in water consumption. In order to plan suitable adaptation strategies it is important for decision makers to know how drought conditions will develop at regional scales.</w:t>
      </w:r>
    </w:p>
    <w:p>
      <w:pPr>
        <w:spacing w:after="240"/>
      </w:pPr>
      <w:r>
        <w:rPr>
          <w:b/>
          <w:sz w:val="16"/>
        </w:rPr>
        <w:t xml:space="preserve">ORIGINAL STUDY   </w:t>
      </w:r>
      <w:r>
        <w:rPr>
          <w:sz w:val="16"/>
        </w:rPr>
        <w:t>https://doi.org/10.5194/hess-18-85-2014</w:t>
      </w:r>
    </w:p>
    <w:p>
      <w:pPr>
        <w:pStyle w:val="Heading1"/>
      </w:pPr>
      <w:r>
        <w:t>403.  Environmental water quantity projections under market-driven and sustainability-driven future scenarios in the Narew basin, Poland  (2014)</w:t>
      </w:r>
    </w:p>
    <w:p>
      <w:r>
        <w:t>The aim of this article is to assess the impact of four scenarios combining possible changes in climate, atmospheric carbon dioxide, land use and water use by 2050, on the specific set of ecologically relevant flow regime indicators that define environmental flow requirements in a semi-natural river basin in Poland.</w:t>
      </w:r>
    </w:p>
    <w:p>
      <w:pPr>
        <w:spacing w:after="240"/>
      </w:pPr>
      <w:r>
        <w:rPr>
          <w:b/>
          <w:sz w:val="16"/>
        </w:rPr>
        <w:t xml:space="preserve">ORIGINAL STUDY   </w:t>
      </w:r>
      <w:r>
        <w:rPr>
          <w:sz w:val="16"/>
        </w:rPr>
        <w:t>https://doi.org/10.1080/02626667.2014.888068</w:t>
      </w:r>
    </w:p>
    <w:p>
      <w:pPr>
        <w:pStyle w:val="Heading1"/>
      </w:pPr>
      <w:r>
        <w:t>404.  European packaging industry foresight study—identifying global drivers and driven packaging industry implications of the global megatrends  (2014)</w:t>
      </w:r>
    </w:p>
    <w:p>
      <w:r>
        <w:t>The potential packaging implications of those trends and drivers are then evaluated to highlight potential future demands, opportunities and threats for packaging. The purpose of the research is to provide a common multi-client platform as a base for further applied foresight work in the packaging sector.</w:t>
      </w:r>
    </w:p>
    <w:p>
      <w:pPr>
        <w:spacing w:after="240"/>
      </w:pPr>
      <w:r>
        <w:rPr>
          <w:b/>
          <w:sz w:val="16"/>
        </w:rPr>
        <w:t xml:space="preserve">ORIGINAL STUDY   </w:t>
      </w:r>
      <w:r>
        <w:rPr>
          <w:sz w:val="16"/>
        </w:rPr>
        <w:t>https://doi.org/10.1007/s40309-014-0039-4</w:t>
      </w:r>
    </w:p>
    <w:p>
      <w:pPr>
        <w:pStyle w:val="Heading1"/>
      </w:pPr>
      <w:r>
        <w:t>405.  Forecasting the Diffusion of Gigabit Home Networking In Europe  (2014)</w:t>
      </w:r>
    </w:p>
    <w:p>
      <w:r>
        <w:t>Market stakeholders have cooperated to evolve home networking towards an integrated, converged Gigabit technology, which will completely change the Home Area Networks (HANs) landscape and will enable a wave of possibilities. However, the lack of historical data on which such a forecast could be based presents a barrier that existing literature has not successfully addressed.</w:t>
      </w:r>
    </w:p>
    <w:p>
      <w:pPr>
        <w:spacing w:after="240"/>
      </w:pPr>
      <w:r>
        <w:rPr>
          <w:b/>
          <w:sz w:val="16"/>
        </w:rPr>
        <w:t xml:space="preserve">ORIGINAL STUDY   </w:t>
      </w:r>
      <w:r>
        <w:rPr>
          <w:sz w:val="16"/>
        </w:rPr>
        <w:t>https://doi.org/10.4018/ijtd.2014070103</w:t>
      </w:r>
    </w:p>
    <w:p>
      <w:pPr>
        <w:pStyle w:val="Heading1"/>
      </w:pPr>
      <w:r>
        <w:t>406.  Future mobility in an ageing society – Where are we heading?  (2014)</w:t>
      </w:r>
    </w:p>
    <w:p>
      <w:r>
        <w:t>This paper reports on a scenario planning exercise which has examined four different futures for living in later life, defined by considering two critical uncertainties: the extent to which older people in society engage with new healthcare technologies; and the extent to which the state provides care for people living in later life. Beyond these questions is one which is more explicitly pertinent to transport policy: how and where will older people live and how will this affect patterns of mobility and levels of travel demand?</w:t>
      </w:r>
    </w:p>
    <w:p>
      <w:pPr>
        <w:spacing w:after="240"/>
      </w:pPr>
      <w:r>
        <w:rPr>
          <w:b/>
          <w:sz w:val="16"/>
        </w:rPr>
        <w:t xml:space="preserve">ORIGINAL STUDY   </w:t>
      </w:r>
      <w:r>
        <w:rPr>
          <w:sz w:val="16"/>
        </w:rPr>
        <w:t>https://doi.org/10.1016/j.jth.2014.10.005</w:t>
      </w:r>
    </w:p>
    <w:p>
      <w:pPr>
        <w:pStyle w:val="Heading1"/>
      </w:pPr>
      <w:r>
        <w:t>407.  Future prospects for personal security in travel by public transport  (2014)</w:t>
      </w:r>
    </w:p>
    <w:p>
      <w:r>
        <w:t>Four future scenario narratives (to a 2040 time horizon) were developed for each application area. A final workshop consolidated and reviewed the narrative scenarios and pulled out key themes and priority issues for policy, practice and research for the near term.</w:t>
      </w:r>
    </w:p>
    <w:p>
      <w:pPr>
        <w:spacing w:after="240"/>
      </w:pPr>
      <w:r>
        <w:rPr>
          <w:b/>
          <w:sz w:val="16"/>
        </w:rPr>
        <w:t xml:space="preserve">ORIGINAL STUDY   </w:t>
      </w:r>
      <w:r>
        <w:rPr>
          <w:sz w:val="16"/>
        </w:rPr>
        <w:t>https://doi.org/10.1080/03081060.2014.976980</w:t>
      </w:r>
    </w:p>
    <w:p>
      <w:pPr>
        <w:pStyle w:val="Heading1"/>
      </w:pPr>
      <w:r>
        <w:t>408.  How climate, migration ability and habitat fragmentation affect the projected future distribution of European beech  (2014)</w:t>
      </w:r>
    </w:p>
    <w:p>
      <w:r>
        <w:t>Here, we projected the range shift of European beech over the 21st century using a process-based SDM coupled to a phenomenological migration model accounting for population dynamics, according to two climate change scenarios and one land use change scenario. As a result, the realized distribution of beech is projected to strongly contract by 2100 (by 36-61%) mainly due to a substantial increase in climate variability after 2050, which generates local extinctions, even at the core of the distribution, the frequency of which prevents beech recolonization during more favourable years.</w:t>
      </w:r>
    </w:p>
    <w:p>
      <w:pPr>
        <w:spacing w:after="240"/>
      </w:pPr>
      <w:r>
        <w:rPr>
          <w:b/>
          <w:sz w:val="16"/>
        </w:rPr>
        <w:t xml:space="preserve">ORIGINAL STUDY   </w:t>
      </w:r>
      <w:r>
        <w:rPr>
          <w:sz w:val="16"/>
        </w:rPr>
        <w:t>https://doi.org/10.1111/gcb.12771</w:t>
      </w:r>
    </w:p>
    <w:p>
      <w:pPr>
        <w:pStyle w:val="Heading1"/>
      </w:pPr>
      <w:r>
        <w:t>409.  International migration by 2030: impact of immigration policies scenarios on growth and employment  (2014)</w:t>
      </w:r>
    </w:p>
    <w:p>
      <w:r>
        <w:t>The third scenario, the mass migration scenario, allows letting go of the growth related constraints and getting out of the deflationist spiral. Purpose – The aim of this paper is to estimate the dynamic of international migration between the different regions of the world for 2030 and to measure the impact of different kind of migration policies on the economic and social evolution.</w:t>
      </w:r>
    </w:p>
    <w:p>
      <w:pPr>
        <w:spacing w:after="240"/>
      </w:pPr>
      <w:r>
        <w:rPr>
          <w:b/>
          <w:sz w:val="16"/>
        </w:rPr>
        <w:t xml:space="preserve">ORIGINAL STUDY   </w:t>
      </w:r>
      <w:r>
        <w:rPr>
          <w:sz w:val="16"/>
        </w:rPr>
        <w:t>https://doi.org/10.1108/fs-06-2012-0045</w:t>
      </w:r>
    </w:p>
    <w:p>
      <w:pPr>
        <w:pStyle w:val="Heading1"/>
      </w:pPr>
      <w:r>
        <w:t>410.  Investigating syndromes of agricultural land degradation through past trajectories and future scenarios  (2014)</w:t>
      </w:r>
    </w:p>
    <w:p>
      <w:r>
        <w:t>In concrete terms, LD determines a reduction in the productivity of a territory and in its capacity of providing ecosystem goods and services. “Syndromes” of LD can be assessed in the past, and scenarios, conversely, can be developed for the future, as information baselines for sustainable land management strategies and interventions. The identification of such spatially explicit LD syndromes, which can also be projected on the basis of future scenarios, allows proposing and evaluating focussed measures of sustainable land management.</w:t>
      </w:r>
    </w:p>
    <w:p>
      <w:pPr>
        <w:spacing w:after="240"/>
      </w:pPr>
      <w:r>
        <w:rPr>
          <w:b/>
          <w:sz w:val="16"/>
        </w:rPr>
        <w:t xml:space="preserve">ORIGINAL STUDY   </w:t>
      </w:r>
      <w:r>
        <w:rPr>
          <w:sz w:val="16"/>
        </w:rPr>
        <w:t>https://doi.org/10.1080/00380768.2013.843438</w:t>
      </w:r>
    </w:p>
    <w:p>
      <w:pPr>
        <w:pStyle w:val="Heading1"/>
      </w:pPr>
      <w:r>
        <w:t>411.  Living within the safe operating space: a vision for a resource efficient Europe  (2014)</w:t>
      </w:r>
    </w:p>
    <w:p>
      <w:r>
        <w:t>We review and build on recent sustainability visions to develop a holistic reflection on what life in 2050 could look like, and explore the key changes in the economy needed to get there.</w:t>
      </w:r>
    </w:p>
    <w:p>
      <w:pPr>
        <w:spacing w:after="240"/>
      </w:pPr>
      <w:r>
        <w:rPr>
          <w:b/>
          <w:sz w:val="16"/>
        </w:rPr>
        <w:t xml:space="preserve">ORIGINAL STUDY   </w:t>
      </w:r>
      <w:r>
        <w:rPr>
          <w:sz w:val="16"/>
        </w:rPr>
        <w:t>https://doi.org/10.1007/s40309-014-0048-3</w:t>
      </w:r>
    </w:p>
    <w:p>
      <w:pPr>
        <w:pStyle w:val="Heading1"/>
      </w:pPr>
      <w:r>
        <w:t>412.  Making or breaking climate targets: The AMPERE study on staged accession scenarios for climate policy  (2014)</w:t>
      </w:r>
    </w:p>
    <w:p>
      <w:r>
        <w:t>The addition of China to the front runner coalition can reduce pre-2050 excess emissions by 20–30%, increasing the likelihood of staying below 2 degrees.</w:t>
      </w:r>
    </w:p>
    <w:p>
      <w:pPr>
        <w:spacing w:after="240"/>
      </w:pPr>
      <w:r>
        <w:rPr>
          <w:b/>
          <w:sz w:val="16"/>
        </w:rPr>
        <w:t xml:space="preserve">ORIGINAL STUDY   </w:t>
      </w:r>
      <w:r>
        <w:rPr>
          <w:sz w:val="16"/>
        </w:rPr>
        <w:t>https://doi.org/10.1016/j.techfore.2013.09.021</w:t>
      </w:r>
    </w:p>
    <w:p>
      <w:pPr>
        <w:pStyle w:val="Heading1"/>
      </w:pPr>
      <w:r>
        <w:t>413.  Making sense of the future: visions and transition pathways of laypeople and professionals from six EU countries  (2014)</w:t>
      </w:r>
    </w:p>
    <w:p>
      <w:r>
        <w:t>The paper concludes with an evaluation of the pathways developed by comparing them to the UK 2050 pathways. For the transition pathway development of these futures, backcasting workshops were held with the participation of young people and experts to develop suitable pathways towards each of the three visions with regard to three specific sectors, namely, household energy, individual mobility and food.</w:t>
      </w:r>
    </w:p>
    <w:p>
      <w:pPr>
        <w:spacing w:after="240"/>
      </w:pPr>
      <w:r>
        <w:rPr>
          <w:b/>
          <w:sz w:val="16"/>
        </w:rPr>
        <w:t xml:space="preserve">ORIGINAL STUDY   </w:t>
      </w:r>
      <w:r>
        <w:rPr>
          <w:sz w:val="16"/>
        </w:rPr>
        <w:t>https://doi.org/10.1080/11287462.2014.957010</w:t>
      </w:r>
    </w:p>
    <w:p>
      <w:pPr>
        <w:pStyle w:val="Heading1"/>
      </w:pPr>
      <w:r>
        <w:t>414.  Modelling Soil Organic Carbon Changes Under Different Maize Cropping Scenarios for Cellulosic Ethanol in Europe  (2014)</w:t>
      </w:r>
    </w:p>
    <w:p>
      <w:r>
        <w:t>In particular, every tonne of C residue converted to bioethanol was predicted to have an additional impact on SOC loss almost ranging from 0.2 to 0.5 CO 2 eq. ha −1 year −1 , considering a continuous biofuel scenario by 2050. Using a recently developed simulation platform, SOC changes were estimated at European level (EU + candidate and potential candidate countries) under two scenarios of low (R30) and high (R90) maize stover removal for cellulosic ethanol production (i.e. 30 and 90 % of stover removal, respectively).</w:t>
      </w:r>
    </w:p>
    <w:p>
      <w:pPr>
        <w:spacing w:after="240"/>
      </w:pPr>
      <w:r>
        <w:rPr>
          <w:b/>
          <w:sz w:val="16"/>
        </w:rPr>
        <w:t xml:space="preserve">ORIGINAL STUDY   </w:t>
      </w:r>
      <w:r>
        <w:rPr>
          <w:sz w:val="16"/>
        </w:rPr>
        <w:t>https://doi.org/10.1007/s12155-014-9529-2</w:t>
      </w:r>
    </w:p>
    <w:p>
      <w:pPr>
        <w:pStyle w:val="Heading1"/>
      </w:pPr>
      <w:r>
        <w:t>415.  Modelling sustainable energy futures for the UK  (2014)</w:t>
      </w:r>
    </w:p>
    <w:p>
      <w:r>
        <w:t>As a result of signing the Kyoto Agreement the UK will need to reduce carbon emissions to 20% of their 1990 value by 2050. The model allows us to explore different possible pathways to 2050 and the difficulty of the overall endeavour.</w:t>
      </w:r>
    </w:p>
    <w:p>
      <w:pPr>
        <w:spacing w:after="240"/>
      </w:pPr>
      <w:r>
        <w:rPr>
          <w:b/>
          <w:sz w:val="16"/>
        </w:rPr>
        <w:t xml:space="preserve">ORIGINAL STUDY   </w:t>
      </w:r>
      <w:r>
        <w:rPr>
          <w:sz w:val="16"/>
        </w:rPr>
        <w:t>https://doi.org/10.1016/j.futures.2014.01.005</w:t>
      </w:r>
    </w:p>
    <w:p>
      <w:pPr>
        <w:pStyle w:val="Heading1"/>
      </w:pPr>
      <w:r>
        <w:t>416.  More green infrastructure is required to maintain ecosystem services under current trends in land-use change in Europe  (2014)</w:t>
      </w:r>
    </w:p>
    <w:p>
      <w:r>
        <w:t>This scenario is established by the European Commission to assess the impact of energy and climate policy up to 2050. TESI8 is expected to decrease across Europe between 0 and 5 % by 2020 and between 10 and 15 % by 2050 relative to the base year 2010.</w:t>
      </w:r>
    </w:p>
    <w:p>
      <w:pPr>
        <w:spacing w:after="240"/>
      </w:pPr>
      <w:r>
        <w:rPr>
          <w:b/>
          <w:sz w:val="16"/>
        </w:rPr>
        <w:t xml:space="preserve">ORIGINAL STUDY   </w:t>
      </w:r>
      <w:r>
        <w:rPr>
          <w:sz w:val="16"/>
        </w:rPr>
        <w:t>https://doi.org/10.1007/s10980-014-0083-2</w:t>
      </w:r>
    </w:p>
    <w:p>
      <w:pPr>
        <w:pStyle w:val="Heading1"/>
      </w:pPr>
      <w:r>
        <w:t>417.  Neglected futures. Considering overlooked poverty in Europe  (2014)</w:t>
      </w:r>
    </w:p>
    <w:p>
      <w:r>
        <w:t>This fact poses a major challenge for future planning and the future of social policies.</w:t>
      </w:r>
    </w:p>
    <w:p>
      <w:pPr>
        <w:spacing w:after="240"/>
      </w:pPr>
      <w:r>
        <w:rPr>
          <w:b/>
          <w:sz w:val="16"/>
        </w:rPr>
        <w:t xml:space="preserve">ORIGINAL STUDY   </w:t>
      </w:r>
      <w:r>
        <w:rPr>
          <w:sz w:val="16"/>
        </w:rPr>
        <w:t>https://doi.org/10.1007/s40309-014-0057-2</w:t>
      </w:r>
    </w:p>
    <w:p>
      <w:pPr>
        <w:pStyle w:val="Heading1"/>
      </w:pPr>
      <w:r>
        <w:t>418.  New system of employment forecasting in Poland  (2014)</w:t>
      </w:r>
    </w:p>
    <w:p>
      <w:r>
        <w:t>The analysis of forecasts enabled drawing some conclusions, important from the point of view of the perspectives of the Polish labour market and the labour market policy. Abstract The goal of the paper was to describe the system of employment forecasting in Poland and to present forecasts results.</w:t>
      </w:r>
    </w:p>
    <w:p>
      <w:pPr>
        <w:spacing w:after="240"/>
      </w:pPr>
      <w:r>
        <w:rPr>
          <w:b/>
          <w:sz w:val="16"/>
        </w:rPr>
        <w:t xml:space="preserve">ORIGINAL STUDY   </w:t>
      </w:r>
      <w:r>
        <w:rPr>
          <w:sz w:val="16"/>
        </w:rPr>
        <w:t>https://doi.org/10.2478/eam-2014-0018</w:t>
      </w:r>
    </w:p>
    <w:p>
      <w:pPr>
        <w:pStyle w:val="Heading1"/>
      </w:pPr>
      <w:r>
        <w:t>419.  Reform of experimental structures in animal science in France: From exploratory foresight to operational set-up  (2014)</w:t>
      </w:r>
    </w:p>
    <w:p>
      <w:r>
        <w:t>Based on a more general foresight exercise carried out at the national level (INRA 2020), different scenarios were built and then analysed for the 2025 horizon by a working group under the responsibility of an external chairman. Finally, four scenarios were submitted to the INRA General Direction who chose the European infrastructure.</w:t>
      </w:r>
    </w:p>
    <w:p>
      <w:pPr>
        <w:spacing w:after="240"/>
      </w:pPr>
      <w:r>
        <w:rPr>
          <w:b/>
          <w:sz w:val="16"/>
        </w:rPr>
        <w:t xml:space="preserve">ORIGINAL STUDY   </w:t>
      </w:r>
      <w:r>
        <w:rPr>
          <w:sz w:val="16"/>
        </w:rPr>
        <w:t>https://doi.org/10.1684/agr.2014.0698</w:t>
      </w:r>
    </w:p>
    <w:p>
      <w:pPr>
        <w:pStyle w:val="Heading1"/>
      </w:pPr>
      <w:r>
        <w:t>420.  Scenario analysis for nutrient emission reduction in the European inland waters  (2014)</w:t>
      </w:r>
    </w:p>
    <w:p>
      <w:r>
        <w:t>In the present study we evaluate a set of alternative scenarios aiming at reducing nitrogen and phosphorus emissions from anthropogenic activities to all European Seas. Then we tested two human diet scenarios and their impacts on nutrient emissions.</w:t>
      </w:r>
    </w:p>
    <w:p>
      <w:pPr>
        <w:spacing w:after="240"/>
      </w:pPr>
      <w:r>
        <w:rPr>
          <w:b/>
          <w:sz w:val="16"/>
        </w:rPr>
        <w:t xml:space="preserve">ORIGINAL STUDY   </w:t>
      </w:r>
      <w:r>
        <w:rPr>
          <w:sz w:val="16"/>
        </w:rPr>
        <w:t>https://doi.org/10.1088/1748-9326/9/12/125007</w:t>
      </w:r>
    </w:p>
    <w:p>
      <w:pPr>
        <w:pStyle w:val="Heading1"/>
      </w:pPr>
      <w:r>
        <w:t>421.  Scenarios for renewable energy deployment in North African countries and electricity exchange with Europe – A modelbased analysis for 2050  (2014)</w:t>
      </w:r>
    </w:p>
    <w:p>
      <w:r>
        <w:t>Deployment of renewable energy technologies in North Africa has large potentials for both, the coverage of the growing local electricity demand and for export of electricity to neighboring regions such as Europe.The presented research analyzes four scenarios with high shares of renewable energies in electricity generation (regional average 83-98%) in five North African countries and evaluates the opportunities and technical challenges for exchange of electricity within the region and with Europe.It was found that extensive grid reinforcements would be required to realize the presented scenarios.With respect to inner-regional transmission capacities in North Africa, results show that, depending on the scenario, about 90 % of the present grid would have to be expanded substantially in order to handle the expected transmission volumes in 2050.</w:t>
      </w:r>
    </w:p>
    <w:p>
      <w:pPr>
        <w:spacing w:after="240"/>
      </w:pPr>
      <w:r>
        <w:rPr>
          <w:b/>
          <w:sz w:val="16"/>
        </w:rPr>
        <w:t xml:space="preserve">ORIGINAL STUDY   </w:t>
      </w:r>
      <w:r>
        <w:rPr>
          <w:sz w:val="16"/>
        </w:rPr>
        <w:t>https://doi.org/10.12720/sgce.3.3.299-306</w:t>
      </w:r>
    </w:p>
    <w:p>
      <w:pPr>
        <w:pStyle w:val="Heading1"/>
      </w:pPr>
      <w:r>
        <w:t>422.  Scenarios of water resources development in Poland up to 2030  (2014)</w:t>
      </w:r>
    </w:p>
    <w:p>
      <w:r>
        <w:t>Sensitivity of the results of the applied techniques of development scenarios shows a need for further research.</w:t>
      </w:r>
    </w:p>
    <w:p>
      <w:pPr>
        <w:spacing w:after="240"/>
      </w:pPr>
      <w:r>
        <w:rPr>
          <w:b/>
          <w:sz w:val="16"/>
        </w:rPr>
        <w:t xml:space="preserve">ORIGINAL STUDY   </w:t>
      </w:r>
      <w:r>
        <w:rPr>
          <w:sz w:val="16"/>
        </w:rPr>
        <w:t>https://doi.org/10.1134/s0097807814060219</w:t>
      </w:r>
    </w:p>
    <w:p>
      <w:pPr>
        <w:pStyle w:val="Heading1"/>
      </w:pPr>
      <w:r>
        <w:t>423.  Securing a bioenergy future without imports  (2014)</w:t>
      </w:r>
    </w:p>
    <w:p>
      <w:r>
        <w:t>The model shows that indigenous biomass resources and energy crops could service up to 44% of UK energy demand by 2050 without impacting food systems. The scenarios show, residues from agriculture, forestry and industry provide the most robust resource, potentially providing up to 6.5% of primary energy demand by 2050.</w:t>
      </w:r>
    </w:p>
    <w:p>
      <w:pPr>
        <w:spacing w:after="240"/>
      </w:pPr>
      <w:r>
        <w:rPr>
          <w:b/>
          <w:sz w:val="16"/>
        </w:rPr>
        <w:t xml:space="preserve">ORIGINAL STUDY   </w:t>
      </w:r>
      <w:r>
        <w:rPr>
          <w:sz w:val="16"/>
        </w:rPr>
        <w:t>https://doi.org/10.1016/j.enpol.2013.11.079</w:t>
      </w:r>
    </w:p>
    <w:p>
      <w:pPr>
        <w:pStyle w:val="Heading1"/>
      </w:pPr>
      <w:r>
        <w:t>424.  Shaping science policy in Europe  (2014)</w:t>
      </w:r>
    </w:p>
    <w:p>
      <w:r>
        <w:t>The creation of such Scientific Panel should be viewed as an important contribution by the biomedical community as a major political agreement has been reached on the need for a comprehensive and long-term scientific strategy to accelerate research and facilitate innovation at EU level.</w:t>
      </w:r>
    </w:p>
    <w:p>
      <w:pPr>
        <w:spacing w:after="240"/>
      </w:pPr>
      <w:r>
        <w:rPr>
          <w:b/>
          <w:sz w:val="16"/>
        </w:rPr>
        <w:t xml:space="preserve">ORIGINAL STUDY   </w:t>
      </w:r>
      <w:r>
        <w:rPr>
          <w:sz w:val="16"/>
        </w:rPr>
        <w:t>https://doi.org/10.1016/j.molonc.2014.03.013</w:t>
      </w:r>
    </w:p>
    <w:p>
      <w:pPr>
        <w:pStyle w:val="Heading1"/>
      </w:pPr>
      <w:r>
        <w:t>425.  The EU climate and energy policy: what about the new targets for 2030?  (2014)</w:t>
      </w:r>
    </w:p>
    <w:p>
      <w:r>
        <w:t>Finally, the increase in energy efficiency should also continue to be promoted, but without any quantitative target that would be very difficult to establish and monitor. In 2013 the EU Commission issued a Green paper to launch a debate on what should be the objectives for 2030 and early 2014 has published its proposals.</w:t>
      </w:r>
    </w:p>
    <w:p>
      <w:pPr>
        <w:spacing w:after="240"/>
      </w:pPr>
      <w:r>
        <w:rPr>
          <w:b/>
          <w:sz w:val="16"/>
        </w:rPr>
        <w:t xml:space="preserve">ORIGINAL STUDY   </w:t>
      </w:r>
      <w:r>
        <w:rPr>
          <w:sz w:val="16"/>
        </w:rPr>
        <w:t>https://doi.org/10.3280/efe2014-001002</w:t>
      </w:r>
    </w:p>
    <w:p>
      <w:pPr>
        <w:pStyle w:val="Heading1"/>
      </w:pPr>
      <w:r>
        <w:t>426.  The Future of Visitor Attractions in The Netherlands  (2014)</w:t>
      </w:r>
    </w:p>
    <w:p>
      <w:r>
        <w:t>The results were used to create four different scenarios that could be used by the visitor-attraction business to develop innovative strategies, concepts, products, services or business models that would make the attraction more future-proof. The aim of the study was to acquire a reliable and plausible picture of the interests of visitors in the future and the development opportunities for visitor attractions in the Netherlands.</w:t>
      </w:r>
    </w:p>
    <w:p>
      <w:pPr>
        <w:spacing w:after="240"/>
      </w:pPr>
      <w:r>
        <w:rPr>
          <w:b/>
          <w:sz w:val="16"/>
        </w:rPr>
        <w:t xml:space="preserve">ORIGINAL STUDY   </w:t>
      </w:r>
      <w:r>
        <w:rPr>
          <w:sz w:val="16"/>
        </w:rPr>
        <w:t>https://doi.org/10.1080/02508281.2014.11087010</w:t>
      </w:r>
    </w:p>
    <w:p>
      <w:pPr>
        <w:pStyle w:val="Heading1"/>
      </w:pPr>
      <w:r>
        <w:t>427.  The feasibility of a European‐wide integrated CO 2 transport network  (2014)</w:t>
      </w:r>
    </w:p>
    <w:p>
      <w:r>
        <w:t>The European Union's ambition to achieve near‐total decarbonization by 2050 suggests a large role for carbon capture and storage (CCS), requiring the transport (mostly by pipeline) of CO 2 from source facilities to appropriate sites for geological storage.</w:t>
      </w:r>
    </w:p>
    <w:p>
      <w:pPr>
        <w:spacing w:after="240"/>
      </w:pPr>
      <w:r>
        <w:rPr>
          <w:b/>
          <w:sz w:val="16"/>
        </w:rPr>
        <w:t xml:space="preserve">ORIGINAL STUDY   </w:t>
      </w:r>
      <w:r>
        <w:rPr>
          <w:sz w:val="16"/>
        </w:rPr>
        <w:t>https://doi.org/10.1002/ghg.1410</w:t>
      </w:r>
    </w:p>
    <w:p>
      <w:pPr>
        <w:pStyle w:val="Heading1"/>
      </w:pPr>
      <w:r>
        <w:t>428.  The future of financial markets and regulation: what strategy for Europe?  (2014)</w:t>
      </w:r>
    </w:p>
    <w:p>
      <w:r>
        <w:t>Finally, they build five scenarios according to the main evolutions observed on the financial markets and on the tools used by the regulator to modify these trends. Findings – Among the five scenarios defined, two present highly unstable features since the regulator refuses to choose between financial opening and independently determining how to regulate finance in order to preserve financial stability.</w:t>
      </w:r>
    </w:p>
    <w:p>
      <w:pPr>
        <w:spacing w:after="240"/>
      </w:pPr>
      <w:r>
        <w:rPr>
          <w:b/>
          <w:sz w:val="16"/>
        </w:rPr>
        <w:t xml:space="preserve">ORIGINAL STUDY   </w:t>
      </w:r>
      <w:r>
        <w:rPr>
          <w:sz w:val="16"/>
        </w:rPr>
        <w:t>https://doi.org/10.1108/fs-05-2012-0039</w:t>
      </w:r>
    </w:p>
    <w:p>
      <w:pPr>
        <w:pStyle w:val="Heading1"/>
      </w:pPr>
      <w:r>
        <w:t>429.  The future of global trade and the WTO  (2014)</w:t>
      </w:r>
    </w:p>
    <w:p>
      <w:r>
        <w:t>Four scenarios of the world economy are presented, which are derived from the international AUGUR research project “Challenges for Europe in the world in 2030” coordinated by Paris Nord University. This paper aims to analyse the main issues which might influence the governance of world trade from now until 2030 and present quantitative projections of international trade.</w:t>
      </w:r>
    </w:p>
    <w:p>
      <w:pPr>
        <w:spacing w:after="240"/>
      </w:pPr>
      <w:r>
        <w:rPr>
          <w:b/>
          <w:sz w:val="16"/>
        </w:rPr>
        <w:t xml:space="preserve">ORIGINAL STUDY   </w:t>
      </w:r>
      <w:r>
        <w:rPr>
          <w:sz w:val="16"/>
        </w:rPr>
        <w:t>https://doi.org/10.1108/fs-06-2012-0044</w:t>
      </w:r>
    </w:p>
    <w:p>
      <w:pPr>
        <w:pStyle w:val="Heading1"/>
      </w:pPr>
      <w:r>
        <w:t>430.  The future of trade unions in Croatia – various stakeholders’ perspectives  (2014)</w:t>
      </w:r>
    </w:p>
    <w:p>
      <w:r>
        <w:t>This article explores different stakeholders’ perceptions of the future of trade unions in Croatia. Findings reveal that respondents (managers, HR experts, trade union officials, government representatives and employees) are not optimistic about the future of trade unions in Croatia, agreeing that they will face many obstacles in the near future, such as a lack of consensus between the five trade union federations, a lack of agreement among the unions within a federation, and further union disintegration.</w:t>
      </w:r>
    </w:p>
    <w:p>
      <w:pPr>
        <w:spacing w:after="240"/>
      </w:pPr>
      <w:r>
        <w:rPr>
          <w:b/>
          <w:sz w:val="16"/>
        </w:rPr>
        <w:t xml:space="preserve">ORIGINAL STUDY   </w:t>
      </w:r>
      <w:r>
        <w:rPr>
          <w:sz w:val="16"/>
        </w:rPr>
        <w:t>https://doi.org/10.1177/1024258914546277</w:t>
      </w:r>
    </w:p>
    <w:p>
      <w:pPr>
        <w:pStyle w:val="Heading1"/>
      </w:pPr>
      <w:r>
        <w:t>431.  The implications of regional and national demographic projections for future GMS costs in Ireland through to 2026  (2014)</w:t>
      </w:r>
    </w:p>
    <w:p>
      <w:r>
        <w:t>A Monte Carlo Model is used to simulate the effects of demographic change (by region, age, gender, coverage, claims rates and average claims cost) will have on GMS prescribing costs in 2016, 2021 and 2026 under different scenarios. RESULTS: The Population of Ireland is projected to grow by 32% between 2007 and 2026 and by 96% for the over 70s.</w:t>
      </w:r>
    </w:p>
    <w:p>
      <w:pPr>
        <w:spacing w:after="240"/>
      </w:pPr>
      <w:r>
        <w:rPr>
          <w:b/>
          <w:sz w:val="16"/>
        </w:rPr>
        <w:t xml:space="preserve">ORIGINAL STUDY   </w:t>
      </w:r>
      <w:r>
        <w:rPr>
          <w:sz w:val="16"/>
        </w:rPr>
        <w:t>https://doi.org/10.1186/1472-6963-14-477</w:t>
      </w:r>
    </w:p>
    <w:p>
      <w:pPr>
        <w:pStyle w:val="Heading1"/>
      </w:pPr>
      <w:r>
        <w:t>432.  Two futures: EU-Russia relations in the context of Ukraine.  (2014)</w:t>
      </w:r>
    </w:p>
    <w:p>
      <w:r>
        <w:t>Or should it rather continue to tighten the screws on the Putin regime, in the hope that doing so will concurrently compel the Russian Federation to moderate its behaviour?</w:t>
      </w:r>
    </w:p>
    <w:p>
      <w:pPr>
        <w:spacing w:after="240"/>
      </w:pPr>
      <w:r>
        <w:rPr>
          <w:b/>
          <w:sz w:val="16"/>
        </w:rPr>
        <w:t xml:space="preserve">ORIGINAL STUDY   </w:t>
      </w:r>
      <w:r>
        <w:rPr>
          <w:sz w:val="16"/>
        </w:rPr>
        <w:t>https://doi.org/10.1007/s40309-014-0052-7</w:t>
      </w:r>
    </w:p>
    <w:p>
      <w:pPr>
        <w:pStyle w:val="Heading1"/>
      </w:pPr>
      <w:r>
        <w:t>433.  Understanding and enhancing future infrastructure resiliency: a socio‐ecological approach  (2014)</w:t>
      </w:r>
    </w:p>
    <w:p>
      <w:r>
        <w:t>This paper seeks to identify and problematise this perspective, presenting research based on the development of a heuristic 'scenario-episode' tool to address, and challenge, it in the context of United Kingdom infrastructure resilience.</w:t>
      </w:r>
    </w:p>
    <w:p>
      <w:pPr>
        <w:spacing w:after="240"/>
      </w:pPr>
      <w:r>
        <w:rPr>
          <w:b/>
          <w:sz w:val="16"/>
        </w:rPr>
        <w:t xml:space="preserve">ORIGINAL STUDY   </w:t>
      </w:r>
      <w:r>
        <w:rPr>
          <w:sz w:val="16"/>
        </w:rPr>
        <w:t>https://doi.org/10.1111/disa.12114</w:t>
      </w:r>
    </w:p>
    <w:p>
      <w:pPr>
        <w:pStyle w:val="Heading1"/>
      </w:pPr>
      <w:r>
        <w:t>434.  Will the real security foresight expert please stand up?  (2014)</w:t>
      </w:r>
    </w:p>
    <w:p>
      <w:r>
        <w:t>In its critical comparative overview of foresight methods and how they are used by different futures institutes in Europe, North America, and their partners, the text argues that while many futures institutes claim to provide foresight expertise, few actually provide the tools needed by policy makers to help prepare for security risks. It identifies two trademarks of genuine security foresight experts: 1.) They will differentiate between trends and futures research 2.) Their methods will have met with success in providing early warning signals.</w:t>
      </w:r>
    </w:p>
    <w:p>
      <w:pPr>
        <w:spacing w:after="240"/>
      </w:pPr>
      <w:r>
        <w:rPr>
          <w:b/>
          <w:sz w:val="16"/>
        </w:rPr>
        <w:t xml:space="preserve">ORIGINAL STUDY   </w:t>
      </w:r>
      <w:r>
        <w:rPr>
          <w:sz w:val="16"/>
        </w:rPr>
        <w:t>https://doi.org/10.1007/s40309-014-0037-6</w:t>
      </w:r>
    </w:p>
    <w:p>
      <w:pPr>
        <w:pStyle w:val="Heading1"/>
      </w:pPr>
      <w:r>
        <w:t>435.  A strategic energy technology policy towards 2050: no-regret strategies for European technology push  (2013)</w:t>
      </w:r>
    </w:p>
    <w:p>
      <w:r>
        <w:t>We discuss how European energy technology policy towards 2050 can be effective despite: 1) uncertain carbon prices; 2) uncertain technological change; and 3) uncertain or alternating policy paradigms shifting the focus from decarbonisation towards competitiveness or energy supply security.</w:t>
      </w:r>
    </w:p>
    <w:p>
      <w:pPr>
        <w:spacing w:after="240"/>
      </w:pPr>
      <w:r>
        <w:rPr>
          <w:b/>
          <w:sz w:val="16"/>
        </w:rPr>
        <w:t xml:space="preserve">ORIGINAL STUDY   </w:t>
      </w:r>
      <w:r>
        <w:rPr>
          <w:sz w:val="16"/>
        </w:rPr>
        <w:t>https://doi.org/10.1504/ijetp.2013.058143</w:t>
      </w:r>
    </w:p>
    <w:p>
      <w:pPr>
        <w:pStyle w:val="Heading1"/>
      </w:pPr>
      <w:r>
        <w:t>436.  Alternative future energy pathways: Assessment of the potential of innovative decentralised energy systems in the UK  (2013)</w:t>
      </w:r>
    </w:p>
    <w:p>
      <w:r>
        <w:t>In order to meet its 2050 target of 80% carbon emissions reduction, the UK is facing a challenge of restructuring its energy system, possibly by introducing more decentralised energy (DE) systems. The case studies present a high potential for replication and scaling up in the UK context and demonstrate that the increased implementation of DE systems could also enhance social and governance benefits.</w:t>
      </w:r>
    </w:p>
    <w:p>
      <w:pPr>
        <w:spacing w:after="240"/>
      </w:pPr>
      <w:r>
        <w:rPr>
          <w:b/>
          <w:sz w:val="16"/>
        </w:rPr>
        <w:t xml:space="preserve">ORIGINAL STUDY   </w:t>
      </w:r>
      <w:r>
        <w:rPr>
          <w:sz w:val="16"/>
        </w:rPr>
        <w:t>https://doi.org/10.1016/j.enpol.2013.10.080</w:t>
      </w:r>
    </w:p>
    <w:p>
      <w:pPr>
        <w:pStyle w:val="Heading1"/>
      </w:pPr>
      <w:r>
        <w:t>437.  Analytical support to foresighting EU roles as a Global Security Actor  (2013)</w:t>
      </w:r>
    </w:p>
    <w:p>
      <w:r>
        <w:t>Making decisions on major investments, including investments in security research, requires good grasp of the future, which by definition is uncertain.This paper presents the analytical process, methods, and tools, including the DSTO Scenario Analysis Tool Suite, used in the elaboration and selection of a set of context scenarios and possible new roles for EU as a global actor based on the wider Petersberg tasks.Results of this exploratory process within the FP7 FOCUS project are intended to derive suggestions for the EU's security research planning.The conclusion emphasises the critical importance of providing rigorous analytical support, in particular when security foresight involves subject matter experts that are not part of a dedicated research team.</w:t>
      </w:r>
    </w:p>
    <w:p>
      <w:pPr>
        <w:spacing w:after="240"/>
      </w:pPr>
      <w:r>
        <w:rPr>
          <w:b/>
          <w:sz w:val="16"/>
        </w:rPr>
        <w:t xml:space="preserve">ORIGINAL STUDY   </w:t>
      </w:r>
      <w:r>
        <w:rPr>
          <w:sz w:val="16"/>
        </w:rPr>
        <w:t>https://doi.org/10.11610/isij.2902</w:t>
      </w:r>
    </w:p>
    <w:p>
      <w:pPr>
        <w:pStyle w:val="Heading1"/>
      </w:pPr>
      <w:r>
        <w:t>438.  Animal health aspects of adaptation to climate change: beating the heat and parasites in a warming Europe  (2013)</w:t>
      </w:r>
    </w:p>
    <w:p>
      <w:r>
        <w:t>We investigate the direct and indirect effects of climate change on the epidemiology of important livestock pathogens, with a particular focus on parasitic infections, and the likely animal health consequences associated with selected adaptation options. Adaptation options aimed at taking advantage of new opportunities and/or minimising the risks of negative impacts will, in themselves, have implications for animal health and welfare.</w:t>
      </w:r>
    </w:p>
    <w:p>
      <w:pPr>
        <w:spacing w:after="240"/>
      </w:pPr>
      <w:r>
        <w:rPr>
          <w:b/>
          <w:sz w:val="16"/>
        </w:rPr>
        <w:t xml:space="preserve">ORIGINAL STUDY   </w:t>
      </w:r>
      <w:r>
        <w:rPr>
          <w:sz w:val="16"/>
        </w:rPr>
        <w:t>https://doi.org/10.1017/s175173111300075x</w:t>
      </w:r>
    </w:p>
    <w:p>
      <w:pPr>
        <w:pStyle w:val="Heading1"/>
      </w:pPr>
      <w:r>
        <w:t>439.  Application of the UK Foresight Obesity Model in Ireland: The Health and Economic Consequences of Projected Obesity Trends in Ireland  (2013)</w:t>
      </w:r>
    </w:p>
    <w:p>
      <w:r>
        <w:t>The direct healthcare costs associated with these increases will amount to €5.4 billion by 2030. A 5% reduction in population BMI levels by 2030 is projected to result in €495 million less being spent in obesity-related direct healthcare costs over twenty years.</w:t>
      </w:r>
    </w:p>
    <w:p>
      <w:pPr>
        <w:spacing w:after="240"/>
      </w:pPr>
      <w:r>
        <w:rPr>
          <w:b/>
          <w:sz w:val="16"/>
        </w:rPr>
        <w:t xml:space="preserve">ORIGINAL STUDY   </w:t>
      </w:r>
      <w:r>
        <w:rPr>
          <w:sz w:val="16"/>
        </w:rPr>
        <w:t>https://doi.org/10.1371/journal.pone.0079827</w:t>
      </w:r>
    </w:p>
    <w:p>
      <w:pPr>
        <w:pStyle w:val="Heading1"/>
      </w:pPr>
      <w:r>
        <w:t>440.  Climate change, extreme weather events, air pollution and respiratory health in Europe  (2013)</w:t>
      </w:r>
    </w:p>
    <w:p>
      <w:r>
        <w:t>Due to climate change and other factors, air pollution patterns are changing in several urbanised areas of the world, with a significant effect on respiratory health both independently and synergistically with weather conditions; climate scenarios show Europe as one of the most vulnerable regions.</w:t>
      </w:r>
    </w:p>
    <w:p>
      <w:pPr>
        <w:spacing w:after="240"/>
      </w:pPr>
      <w:r>
        <w:rPr>
          <w:b/>
          <w:sz w:val="16"/>
        </w:rPr>
        <w:t xml:space="preserve">ORIGINAL STUDY   </w:t>
      </w:r>
      <w:r>
        <w:rPr>
          <w:sz w:val="16"/>
        </w:rPr>
        <w:t>https://doi.org/10.1183/09031936.00074712</w:t>
      </w:r>
    </w:p>
    <w:p>
      <w:pPr>
        <w:pStyle w:val="Heading1"/>
      </w:pPr>
      <w:r>
        <w:t>441.  Comments: The Long-Term Outlook  (2013)</w:t>
      </w:r>
    </w:p>
    <w:p>
      <w:r>
        <w:t>Here are some of the significant findings from the report: Energy demand in developing nations will rise 65% by 2040, reflecting growing prosperity and expanding economies. ExxonMobil forecasts that global energy consumption will rise 35% by 2040, primarily in China and India.</w:t>
      </w:r>
    </w:p>
    <w:p>
      <w:pPr>
        <w:spacing w:after="240"/>
      </w:pPr>
      <w:r>
        <w:rPr>
          <w:b/>
          <w:sz w:val="16"/>
        </w:rPr>
        <w:t xml:space="preserve">ORIGINAL STUDY   </w:t>
      </w:r>
      <w:r>
        <w:rPr>
          <w:sz w:val="16"/>
        </w:rPr>
        <w:t>https://doi.org/10.2118/0113-0018-jpt</w:t>
      </w:r>
    </w:p>
    <w:p>
      <w:pPr>
        <w:pStyle w:val="Heading1"/>
      </w:pPr>
      <w:r>
        <w:t>442.  Constructing Resilient Futures: Integrating UK multi-stakeholder transport and energy resilience for 2050  (2013)</w:t>
      </w:r>
    </w:p>
    <w:p>
      <w:r>
        <w:t>The 2005 terrorist attacks in London and 2007 flooding throughout the UK revealed the shortcomings of the UK Government approach of ‘governing through resilience’ in practice: low levels of stakeholder co-ordination, lack of understanding about critical infrastructure interdependencies, and little attention to long-term adaptation. Starting with a detailed analysis of extant futures studies, scenarios were combined with episodes in order to both draw stakeholders out of their institutional contexts by setting the exercise in the future and to elicit participant responses during future crisis events.</w:t>
      </w:r>
    </w:p>
    <w:p>
      <w:pPr>
        <w:spacing w:after="240"/>
      </w:pPr>
      <w:r>
        <w:rPr>
          <w:b/>
          <w:sz w:val="16"/>
        </w:rPr>
        <w:t xml:space="preserve">ORIGINAL STUDY   </w:t>
      </w:r>
      <w:r>
        <w:rPr>
          <w:sz w:val="16"/>
        </w:rPr>
        <w:t>https://doi.org/10.1016/j.futures.2013.04.003</w:t>
      </w:r>
    </w:p>
    <w:p>
      <w:pPr>
        <w:pStyle w:val="Heading1"/>
      </w:pPr>
      <w:r>
        <w:t>443.  European Scenario Studies on Future In-Stream Nutrient Concentrations  (2013)</w:t>
      </w:r>
    </w:p>
    <w:p>
      <w:r>
        <w:t>Results indicate that future total nitrogen (TN) loadings are likely to decrease in most parts of central Europe by 5 to 25 kg ha-1 year-1 due to land-use change in the form of reduced cropland area as a result of technological changes, as well as improvements in land-use management based on higher efficiencies of application rates.</w:t>
      </w:r>
    </w:p>
    <w:p>
      <w:pPr>
        <w:spacing w:after="240"/>
      </w:pPr>
      <w:r>
        <w:rPr>
          <w:b/>
          <w:sz w:val="16"/>
        </w:rPr>
        <w:t xml:space="preserve">ORIGINAL STUDY   </w:t>
      </w:r>
      <w:r>
        <w:rPr>
          <w:sz w:val="16"/>
        </w:rPr>
        <w:t>https://doi.org/10.13031/trans.56.9961</w:t>
      </w:r>
    </w:p>
    <w:p>
      <w:pPr>
        <w:pStyle w:val="Heading1"/>
      </w:pPr>
      <w:r>
        <w:t>444.  European atmosphere in 2050, a regional air quality and climate perspective under CMIP5 scenarios  (2013)</w:t>
      </w:r>
    </w:p>
    <w:p>
      <w:r>
        <w:t>To quantify changes in air pollution in Europe at the 2050 horizon, we designed a comprehensive modelling system that captures the external factors considered to be most relevant and relies on up-to-date and consistent sets of air pollution and climate policy scenarios. We explored two diverse scenarios: a reference scenario where climate policies are absent and a mitigation scenario which limits global temperature rise to within 2 °C by the end of this century.</w:t>
      </w:r>
    </w:p>
    <w:p>
      <w:pPr>
        <w:spacing w:after="240"/>
      </w:pPr>
      <w:r>
        <w:rPr>
          <w:b/>
          <w:sz w:val="16"/>
        </w:rPr>
        <w:t xml:space="preserve">ORIGINAL STUDY   </w:t>
      </w:r>
      <w:r>
        <w:rPr>
          <w:sz w:val="16"/>
        </w:rPr>
        <w:t>https://doi.org/10.5194/acp-13-7451-2013</w:t>
      </w:r>
    </w:p>
    <w:p>
      <w:pPr>
        <w:pStyle w:val="Heading1"/>
      </w:pPr>
      <w:r>
        <w:t>445.  Foresight and “grand challenges” within research and innovation policies  (2013)</w:t>
      </w:r>
    </w:p>
    <w:p>
      <w:r>
        <w:t>Purpose The paper seeks to discuss how foresight is used to understand the implications of global changes for research and innovation policies. It aims to present a recent Irish case study that identified grand challenges in the national context, with their implications for research and innovation.</w:t>
      </w:r>
    </w:p>
    <w:p>
      <w:pPr>
        <w:spacing w:after="240"/>
      </w:pPr>
      <w:r>
        <w:rPr>
          <w:b/>
          <w:sz w:val="16"/>
        </w:rPr>
        <w:t xml:space="preserve">ORIGINAL STUDY   </w:t>
      </w:r>
      <w:r>
        <w:rPr>
          <w:sz w:val="16"/>
        </w:rPr>
        <w:t>https://doi.org/10.1108/14636681311310123</w:t>
      </w:r>
    </w:p>
    <w:p>
      <w:pPr>
        <w:pStyle w:val="Heading1"/>
      </w:pPr>
      <w:r>
        <w:t>446.  Foresighting addiction and lifestyles in Europe 2030+  (2013)</w:t>
      </w:r>
    </w:p>
    <w:p>
      <w:r>
        <w:t>The project invited 17 European and three international drug disorder experts to provide an initial vision and a reframing as to how scientific, technological and social advancement may impact on our understanding of addictions and lifestyles over the next 20 years («Vision 2030+»). Four mini-scenarios were designed to raise awareness that the future could go in different (possible, plausible, preferable) directions implying quite diverse individual and societal impacts.</w:t>
      </w:r>
    </w:p>
    <w:p>
      <w:pPr>
        <w:spacing w:after="240"/>
      </w:pPr>
      <w:r>
        <w:rPr>
          <w:b/>
          <w:sz w:val="16"/>
        </w:rPr>
        <w:t xml:space="preserve">ORIGINAL STUDY   </w:t>
      </w:r>
      <w:r>
        <w:rPr>
          <w:sz w:val="16"/>
        </w:rPr>
        <w:t>https://doi.org/10.1007/s40309-013-0019-0</w:t>
      </w:r>
    </w:p>
    <w:p>
      <w:pPr>
        <w:pStyle w:val="Heading1"/>
      </w:pPr>
      <w:r>
        <w:t>447.  From flood science to flood policy: the Foresight Future Flooding project seven years on  (2013)</w:t>
      </w:r>
    </w:p>
    <w:p>
      <w:r>
        <w:t>Purpose The Foresight Future Flooding (FFF) project researched flood risk in the UK to the year 2100 for central government, using scenarios and a national risk assessment model backed by qualitative analysis from panels of some 45 senior scientists.</w:t>
      </w:r>
    </w:p>
    <w:p>
      <w:pPr>
        <w:spacing w:after="240"/>
      </w:pPr>
      <w:r>
        <w:rPr>
          <w:b/>
          <w:sz w:val="16"/>
        </w:rPr>
        <w:t xml:space="preserve">ORIGINAL STUDY   </w:t>
      </w:r>
      <w:r>
        <w:rPr>
          <w:sz w:val="16"/>
        </w:rPr>
        <w:t>https://doi.org/10.1108/fs-06-2012-0046</w:t>
      </w:r>
    </w:p>
    <w:p>
      <w:pPr>
        <w:pStyle w:val="Heading1"/>
      </w:pPr>
      <w:r>
        <w:t>448.  Immigration and integration scenarios in global Europe: Forward-looking up to 2050  (2013)</w:t>
      </w:r>
    </w:p>
    <w:p>
      <w:r>
        <w:t>She proposes addressing integration of immigrants scenarios alongside demographic projections and labour market needs for future assessments of needs for immigrants and for responsible governance.</w:t>
      </w:r>
    </w:p>
    <w:p>
      <w:pPr>
        <w:spacing w:after="240"/>
      </w:pPr>
      <w:r>
        <w:rPr>
          <w:b/>
          <w:sz w:val="16"/>
        </w:rPr>
        <w:t xml:space="preserve">ORIGINAL STUDY   </w:t>
      </w:r>
      <w:r>
        <w:rPr>
          <w:sz w:val="16"/>
        </w:rPr>
        <w:t>https://doi.org/10.2298/soc1302169a</w:t>
      </w:r>
    </w:p>
    <w:p>
      <w:pPr>
        <w:pStyle w:val="Heading1"/>
      </w:pPr>
      <w:r>
        <w:t>449.  Integrated scenarios of sustainable food production and consumption in Germany  (2013)</w:t>
      </w:r>
    </w:p>
    <w:p>
      <w:r>
        <w:t>First, so-called context scenarios were formulated to describe different developments beyond the control of the relevant players, but that might have a significant impact on food production and consumption. Finally, the context and strategic food scenarios were merged and assessed to provide policy makers with a helpful ‟reality check" on different strategy options and guidance in prioritization.</w:t>
      </w:r>
    </w:p>
    <w:p>
      <w:pPr>
        <w:spacing w:after="240"/>
      </w:pPr>
      <w:r>
        <w:rPr>
          <w:b/>
          <w:sz w:val="16"/>
        </w:rPr>
        <w:t xml:space="preserve">ORIGINAL STUDY   </w:t>
      </w:r>
      <w:r>
        <w:rPr>
          <w:sz w:val="16"/>
        </w:rPr>
        <w:t>https://doi.org/10.1080/15487733.2013.11908118</w:t>
      </w:r>
    </w:p>
    <w:p>
      <w:pPr>
        <w:pStyle w:val="Heading1"/>
      </w:pPr>
      <w:r>
        <w:t>450.  Integrating field data into individual-based models of the migration of European eel larvae  (2013)</w:t>
      </w:r>
    </w:p>
    <w:p>
      <w:r>
        <w:t>We contrasted different model settings and identified the most plausible migration scenario by comparing simulation results against experimental data.</w:t>
      </w:r>
    </w:p>
    <w:p>
      <w:pPr>
        <w:spacing w:after="240"/>
      </w:pPr>
      <w:r>
        <w:rPr>
          <w:b/>
          <w:sz w:val="16"/>
        </w:rPr>
        <w:t xml:space="preserve">ORIGINAL STUDY   </w:t>
      </w:r>
      <w:r>
        <w:rPr>
          <w:sz w:val="16"/>
        </w:rPr>
        <w:t>https://doi.org/10.3354/meps10368</w:t>
      </w:r>
    </w:p>
    <w:p>
      <w:pPr>
        <w:pStyle w:val="Heading1"/>
      </w:pPr>
      <w:r>
        <w:t>451.  MARKET DRIVEN POWER PLANT INVESTMENT PERSPECTIVES IN EUROPE: CLIMATE POLICY AND TECHNOLOGY SCENARIOS UNTIL 2050 IN THE MODEL EMELIE-ESY  (2013)</w:t>
      </w:r>
    </w:p>
    <w:p>
      <w:r>
        <w:t>For the year 2050, the model projects a minor increase of power consumption of 10% under current climate policy, and a balanced pathway for consumption under ambitious climate policy compared to 2010 levels. We use the partial equilibrium model EMELIE-ESY with focus on electricity markets in order to determine how private investors optimize their generation capacity investment and operation over the horizon 2010 to 2050.</w:t>
      </w:r>
    </w:p>
    <w:p>
      <w:pPr>
        <w:spacing w:after="240"/>
      </w:pPr>
      <w:r>
        <w:rPr>
          <w:b/>
          <w:sz w:val="16"/>
        </w:rPr>
        <w:t xml:space="preserve">ORIGINAL STUDY   </w:t>
      </w:r>
      <w:r>
        <w:rPr>
          <w:sz w:val="16"/>
        </w:rPr>
        <w:t>https://doi.org/10.1142/s2010007813400071</w:t>
      </w:r>
    </w:p>
    <w:p>
      <w:pPr>
        <w:pStyle w:val="Heading1"/>
      </w:pPr>
      <w:r>
        <w:t>452.  Potential stocks and increments of woody biomass in the European Union under different management and climate scenarios  (2013)</w:t>
      </w:r>
    </w:p>
    <w:p>
      <w:r>
        <w:t>It should be investigated how biomass stock, harvests and increments will develop under different climate scenarios and two management scenarios where one is forcing to store high biomass amounts in forests and the other tries to have high increment rates and much harvested wood. Incentives which will increase the standing biomass beyond the increment optimal biomass should therefore be avoided.</w:t>
      </w:r>
    </w:p>
    <w:p>
      <w:pPr>
        <w:spacing w:after="240"/>
      </w:pPr>
      <w:r>
        <w:rPr>
          <w:b/>
          <w:sz w:val="16"/>
        </w:rPr>
        <w:t xml:space="preserve">ORIGINAL STUDY   </w:t>
      </w:r>
      <w:r>
        <w:rPr>
          <w:sz w:val="16"/>
        </w:rPr>
        <w:t>https://doi.org/10.1186/1750-0680-8-2</w:t>
      </w:r>
    </w:p>
    <w:p>
      <w:pPr>
        <w:pStyle w:val="Heading1"/>
      </w:pPr>
      <w:r>
        <w:t>453.  Scenarios for selected maritime economic functions  (2013)</w:t>
      </w:r>
    </w:p>
    <w:p>
      <w:r>
        <w:t>This paper discusses the use of scenarios in the ‘Blue Growth’ project, which was aimed at elaborating the maritime dimension of the Europe 2020 strategy, with a 15-year time horizon (2025/2030). The direct impact of the general scenarios on policy development cannot yet be evaluated.</w:t>
      </w:r>
    </w:p>
    <w:p>
      <w:pPr>
        <w:spacing w:after="240"/>
      </w:pPr>
      <w:r>
        <w:rPr>
          <w:b/>
          <w:sz w:val="16"/>
        </w:rPr>
        <w:t xml:space="preserve">ORIGINAL STUDY   </w:t>
      </w:r>
      <w:r>
        <w:rPr>
          <w:sz w:val="16"/>
        </w:rPr>
        <w:t>https://doi.org/10.1007/s40309-013-0011-8</w:t>
      </w:r>
    </w:p>
    <w:p>
      <w:pPr>
        <w:pStyle w:val="Heading1"/>
      </w:pPr>
      <w:r>
        <w:t>454.  Scenarios for the future of the European process industry - the case of the chemical industry  (2013)</w:t>
      </w:r>
    </w:p>
    <w:p>
      <w:r>
        <w:t>We studied future challenges for the European chemical industry until the year 2030. Based on the 249 qualitative statements made by the participating experts, we derived four future scenarios.</w:t>
      </w:r>
    </w:p>
    <w:p>
      <w:pPr>
        <w:spacing w:after="240"/>
      </w:pPr>
      <w:r>
        <w:rPr>
          <w:b/>
          <w:sz w:val="16"/>
        </w:rPr>
        <w:t xml:space="preserve">ORIGINAL STUDY   </w:t>
      </w:r>
      <w:r>
        <w:rPr>
          <w:sz w:val="16"/>
        </w:rPr>
        <w:t>https://doi.org/10.1007/s40309-013-0010-9</w:t>
      </w:r>
    </w:p>
    <w:p>
      <w:pPr>
        <w:pStyle w:val="Heading1"/>
      </w:pPr>
      <w:r>
        <w:t>455.  Superconductivity and the environment: a Roadmap  (2013)</w:t>
      </w:r>
    </w:p>
    <w:p>
      <w:r>
        <w:t>If we want to stabilize CO 2 levels in our atmosphere at 550 parts per million, all of that growth needs to be met by non-carbon forms of energy' (2011 Equinox Summit: Energy 2030 http://wgsi.org/publications-resources ).</w:t>
      </w:r>
    </w:p>
    <w:p>
      <w:pPr>
        <w:spacing w:after="240"/>
      </w:pPr>
      <w:r>
        <w:rPr>
          <w:b/>
          <w:sz w:val="16"/>
        </w:rPr>
        <w:t xml:space="preserve">ORIGINAL STUDY   </w:t>
      </w:r>
      <w:r>
        <w:rPr>
          <w:sz w:val="16"/>
        </w:rPr>
        <w:t>https://doi.org/10.1088/0953-2048/26/11/113001</w:t>
      </w:r>
    </w:p>
    <w:p>
      <w:pPr>
        <w:pStyle w:val="Heading1"/>
      </w:pPr>
      <w:r>
        <w:t>456.  THE CRITICAL ANALYSIS OF SCENARIO CONSTRUCTION IN THE POLISH FORESIGHT INITIATIVES  (2013)</w:t>
      </w:r>
    </w:p>
    <w:p>
      <w:r>
        <w:t>The research has been funded by the National Science Centre in Poland within a research project entitled Scenarios in future shaping and anticipation for foresight studies, project number: 4194/B/H03/2011/40. The aim of the article is to present the diagnosis of scenario method application in the Polish foresight initiatives.</w:t>
      </w:r>
    </w:p>
    <w:p>
      <w:pPr>
        <w:spacing w:after="240"/>
      </w:pPr>
      <w:r>
        <w:rPr>
          <w:b/>
          <w:sz w:val="16"/>
        </w:rPr>
        <w:t xml:space="preserve">ORIGINAL STUDY   </w:t>
      </w:r>
      <w:r>
        <w:rPr>
          <w:sz w:val="16"/>
        </w:rPr>
        <w:t>https://doi.org/10.3846/20294913.2013.809030</w:t>
      </w:r>
    </w:p>
    <w:p>
      <w:pPr>
        <w:pStyle w:val="Heading1"/>
      </w:pPr>
      <w:r>
        <w:t>457.  The EU Decarbonisation Roadmap 2050—What way to walk?  (2013)</w:t>
      </w:r>
    </w:p>
    <w:p>
      <w:r>
        <w:t>This policy option may include CDM (Clean Development Mechanism in the sense of ‘where’-flexibility) in an extended form if there are countries without emissions caps. We carry out a detailed CGE (Computable General Equilibrium) analysis of the EU Decarbonisation Roadmap 2050 on a macroeconomic and on a sectoral level.</w:t>
      </w:r>
    </w:p>
    <w:p>
      <w:pPr>
        <w:spacing w:after="240"/>
      </w:pPr>
      <w:r>
        <w:rPr>
          <w:b/>
          <w:sz w:val="16"/>
        </w:rPr>
        <w:t xml:space="preserve">ORIGINAL STUDY   </w:t>
      </w:r>
      <w:r>
        <w:rPr>
          <w:sz w:val="16"/>
        </w:rPr>
        <w:t>https://doi.org/10.1016/j.enpol.2012.11.054</w:t>
      </w:r>
    </w:p>
    <w:p>
      <w:pPr>
        <w:pStyle w:val="Heading1"/>
      </w:pPr>
      <w:r>
        <w:t>458.  The European Unions Strategic Gas Supply Options and the Prevalence of the Southern Corridor  (2013)</w:t>
      </w:r>
    </w:p>
    <w:p>
      <w:r>
        <w:t>Current estimates predict the EU will need to import up to 80% of the gas it will consume in 2030.Already there is a strong concern about its reliance on Russian gas, especially in Eastern European countries.</w:t>
      </w:r>
    </w:p>
    <w:p>
      <w:pPr>
        <w:spacing w:after="240"/>
      </w:pPr>
      <w:r>
        <w:rPr>
          <w:b/>
          <w:sz w:val="16"/>
        </w:rPr>
        <w:t xml:space="preserve">ORIGINAL STUDY   </w:t>
      </w:r>
      <w:r>
        <w:rPr>
          <w:sz w:val="16"/>
        </w:rPr>
        <w:t>https://doi.org/10.54648/eerr2013040</w:t>
      </w:r>
    </w:p>
    <w:p>
      <w:pPr>
        <w:pStyle w:val="Heading1"/>
      </w:pPr>
      <w:r>
        <w:t>459.  Toward Identification of the Priority Lines of Research in Nanotechnology on the Basis of the Technology Foresight NT for Podlaskie 2020  (2013)</w:t>
      </w:r>
    </w:p>
    <w:p>
      <w:r>
        <w:t>Foresight projects have been used across the world in the process of anticipating the future by governments, regional authorities, companies and S&amp;R institutes.Foresight, together with its specific research tools and terminology, is becoming increasingly important also in Poland.From nearly 50 foresight projects implemented in Poland most of them is related with the technology and research development.The key issue of foresight methodology is to identify the key technologies/priority line of research.The paper presents a methodology of selection of priority lines of research in nanotechnology at regional scale.</w:t>
      </w:r>
    </w:p>
    <w:p>
      <w:pPr>
        <w:spacing w:after="240"/>
      </w:pPr>
      <w:r>
        <w:rPr>
          <w:b/>
          <w:sz w:val="16"/>
        </w:rPr>
        <w:t xml:space="preserve">ORIGINAL STUDY   </w:t>
      </w:r>
      <w:r>
        <w:rPr>
          <w:sz w:val="16"/>
        </w:rPr>
        <w:t>https://doi.org/10.7763/ijiet.2013.v3.293</w:t>
      </w:r>
    </w:p>
    <w:p>
      <w:pPr>
        <w:pStyle w:val="Heading1"/>
      </w:pPr>
      <w:r>
        <w:t>460.  Towards Europe 2035 - In Search of the Archimedean Screw: FOCUS in Perspective  (2013)</w:t>
      </w:r>
    </w:p>
    <w:p>
      <w:r>
        <w:t>Approaches and results from the FOCUS project centred on the planning of security research in the 2035 time frame to support foresighted EU security missions.In a follow-up, they could be carried further to help provide a framework for analyzing long-term trends and dynamic interactions in a global environment undergoing tectonic changes, reaching beyond the FOCUS mission to explore new contexts of civil security research in support of possible future EU mission scenarios.European developments are in large part driven by challenging global developments, reaching beyond external risks and threats to which the EU needs to respond.This article thus explores the complementarity of the FOCUS framework and the concurrent fifth NIC Report "Global Trends 2030: Alternative Worlds" of the US National Intelligence Council (NIC) in search of a framework for assessing the impact of global dynamics on the inner dynamics of global players, with the EU as a special case.</w:t>
      </w:r>
    </w:p>
    <w:p>
      <w:pPr>
        <w:spacing w:after="240"/>
      </w:pPr>
      <w:r>
        <w:rPr>
          <w:b/>
          <w:sz w:val="16"/>
        </w:rPr>
        <w:t xml:space="preserve">ORIGINAL STUDY   </w:t>
      </w:r>
      <w:r>
        <w:rPr>
          <w:sz w:val="16"/>
        </w:rPr>
        <w:t>https://doi.org/10.11610/isij.2912</w:t>
      </w:r>
    </w:p>
    <w:p>
      <w:pPr>
        <w:pStyle w:val="Heading1"/>
      </w:pPr>
      <w:r>
        <w:t>461.  Warming increases plant biomass and reduces diversity across continents, latitudes, and species migration scenarios in experimental wetland communities  (2013)</w:t>
      </w:r>
    </w:p>
    <w:p>
      <w:r>
        <w:t>These results reveal for the first time consistent impacts of warming on biomass and species richness for temperate wetland plant communities across continents, latitudes, and migration scenarios. Atmospheric warming may influence plant productivity and diversity and induce poleward migration of species, altering communities across latitudes.</w:t>
      </w:r>
    </w:p>
    <w:p>
      <w:pPr>
        <w:spacing w:after="240"/>
      </w:pPr>
      <w:r>
        <w:rPr>
          <w:b/>
          <w:sz w:val="16"/>
        </w:rPr>
        <w:t xml:space="preserve">ORIGINAL STUDY   </w:t>
      </w:r>
      <w:r>
        <w:rPr>
          <w:sz w:val="16"/>
        </w:rPr>
        <w:t>https://doi.org/10.1111/gcb.12378</w:t>
      </w:r>
    </w:p>
    <w:p>
      <w:pPr>
        <w:pStyle w:val="Heading1"/>
      </w:pPr>
      <w:r>
        <w:t>462.  A history of futures: A review of scenario use in water policy studies in the Netherlands  (2012)</w:t>
      </w:r>
    </w:p>
    <w:p>
      <w:r>
        <w:t>Based on two criteria, 'Decision robustness' and 'Learning success', we conclude that (1) the possibilities for robust decisionmaking increased through a paradigm shift from predicting to exploring futures, but the scenario method is not yet fully exploited for decisionmaking under uncertainty; and (2) the scenarios enabled learning about possible impacts of developments and effectiveness of policy options.</w:t>
      </w:r>
    </w:p>
    <w:p>
      <w:pPr>
        <w:spacing w:after="240"/>
      </w:pPr>
      <w:r>
        <w:rPr>
          <w:b/>
          <w:sz w:val="16"/>
        </w:rPr>
        <w:t xml:space="preserve">ORIGINAL STUDY   </w:t>
      </w:r>
      <w:r>
        <w:rPr>
          <w:sz w:val="16"/>
        </w:rPr>
        <w:t>https://doi.org/10.1016/j.envsci.2012.03.002</w:t>
      </w:r>
    </w:p>
    <w:p>
      <w:pPr>
        <w:pStyle w:val="Heading1"/>
      </w:pPr>
      <w:r>
        <w:t>463.  After-crisis Scenarios for the European Regions  (2012)</w:t>
      </w:r>
    </w:p>
    <w:p>
      <w:r>
        <w:t>What is called a “reference scenario” is built under the assumption that there will be a perception that structural changes will happen, that an extrapolation of past trends has no meaning at all, but that policies will not act in an effective way. This scenario will be compared to a second one, called the pro-active scenario, in which changes will be perceived and even anticipated; and to the re-active or defensive one, based on the assumptions that changes are not fully perceived by economic actors.</w:t>
      </w:r>
    </w:p>
    <w:p>
      <w:pPr>
        <w:spacing w:after="240"/>
      </w:pPr>
      <w:r>
        <w:rPr>
          <w:b/>
          <w:sz w:val="16"/>
        </w:rPr>
        <w:t xml:space="preserve">ORIGINAL STUDY   </w:t>
      </w:r>
      <w:r>
        <w:rPr>
          <w:sz w:val="16"/>
        </w:rPr>
        <w:t>https://doi.org/10.2457/srs.42.3</w:t>
      </w:r>
    </w:p>
    <w:p>
      <w:pPr>
        <w:pStyle w:val="Heading1"/>
      </w:pPr>
      <w:r>
        <w:t>464.  An assessment of the impact of climate adaptation measures to reduce flood risk on ecosystem services  (2012)</w:t>
      </w:r>
    </w:p>
    <w:p>
      <w:r>
        <w:t>Therefore, it is likely that adaptation measures may result in synergies and trade-offs between a range of ecosystems goods and services. The reference scenario is compared to a policy scenario in which a range of measures is implemented to regulate flood risk and protect soils under conditions of climate change.</w:t>
      </w:r>
    </w:p>
    <w:p>
      <w:pPr>
        <w:spacing w:after="240"/>
      </w:pPr>
      <w:r>
        <w:rPr>
          <w:b/>
          <w:sz w:val="16"/>
        </w:rPr>
        <w:t xml:space="preserve">ORIGINAL STUDY   </w:t>
      </w:r>
      <w:r>
        <w:rPr>
          <w:sz w:val="16"/>
        </w:rPr>
        <w:t>https://doi.org/10.1007/s10980-012-9715-6</w:t>
      </w:r>
    </w:p>
    <w:p>
      <w:pPr>
        <w:pStyle w:val="Heading1"/>
      </w:pPr>
      <w:r>
        <w:t>465.  Backcasting scenarios for Finland 2050 of low emissions  (2012)</w:t>
      </w:r>
    </w:p>
    <w:p>
      <w:r>
        <w:t>It is important to note, however, that in the way the exercise was carried out in this case, it is only possible to view future development through qualitative arguments. Purpose The objective of this paper is to present an example on how futures studies methodologies, especially backcasting, can be used to assist public policy formulation.</w:t>
      </w:r>
    </w:p>
    <w:p>
      <w:pPr>
        <w:spacing w:after="240"/>
      </w:pPr>
      <w:r>
        <w:rPr>
          <w:b/>
          <w:sz w:val="16"/>
        </w:rPr>
        <w:t xml:space="preserve">ORIGINAL STUDY   </w:t>
      </w:r>
      <w:r>
        <w:rPr>
          <w:sz w:val="16"/>
        </w:rPr>
        <w:t>https://doi.org/10.1108/14636681211256099</w:t>
      </w:r>
    </w:p>
    <w:p>
      <w:pPr>
        <w:pStyle w:val="Heading1"/>
      </w:pPr>
      <w:r>
        <w:t>466.  FORECASTED TRENDS IN CHANGES OF VEGETATION IN THE EUROPEAN PART OF RUSSIA IN CONNECTION WITH GLOBAL WARMING  (2012)</w:t>
      </w:r>
    </w:p>
    <w:p>
      <w:r>
        <w:t>The models are used to forecast changes in the boundaries of the vegetation sub-zones and of forest stands productivity in the European Part of Russia and on the adjacent areas for 2046–2065 under one of the scenarios of global warming.</w:t>
      </w:r>
    </w:p>
    <w:p>
      <w:pPr>
        <w:spacing w:after="240"/>
      </w:pPr>
      <w:r>
        <w:rPr>
          <w:b/>
          <w:sz w:val="16"/>
        </w:rPr>
        <w:t xml:space="preserve">ORIGINAL STUDY   </w:t>
      </w:r>
      <w:r>
        <w:rPr>
          <w:sz w:val="16"/>
        </w:rPr>
        <w:t>https://doi.org/10.24057/2071-9388-2012-5-4-4-16</w:t>
      </w:r>
    </w:p>
    <w:p>
      <w:pPr>
        <w:pStyle w:val="Heading1"/>
      </w:pPr>
      <w:r>
        <w:t>467.  Facing the future: Scanning, synthesizing and sense-making in horizon scanning  (2012)</w:t>
      </w:r>
    </w:p>
    <w:p>
      <w:r>
        <w:t>In this paper, we discuss key issues in harnessing horizon scanning to shape systemic policies, particularly in the light of the foresight exercise ‘Facing the future: Time for the EU to meet global challenges' which was carried out for the Bureau of European Policy Advisors. This exercise illustrates how horizon scanning can enable collective sense-making processes which assist in the identification of emerging signals and policy issues; the synthesis of such issues into encompassing clusters; and the interpretation of resulting clusters as an important step towards the coordinated development of joint policy measures.</w:t>
      </w:r>
    </w:p>
    <w:p>
      <w:pPr>
        <w:spacing w:after="240"/>
      </w:pPr>
      <w:r>
        <w:rPr>
          <w:b/>
          <w:sz w:val="16"/>
        </w:rPr>
        <w:t xml:space="preserve">ORIGINAL STUDY   </w:t>
      </w:r>
      <w:r>
        <w:rPr>
          <w:sz w:val="16"/>
        </w:rPr>
        <w:t>https://doi.org/10.1093/scipol/scs021</w:t>
      </w:r>
    </w:p>
    <w:p>
      <w:pPr>
        <w:pStyle w:val="Heading1"/>
      </w:pPr>
      <w:r>
        <w:t>468.  Future air quality in Europe: a multi-model assessment of projected exposure to ozone  (2012)</w:t>
      </w:r>
    </w:p>
    <w:p>
      <w:r>
        <w:t>We conclude that air pollution mitigation measures (present in both scenarios) are the main factors leading to the improvement, but an additional cobenefit of at least 40% (depending on the indicator) is brought about by the climate policy. In order to explore future air quality in Europe at the 2030 horizon, two emission scenarios developed in the framework of the Global Energy Assessment including varying assumptions on climate and energy access policies are investigated with an ensemble of six regional and global atmospheric chemistry transport models.</w:t>
      </w:r>
    </w:p>
    <w:p>
      <w:pPr>
        <w:spacing w:after="240"/>
      </w:pPr>
      <w:r>
        <w:rPr>
          <w:b/>
          <w:sz w:val="16"/>
        </w:rPr>
        <w:t xml:space="preserve">ORIGINAL STUDY   </w:t>
      </w:r>
      <w:r>
        <w:rPr>
          <w:sz w:val="16"/>
        </w:rPr>
        <w:t>https://doi.org/10.5194/acp-12-10613-2012</w:t>
      </w:r>
    </w:p>
    <w:p>
      <w:pPr>
        <w:pStyle w:val="Heading1"/>
      </w:pPr>
      <w:r>
        <w:t>469.  Impact of climate change on ozone-related mortality and morbidity in Europe  (2012)</w:t>
      </w:r>
    </w:p>
    <w:p>
      <w:r>
        <w:t>Comparing the baseline period and the future periods (2021-2050 and 2041-2060), much larger increases in ozone-related mortality and morbidity are projected for Belgium, France, Spain and Portugal, with the impact being stronger using the climate projection from ECHAM4 (A2).</w:t>
      </w:r>
    </w:p>
    <w:p>
      <w:pPr>
        <w:spacing w:after="240"/>
      </w:pPr>
      <w:r>
        <w:rPr>
          <w:b/>
          <w:sz w:val="16"/>
        </w:rPr>
        <w:t xml:space="preserve">ORIGINAL STUDY   </w:t>
      </w:r>
      <w:r>
        <w:rPr>
          <w:sz w:val="16"/>
        </w:rPr>
        <w:t>https://doi.org/10.1183/09031936.00210411</w:t>
      </w:r>
    </w:p>
    <w:p>
      <w:pPr>
        <w:pStyle w:val="Heading1"/>
      </w:pPr>
      <w:r>
        <w:t>470.  Implications of sustainability constraints on UK bioenergy development: Assessing optimistic and precautionary approaches with UK MARKAL  (2012)</w:t>
      </w:r>
    </w:p>
    <w:p>
      <w:r>
        <w:t>The paper then examines the implications of these scenarios using the energy systems model MARKAL, finding that a precautionary approach adds to the cost of decarbonisation, but does not significantly alter the optimal technology mix.</w:t>
      </w:r>
    </w:p>
    <w:p>
      <w:pPr>
        <w:spacing w:after="240"/>
      </w:pPr>
      <w:r>
        <w:rPr>
          <w:b/>
          <w:sz w:val="16"/>
        </w:rPr>
        <w:t xml:space="preserve">ORIGINAL STUDY   </w:t>
      </w:r>
      <w:r>
        <w:rPr>
          <w:sz w:val="16"/>
        </w:rPr>
        <w:t>https://doi.org/10.1016/j.enpol.2012.05.015</w:t>
      </w:r>
    </w:p>
    <w:p>
      <w:pPr>
        <w:pStyle w:val="Heading1"/>
      </w:pPr>
      <w:r>
        <w:t>471.  Linking Local Food Systems and the Social Economy? Future Roles for Farmers' Markets in Alberta and British Columbia*  (2012)</w:t>
      </w:r>
    </w:p>
    <w:p>
      <w:r>
        <w:t>We used the Delphi method of inquiry to solicit and synthesize perspectives on the future role of farmers' markets within local food systems and the social economy from farmers' market vendors, market managers, and policy and government representatives in each province. Results confirm the need for further investigation of the relationship between the social economy, infrastructure, and authenticity in the development of local food systems.</w:t>
      </w:r>
    </w:p>
    <w:p>
      <w:pPr>
        <w:spacing w:after="240"/>
      </w:pPr>
      <w:r>
        <w:rPr>
          <w:b/>
          <w:sz w:val="16"/>
        </w:rPr>
        <w:t xml:space="preserve">ORIGINAL STUDY   </w:t>
      </w:r>
      <w:r>
        <w:rPr>
          <w:sz w:val="16"/>
        </w:rPr>
        <w:t>https://doi.org/10.1111/j.1549-0831.2011.00068.x</w:t>
      </w:r>
    </w:p>
    <w:p>
      <w:pPr>
        <w:pStyle w:val="Heading1"/>
      </w:pPr>
      <w:r>
        <w:t>472.  New Emerging Issues and Wild Cards as Future Shakers and Shapers  (2012)</w:t>
      </w:r>
    </w:p>
    <w:p>
      <w:r>
        <w:t>The projects resulted in the evaluation of current methods for obtaining and processing scanning data and new conceptual thinking that may bridge the gap between scanning activities and policy-making.</w:t>
      </w:r>
    </w:p>
    <w:p>
      <w:pPr>
        <w:spacing w:after="240"/>
      </w:pPr>
      <w:r>
        <w:rPr>
          <w:b/>
          <w:sz w:val="16"/>
        </w:rPr>
        <w:t xml:space="preserve">ORIGINAL STUDY   </w:t>
      </w:r>
      <w:r>
        <w:rPr>
          <w:sz w:val="16"/>
        </w:rPr>
        <w:t>https://doi.org/10.17323/1995-459x.2012.1.60.73</w:t>
      </w:r>
    </w:p>
    <w:p>
      <w:pPr>
        <w:pStyle w:val="Heading1"/>
      </w:pPr>
      <w:r>
        <w:t>473.  REMIND-D: A Hybrid Energy-Economy Model of Germany  (2012)</w:t>
      </w:r>
    </w:p>
    <w:p>
      <w:r>
        <w:t>The model provides a quantitative framework for analyzing long-term domestic CO2 emission reduction scenarios.</w:t>
      </w:r>
    </w:p>
    <w:p>
      <w:pPr>
        <w:spacing w:after="240"/>
      </w:pPr>
      <w:r>
        <w:rPr>
          <w:b/>
          <w:sz w:val="16"/>
        </w:rPr>
        <w:t xml:space="preserve">ORIGINAL STUDY   </w:t>
      </w:r>
      <w:r>
        <w:rPr>
          <w:sz w:val="16"/>
        </w:rPr>
        <w:t>https://doi.org/10.22004/ag.econ.121911</w:t>
      </w:r>
    </w:p>
    <w:p>
      <w:pPr>
        <w:pStyle w:val="Heading1"/>
      </w:pPr>
      <w:r>
        <w:t>474.  Scenarios of the organic food market in Europe  (2012)</w:t>
      </w:r>
    </w:p>
    <w:p>
      <w:r>
        <w:t>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pPr>
        <w:spacing w:after="240"/>
      </w:pPr>
      <w:r>
        <w:rPr>
          <w:b/>
          <w:sz w:val="16"/>
        </w:rPr>
        <w:t xml:space="preserve">ORIGINAL STUDY   </w:t>
      </w:r>
      <w:r>
        <w:rPr>
          <w:sz w:val="16"/>
        </w:rPr>
        <w:t>https://doi.org/10.1016/j.foodpol.2011.10.003</w:t>
      </w:r>
    </w:p>
    <w:p>
      <w:pPr>
        <w:pStyle w:val="Heading1"/>
      </w:pPr>
      <w:r>
        <w:t>475.  Suitability of European climate for the Asian tiger mosquito Aedes albopictus : recent trends and future scenarios  (2012)</w:t>
      </w:r>
    </w:p>
    <w:p>
      <w:r>
        <w:t>Similar trends are likely in the future, with an increased risk simulated over northern Europe and slightly decreased risk over southern Europe. These distribution shifts are related to wetter and warmer conditions favouring the overwintering of A. albopictus in the north, and drier and warmer summers that might limit its southward expansion.</w:t>
      </w:r>
    </w:p>
    <w:p>
      <w:pPr>
        <w:spacing w:after="240"/>
      </w:pPr>
      <w:r>
        <w:rPr>
          <w:b/>
          <w:sz w:val="16"/>
        </w:rPr>
        <w:t xml:space="preserve">ORIGINAL STUDY   </w:t>
      </w:r>
      <w:r>
        <w:rPr>
          <w:sz w:val="16"/>
        </w:rPr>
        <w:t>https://doi.org/10.1098/rsif.2012.0138</w:t>
      </w:r>
    </w:p>
    <w:p>
      <w:pPr>
        <w:pStyle w:val="Heading1"/>
      </w:pPr>
      <w:r>
        <w:t>476.  Ten years of health workforce planning in the Netherlands: a tentative evaluation of GP planning as an example  (2012)</w:t>
      </w:r>
    </w:p>
    <w:p>
      <w:r>
        <w:t>A comparison is made of the results of different scenarios for different years.</w:t>
      </w:r>
    </w:p>
    <w:p>
      <w:pPr>
        <w:spacing w:after="240"/>
      </w:pPr>
      <w:r>
        <w:rPr>
          <w:b/>
          <w:sz w:val="16"/>
        </w:rPr>
        <w:t xml:space="preserve">ORIGINAL STUDY   </w:t>
      </w:r>
      <w:r>
        <w:rPr>
          <w:sz w:val="16"/>
        </w:rPr>
        <w:t>https://doi.org/10.1186/1478-4491-10-21</w:t>
      </w:r>
    </w:p>
    <w:p>
      <w:pPr>
        <w:pStyle w:val="Heading1"/>
      </w:pPr>
      <w:r>
        <w:t>477.  The CIRCE Simulations: Regional Climate Change Projections with Realistic Representation of the Mediterranean Sea  (2012)</w:t>
      </w:r>
    </w:p>
    <w:p>
      <w:r>
        <w:t>The models have been integrated from 1951 to 2050, using observed radiative forcings during the first half of the simulation period and the Intergovernmental Panel on Climate Change (IPCC) Special Report on Emissions Scenarios (SRES) A1B scenario during the second half. The projections show a substantial warming (about 1.5°–2°C) and a significant decrease of precipitation (about 5%) in the region for the scenario period.</w:t>
      </w:r>
    </w:p>
    <w:p>
      <w:pPr>
        <w:spacing w:after="240"/>
      </w:pPr>
      <w:r>
        <w:rPr>
          <w:b/>
          <w:sz w:val="16"/>
        </w:rPr>
        <w:t xml:space="preserve">ORIGINAL STUDY   </w:t>
      </w:r>
      <w:r>
        <w:rPr>
          <w:sz w:val="16"/>
        </w:rPr>
        <w:t>https://doi.org/10.1175/bams-d-11-00136.1</w:t>
      </w:r>
    </w:p>
    <w:p>
      <w:pPr>
        <w:pStyle w:val="Heading1"/>
      </w:pPr>
      <w:r>
        <w:t>478.  The Great Future Debate and the Struggle for the World  (2012)</w:t>
      </w:r>
    </w:p>
    <w:p>
      <w:r>
        <w:t>Futurists had radically different understandings not only of what the future was and the way it could be studied, but also of the ways in which prediction could be used to control or protest certain futures. She is the holder of an ERC Starting Investigator Grant for the project Futurepol: A Political History of the Future—Knowledge Production and Future Governance, 1945–2010, and is currently working on a book on the global history of the future.</w:t>
      </w:r>
    </w:p>
    <w:p>
      <w:pPr>
        <w:spacing w:after="240"/>
      </w:pPr>
      <w:r>
        <w:rPr>
          <w:b/>
          <w:sz w:val="16"/>
        </w:rPr>
        <w:t xml:space="preserve">ORIGINAL STUDY   </w:t>
      </w:r>
      <w:r>
        <w:rPr>
          <w:sz w:val="16"/>
        </w:rPr>
        <w:t>https://doi.org/10.1093/ahr/117.5.1411</w:t>
      </w:r>
    </w:p>
    <w:p>
      <w:pPr>
        <w:pStyle w:val="Heading1"/>
      </w:pPr>
      <w:r>
        <w:t>479.  The future of direct payments system in the EU agriculture; European Commission scenarios  (2012)</w:t>
      </w:r>
    </w:p>
    <w:p>
      <w:r>
        <w:t>Different scenarios of the current system adjustments, as proposed by the European Commission, are presented.</w:t>
      </w:r>
    </w:p>
    <w:p>
      <w:pPr>
        <w:spacing w:after="240"/>
      </w:pPr>
      <w:r>
        <w:rPr>
          <w:b/>
          <w:sz w:val="16"/>
        </w:rPr>
        <w:t xml:space="preserve">ORIGINAL STUDY   </w:t>
      </w:r>
      <w:r>
        <w:rPr>
          <w:sz w:val="16"/>
        </w:rPr>
        <w:t>https://doi.org/10.22630/prs.2012.12.3.38</w:t>
      </w:r>
    </w:p>
    <w:p>
      <w:pPr>
        <w:pStyle w:val="Heading1"/>
      </w:pPr>
      <w:r>
        <w:t>480.  The use of probabilistic weather generator information for climate change adaptation in the UK water sector  (2012)</w:t>
      </w:r>
    </w:p>
    <w:p>
      <w:r>
        <w:t>With regards to the second assumption, it is suggested that modelling activity should identify the range of plausible futures to develop probabilities of risk, using those robust decision-making techniques which can gauge the performance of potential adaptation strategies.</w:t>
      </w:r>
    </w:p>
    <w:p>
      <w:pPr>
        <w:spacing w:after="240"/>
      </w:pPr>
      <w:r>
        <w:rPr>
          <w:b/>
          <w:sz w:val="16"/>
        </w:rPr>
        <w:t xml:space="preserve">ORIGINAL STUDY   </w:t>
      </w:r>
      <w:r>
        <w:rPr>
          <w:sz w:val="16"/>
        </w:rPr>
        <w:t>https://doi.org/10.1002/met.1335</w:t>
      </w:r>
    </w:p>
    <w:p>
      <w:pPr>
        <w:pStyle w:val="Heading1"/>
      </w:pPr>
      <w:r>
        <w:t>481.  Using scenarios to assess the future supply of NHS nursing staff in England  (2012)</w:t>
      </w:r>
    </w:p>
    <w:p>
      <w:r>
        <w:t>It is important that different scenarios are considered that may be regarded as possible futures, based on a realistic assessment of the available workforce data, policies and broader labour market and funding outlook. Based on available workforce data, the paper reviews different possible scenarios for the supply of NHS nurses over a ten year period, assessing the impact of different numbers of new staff being trained and of varying retirement patterns from the ageing profession.The government in England has more policy levers available than is the case in many other countries.</w:t>
      </w:r>
    </w:p>
    <w:p>
      <w:pPr>
        <w:spacing w:after="240"/>
      </w:pPr>
      <w:r>
        <w:rPr>
          <w:b/>
          <w:sz w:val="16"/>
        </w:rPr>
        <w:t xml:space="preserve">ORIGINAL STUDY   </w:t>
      </w:r>
      <w:r>
        <w:rPr>
          <w:sz w:val="16"/>
        </w:rPr>
        <w:t>https://doi.org/10.1186/1478-4491-10-16</w:t>
      </w:r>
    </w:p>
    <w:p>
      <w:pPr>
        <w:pStyle w:val="Heading1"/>
      </w:pPr>
      <w:r>
        <w:t>482.  What We Hope, What We Fear, What We Expect: Possible Scenarios for the Future of the Eurozone  (2012)</w:t>
      </w:r>
    </w:p>
    <w:p>
      <w:r>
        <w:t>Starting with the reforms of European economic governance hitherto agreed, this article develops three scenarios for the eurozone and explores their possible impact on the EU in general.</w:t>
      </w:r>
    </w:p>
    <w:p>
      <w:pPr>
        <w:spacing w:after="240"/>
      </w:pPr>
      <w:r>
        <w:rPr>
          <w:b/>
          <w:sz w:val="16"/>
        </w:rPr>
        <w:t xml:space="preserve">ORIGINAL STUDY   </w:t>
      </w:r>
      <w:r>
        <w:rPr>
          <w:sz w:val="16"/>
        </w:rPr>
        <w:t>https://doi.org/10.1007/s12290-012-0210-x</w:t>
      </w:r>
    </w:p>
    <w:p>
      <w:pPr>
        <w:pStyle w:val="Heading1"/>
      </w:pPr>
      <w:r>
        <w:t>483.  Will climate change affect the electricity production sector? A European study  (2012)</w:t>
      </w:r>
    </w:p>
    <w:p>
      <w:r>
        <w:t>Depending on the scenario, water withdrawals in thermal electricity production would increase by 64% or decrease by 92% between 2005 and 2050. Hot spots identified in the Economy First scenario indicate increasing competition for freshwater resources for the thermal electricity production sector.</w:t>
      </w:r>
    </w:p>
    <w:p>
      <w:pPr>
        <w:spacing w:after="240"/>
      </w:pPr>
      <w:r>
        <w:rPr>
          <w:b/>
          <w:sz w:val="16"/>
        </w:rPr>
        <w:t xml:space="preserve">ORIGINAL STUDY   </w:t>
      </w:r>
      <w:r>
        <w:rPr>
          <w:sz w:val="16"/>
        </w:rPr>
        <w:t>https://doi.org/10.2166/wcc.2012.066</w:t>
      </w:r>
    </w:p>
    <w:p>
      <w:pPr>
        <w:pStyle w:val="Heading1"/>
      </w:pPr>
      <w:r>
        <w:t>484.  ‘Energy landscapes’: Meeting energy demands and human aspirations  (2012)</w:t>
      </w:r>
    </w:p>
    <w:p>
      <w:r>
        <w:t>A critical question considered in this article is whether a massive expansion in the use of biomass will allow us to construct future scenarios while repositioning the 'energy landscape' as an object of study.</w:t>
      </w:r>
    </w:p>
    <w:p>
      <w:pPr>
        <w:spacing w:after="240"/>
      </w:pPr>
      <w:r>
        <w:rPr>
          <w:b/>
          <w:sz w:val="16"/>
        </w:rPr>
        <w:t xml:space="preserve">ORIGINAL STUDY   </w:t>
      </w:r>
      <w:r>
        <w:rPr>
          <w:sz w:val="16"/>
        </w:rPr>
        <w:t>https://doi.org/10.1016/j.biombioe.2012.11.022</w:t>
      </w:r>
    </w:p>
    <w:p>
      <w:pPr>
        <w:pStyle w:val="Heading1"/>
      </w:pPr>
      <w:r>
        <w:t>485.  Actual and potential development of consumer demand on the organic food market in Europe  (2011)</w:t>
      </w:r>
    </w:p>
    <w:p>
      <w:r>
        <w:t>A likely scenario for future demand is that of continued stable expansion, dependent upon whether increasing input costs will favour organic production, whether the relative gap between organic and conventional food prices becomes smaller, whether organic products will be distributed more widely on national markets, and whether support for research and conversion of organic production systems on the part of public authorities is enhanced.</w:t>
      </w:r>
    </w:p>
    <w:p>
      <w:pPr>
        <w:spacing w:after="240"/>
      </w:pPr>
      <w:r>
        <w:rPr>
          <w:b/>
          <w:sz w:val="16"/>
        </w:rPr>
        <w:t xml:space="preserve">ORIGINAL STUDY   </w:t>
      </w:r>
      <w:r>
        <w:rPr>
          <w:sz w:val="16"/>
        </w:rPr>
        <w:t>https://doi.org/10.1016/j.njas.2011.01.005</w:t>
      </w:r>
    </w:p>
    <w:p>
      <w:pPr>
        <w:pStyle w:val="Heading1"/>
      </w:pPr>
      <w:r>
        <w:t>486.  Ageing population and labour productivity in Bulgaria  (2011)</w:t>
      </w:r>
    </w:p>
    <w:p>
      <w:r>
        <w:t>Recent literature has shown that it is difficult to ascertain the impact of an ageing population on labour productivity.According to the majority of studies, workforce ageing leads to lower employment and a decline in the professional skills of the employed, so we should expect that it has a negative impact on technological changes and productivity.In this article, we present a review of studies on this issue.After that, an empirical study for Bulgaria is provided using sensitivity tests of long-term projections of labour productivity (to 2050), based on population number and age distribution.A model of the International Labour Organisation (ILO) is applied which allows us to calculate three variants of changing age, number and structure of population, assuming three different rates of improvement in life expectancy -fast, medium and slow.The study confirms that an ageing population has a negative effect on labour productivity.The timeframe is long but, with that limitation in mind, the overall direction of the trend is clear.The article concludes with some policy considerations to help ameliorate the effects of Bulgaria's demographic challenge.</w:t>
      </w:r>
    </w:p>
    <w:p>
      <w:pPr>
        <w:spacing w:after="240"/>
      </w:pPr>
      <w:r>
        <w:rPr>
          <w:b/>
          <w:sz w:val="16"/>
        </w:rPr>
        <w:t xml:space="preserve">ORIGINAL STUDY   </w:t>
      </w:r>
      <w:r>
        <w:rPr>
          <w:sz w:val="16"/>
        </w:rPr>
        <w:t>https://doi.org/10.5771/1435-2869-2011-4-521</w:t>
      </w:r>
    </w:p>
    <w:p>
      <w:pPr>
        <w:pStyle w:val="Heading1"/>
      </w:pPr>
      <w:r>
        <w:t>487.  Climate, competition and connectivity affect future migration and ranges of European trees  (2011)</w:t>
      </w:r>
    </w:p>
    <w:p>
      <w:r>
        <w:t>ABSTRACT Aim Species ranges have adapted during the Holocene to altering climate conditions, but it remains unclear if species will be able to keep pace with recent and future climate change. To predict future species ranges from these models, we applied three migration scenarios: no migration, unlimited migration and realistic migration.</w:t>
      </w:r>
    </w:p>
    <w:p>
      <w:pPr>
        <w:spacing w:after="240"/>
      </w:pPr>
      <w:r>
        <w:rPr>
          <w:b/>
          <w:sz w:val="16"/>
        </w:rPr>
        <w:t xml:space="preserve">ORIGINAL STUDY   </w:t>
      </w:r>
      <w:r>
        <w:rPr>
          <w:sz w:val="16"/>
        </w:rPr>
        <w:t>https://doi.org/10.1111/j.1466-8238.2011.00669.x</w:t>
      </w:r>
    </w:p>
    <w:p>
      <w:pPr>
        <w:pStyle w:val="Heading1"/>
      </w:pPr>
      <w:r>
        <w:t>488.  Current and Future Issues in BPM Research: A European Perspective from the ERCIS Meeting 2010  (2011)</w:t>
      </w:r>
    </w:p>
    <w:p>
      <w:r>
        <w:t>This article reflects on a workshop on current and future issues in BPM research that was conducted by seventeen IS researchers from eight European countries as part of the 2010 annual meeting of the European Research Center for Information Systems (ERCIS). The results of this workshop suggest that BPM research can meaningfully contribute to investigating a broad variety of phenomena that are of interest to IS scholars, ranging from rather technical (e.g., the implementation of software architectures) to managerial (e.g., the impact of organizational culture on process performance).</w:t>
      </w:r>
    </w:p>
    <w:p>
      <w:pPr>
        <w:spacing w:after="240"/>
      </w:pPr>
      <w:r>
        <w:rPr>
          <w:b/>
          <w:sz w:val="16"/>
        </w:rPr>
        <w:t xml:space="preserve">ORIGINAL STUDY   </w:t>
      </w:r>
      <w:r>
        <w:rPr>
          <w:sz w:val="16"/>
        </w:rPr>
        <w:t>https://doi.org/10.17705/1cais.02825</w:t>
      </w:r>
    </w:p>
    <w:p>
      <w:pPr>
        <w:pStyle w:val="Heading1"/>
      </w:pPr>
      <w:r>
        <w:t>489.  Demographic projections of future pharmaceutical consumption in the Netherlands  (2011)</w:t>
      </w:r>
    </w:p>
    <w:p>
      <w:r>
        <w:t>Over the next few decades, many Western European countries will undergo a large demographic transformation introduced by the retirement of the “baby boomers” and the possibility of striking increases in longevity.</w:t>
      </w:r>
    </w:p>
    <w:p>
      <w:pPr>
        <w:spacing w:after="240"/>
      </w:pPr>
      <w:r>
        <w:rPr>
          <w:b/>
          <w:sz w:val="16"/>
        </w:rPr>
        <w:t xml:space="preserve">ORIGINAL STUDY   </w:t>
      </w:r>
      <w:r>
        <w:rPr>
          <w:sz w:val="16"/>
        </w:rPr>
        <w:t>https://doi.org/10.2166/wst.2011.120</w:t>
      </w:r>
    </w:p>
    <w:p>
      <w:pPr>
        <w:pStyle w:val="Heading1"/>
      </w:pPr>
      <w:r>
        <w:t>490.  Developments in Energy use for Transport in 27 European Union Countries through 2030  (2011)</w:t>
      </w:r>
    </w:p>
    <w:p>
      <w:r>
        <w:t>As a consequence, GHG emissions by transport will decline 12% by 2030 compared with 2005; in the reference scenario in the same period, emissions are expected to grow 17%. The model suite applied in iTREN-2030 comprises POLES (prospective outlook on long-term energy systems), a simulation model for development of long-term (2050) energy supply-and-demand scenarios; TREMOVE; ASTRA (assesment of transport strategies); and TRANS-TOOLS.</w:t>
      </w:r>
    </w:p>
    <w:p>
      <w:pPr>
        <w:spacing w:after="240"/>
      </w:pPr>
      <w:r>
        <w:rPr>
          <w:b/>
          <w:sz w:val="16"/>
        </w:rPr>
        <w:t xml:space="preserve">ORIGINAL STUDY   </w:t>
      </w:r>
      <w:r>
        <w:rPr>
          <w:sz w:val="16"/>
        </w:rPr>
        <w:t>https://doi.org/10.3141/2252-05</w:t>
      </w:r>
    </w:p>
    <w:p>
      <w:pPr>
        <w:pStyle w:val="Heading1"/>
      </w:pPr>
      <w:r>
        <w:t>491.  Finland-Russia rail transport deregulation: future scenarios of market development  (2011)</w:t>
      </w:r>
    </w:p>
    <w:p>
      <w:r>
        <w:t>Three different kinds of scenarios are constructed, and based on this research, it may be concluded that deregulating third country transport would be advisable. This would promote border transports, decrease prices, and attract and boost competition in Finland’s rail transport market.</w:t>
      </w:r>
    </w:p>
    <w:p>
      <w:pPr>
        <w:spacing w:after="240"/>
      </w:pPr>
      <w:r>
        <w:rPr>
          <w:b/>
          <w:sz w:val="16"/>
        </w:rPr>
        <w:t xml:space="preserve">ORIGINAL STUDY   </w:t>
      </w:r>
      <w:r>
        <w:rPr>
          <w:sz w:val="16"/>
        </w:rPr>
        <w:t>https://doi.org/10.1504/ijstl.2011.039377</w:t>
      </w:r>
    </w:p>
    <w:p>
      <w:pPr>
        <w:pStyle w:val="Heading1"/>
      </w:pPr>
      <w:r>
        <w:t>492.  Fiscal sustainability and the accuracy of macroeconomic forecasts: Do supranational forecasts rather than government forecasts make a difference?  (2011)</w:t>
      </w:r>
    </w:p>
    <w:p>
      <w:r>
        <w:t>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pPr>
        <w:spacing w:after="240"/>
      </w:pPr>
      <w:r>
        <w:rPr>
          <w:b/>
          <w:sz w:val="16"/>
        </w:rPr>
        <w:t xml:space="preserve">ORIGINAL STUDY   </w:t>
      </w:r>
      <w:r>
        <w:rPr>
          <w:sz w:val="16"/>
        </w:rPr>
        <w:t>https://doi.org/10.1504/ijse.2011.039440</w:t>
      </w:r>
    </w:p>
    <w:p>
      <w:pPr>
        <w:pStyle w:val="Heading1"/>
      </w:pPr>
      <w:r>
        <w:t>493.  Food futures: system transitions towards UK food security  (2011)</w:t>
      </w:r>
    </w:p>
    <w:p>
      <w:r>
        <w:t>This article explains how scenarios of this kind can try and capture landscape pressures which might threaten the dominant paradigm and leave room for niche activity to challenge the mainstream.</w:t>
      </w:r>
    </w:p>
    <w:p>
      <w:pPr>
        <w:spacing w:after="240"/>
      </w:pPr>
      <w:r>
        <w:rPr>
          <w:b/>
          <w:sz w:val="16"/>
        </w:rPr>
        <w:t xml:space="preserve">ORIGINAL STUDY   </w:t>
      </w:r>
      <w:r>
        <w:rPr>
          <w:sz w:val="16"/>
        </w:rPr>
        <w:t>https://doi.org/10.4337/jhre.2011.02.04</w:t>
      </w:r>
    </w:p>
    <w:p>
      <w:pPr>
        <w:pStyle w:val="Heading1"/>
      </w:pPr>
      <w:r>
        <w:t>494.  Foresight on the future of public research metrology in Europe  (2011)</w:t>
      </w:r>
    </w:p>
    <w:p>
      <w:r>
        <w:t>Purpose The aim of this paper is to describe and evaluate the use of a five‐step foresight process and the application of scenario methods to grasp the range of future alternatives that might confront researchers and research managers in European metrology research institutes. Design/methodology/approach The paper illustrates how scenario methods were used to, first, serve as a basis for policy recommendations for the field of European metrology research institutes and, second, help experts and stakeholders to network and actively discuss a shared vision of the future of the field.</w:t>
      </w:r>
    </w:p>
    <w:p>
      <w:pPr>
        <w:spacing w:after="240"/>
      </w:pPr>
      <w:r>
        <w:rPr>
          <w:b/>
          <w:sz w:val="16"/>
        </w:rPr>
        <w:t xml:space="preserve">ORIGINAL STUDY   </w:t>
      </w:r>
      <w:r>
        <w:rPr>
          <w:sz w:val="16"/>
        </w:rPr>
        <w:t>https://doi.org/10.1108/14636681111109660</w:t>
      </w:r>
    </w:p>
    <w:p>
      <w:pPr>
        <w:pStyle w:val="Heading1"/>
      </w:pPr>
      <w:r>
        <w:t>495.  Future scenarios for a depressed region of England: the role of education in creating alternative futures  (2011)</w:t>
      </w:r>
    </w:p>
    <w:p>
      <w:r>
        <w:t>Findings Four scenarios were developed as possible futures for the region to help inform policy making, in particular educational policy to encourage more young people to remain in education for longer and gain higher qualifications. Purpose This paper seeks to outline four scenarios developed for the future of the South West Midlands region of England.</w:t>
      </w:r>
    </w:p>
    <w:p>
      <w:pPr>
        <w:spacing w:after="240"/>
      </w:pPr>
      <w:r>
        <w:rPr>
          <w:b/>
          <w:sz w:val="16"/>
        </w:rPr>
        <w:t xml:space="preserve">ORIGINAL STUDY   </w:t>
      </w:r>
      <w:r>
        <w:rPr>
          <w:sz w:val="16"/>
        </w:rPr>
        <w:t>https://doi.org/10.1108/14636681111179564</w:t>
      </w:r>
    </w:p>
    <w:p>
      <w:pPr>
        <w:pStyle w:val="Heading1"/>
      </w:pPr>
      <w:r>
        <w:t>496.  Health impact assessment of waste management facilities in three European countries  (2011)</w:t>
      </w:r>
    </w:p>
    <w:p>
      <w:r>
        <w:t>Assuming that the incinerators continue to operate until 2020, we are moderately confident that the annual number of cancer cases due to exposure in 2001-2020 will reach 11, 0, and 7 in 2020 and then decline to 0 in the three countries in 2050. We are moderately confident that by 2050, the attributable impact on the 2001 cohort of residents will be 3,621 (Italy), 37 (Slovakia) and 3,966 (England) YoLL.</w:t>
      </w:r>
    </w:p>
    <w:p>
      <w:pPr>
        <w:spacing w:after="240"/>
      </w:pPr>
      <w:r>
        <w:rPr>
          <w:b/>
          <w:sz w:val="16"/>
        </w:rPr>
        <w:t xml:space="preserve">ORIGINAL STUDY   </w:t>
      </w:r>
      <w:r>
        <w:rPr>
          <w:sz w:val="16"/>
        </w:rPr>
        <w:t>https://doi.org/10.1186/1476-069x-10-53</w:t>
      </w:r>
    </w:p>
    <w:p>
      <w:pPr>
        <w:pStyle w:val="Heading1"/>
      </w:pPr>
      <w:r>
        <w:t>497.  Integrating foresight into government. Is it possible? Is it likely?  (2011)</w:t>
      </w:r>
    </w:p>
    <w:p>
      <w:r>
        <w:t>Findings Several methodologies and techniques that are identified here may allow people to help perceive, evaluate and control the effects of their actions, present as well as future.</w:t>
      </w:r>
    </w:p>
    <w:p>
      <w:pPr>
        <w:spacing w:after="240"/>
      </w:pPr>
      <w:r>
        <w:rPr>
          <w:b/>
          <w:sz w:val="16"/>
        </w:rPr>
        <w:t xml:space="preserve">ORIGINAL STUDY   </w:t>
      </w:r>
      <w:r>
        <w:rPr>
          <w:sz w:val="16"/>
        </w:rPr>
        <w:t>https://doi.org/10.1108/14636681111126229</w:t>
      </w:r>
    </w:p>
    <w:p>
      <w:pPr>
        <w:pStyle w:val="Heading1"/>
      </w:pPr>
      <w:r>
        <w:t>498.  O4-2.1 Foresight tackling obesities: future choices  (2011)</w:t>
      </w:r>
    </w:p>
    <w:p>
      <w:r>
        <w:t>These predictions could be subject to a range of policy options which affected BMI or business as usual. Given these predictions up to 2050, we built a micro simulation of the UK population with same demographics and the BMI growth predicted.</w:t>
      </w:r>
    </w:p>
    <w:p>
      <w:pPr>
        <w:spacing w:after="240"/>
      </w:pPr>
      <w:r>
        <w:rPr>
          <w:b/>
          <w:sz w:val="16"/>
        </w:rPr>
        <w:t xml:space="preserve">ORIGINAL STUDY   </w:t>
      </w:r>
      <w:r>
        <w:rPr>
          <w:sz w:val="16"/>
        </w:rPr>
        <w:t>https://doi.org/10.1136/jech.2011.142976b.14</w:t>
      </w:r>
    </w:p>
    <w:p>
      <w:pPr>
        <w:pStyle w:val="Heading1"/>
      </w:pPr>
      <w:r>
        <w:t>499.  OPERATIONAL EARTHQUAKE FORECASTING. State of Knowledge and Guidelines for Utilization  (2011)</w:t>
      </w:r>
    </w:p>
    <w:p>
      <w:r>
        <w:t>Long-term models are currently the most important forecasting tools for civil protection against earthquake damage, because they guide earthquake safety provisions of building codes, performance-based seismic design, and other risk-reducing engineering practices, such as retrofitting to correct design flaws in older buildings. Based on the experience accumulated in seismically active regions, the ICEF has provided to DPC a set of recommendations on the utilization of operational forecasting in Italy, which may also be useful in other countries.</w:t>
      </w:r>
    </w:p>
    <w:p>
      <w:pPr>
        <w:spacing w:after="240"/>
      </w:pPr>
      <w:r>
        <w:rPr>
          <w:b/>
          <w:sz w:val="16"/>
        </w:rPr>
        <w:t xml:space="preserve">ORIGINAL STUDY   </w:t>
      </w:r>
      <w:r>
        <w:rPr>
          <w:sz w:val="16"/>
        </w:rPr>
        <w:t>https://doi.org/10.4401/ag-5350</w:t>
      </w:r>
    </w:p>
    <w:p>
      <w:pPr>
        <w:pStyle w:val="Heading1"/>
      </w:pPr>
      <w:r>
        <w:t>500.  Potential implications of future climate and land‐cover changes for the fate and distribution of persistent organic pollutants in Europe  (2011)</w:t>
      </w:r>
    </w:p>
    <w:p>
      <w:r>
        <w:t>Scenarios detailing climate and land‐cover changes, such as precipitation, temperature and vegetation cover, were used as input in a European multi‐media chemical fate model to help understand their impact on the environmental fate and behaviour of POPs over the period 1990–2100 in Europe. Main conclusions Overall, the model simulations suggest that the dominant driver behind differences seen between the present and climate‐changed future scenarios is temperature, resulting in a slight shift in chemical distribution from surface compartments to the air.</w:t>
      </w:r>
    </w:p>
    <w:p>
      <w:pPr>
        <w:spacing w:after="240"/>
      </w:pPr>
      <w:r>
        <w:rPr>
          <w:b/>
          <w:sz w:val="16"/>
        </w:rPr>
        <w:t xml:space="preserve">ORIGINAL STUDY   </w:t>
      </w:r>
      <w:r>
        <w:rPr>
          <w:sz w:val="16"/>
        </w:rPr>
        <w:t>https://doi.org/10.1111/j.1466-8238.2010.00547.x</w:t>
      </w:r>
    </w:p>
    <w:p>
      <w:pPr>
        <w:pStyle w:val="Heading1"/>
      </w:pPr>
      <w:r>
        <w:t>501.  The Purpose and Pitfalls of Constructivist Forecasting: Insights from Strategic Culture Research for the European Union’s Evolution as a Military Power1  (2011)</w:t>
      </w:r>
    </w:p>
    <w:p>
      <w:r>
        <w:t>It argues that insights from strategic culture research are particularly suited to outline trajectories of the likely when combined with the assessment of internal and external drivers of ideational and material change, the examination of discontinuities, and key uncertainties.</w:t>
      </w:r>
    </w:p>
    <w:p>
      <w:pPr>
        <w:spacing w:after="240"/>
      </w:pPr>
      <w:r>
        <w:rPr>
          <w:b/>
          <w:sz w:val="16"/>
        </w:rPr>
        <w:t xml:space="preserve">ORIGINAL STUDY   </w:t>
      </w:r>
      <w:r>
        <w:rPr>
          <w:sz w:val="16"/>
        </w:rPr>
        <w:t>https://doi.org/10.1111/j.1468-2478.2011.00648.x</w:t>
      </w:r>
    </w:p>
    <w:p>
      <w:pPr>
        <w:pStyle w:val="Heading1"/>
      </w:pPr>
      <w:r>
        <w:t>502.  Trends and Possible Future Developments in Global Forest-Product Markets—Implications for the Swedish Forest Sector  (2011)</w:t>
      </w:r>
    </w:p>
    <w:p>
      <w:r>
        <w:t>These so-called critical uncertainties were found to be degrees to which: (i) current patterns of globalization will continue, or be replaced by regionalism, and (ii) concern about the environment, particularly climate change, related policy initiatives and customer preferences, will materialize. The overall future of the Swedish solid wood-product industry looks bright, irrespective of which of the four possible futures occurs, provided it accommodates the expected growth in demand for factory-made, energy-efficient construction components.</w:t>
      </w:r>
    </w:p>
    <w:p>
      <w:pPr>
        <w:spacing w:after="240"/>
      </w:pPr>
      <w:r>
        <w:rPr>
          <w:b/>
          <w:sz w:val="16"/>
        </w:rPr>
        <w:t xml:space="preserve">ORIGINAL STUDY   </w:t>
      </w:r>
      <w:r>
        <w:rPr>
          <w:sz w:val="16"/>
        </w:rPr>
        <w:t>https://doi.org/10.3390/f2010147</w:t>
      </w:r>
    </w:p>
    <w:p>
      <w:r>
        <w:br w:type="page"/>
      </w:r>
    </w:p>
    <w:p>
      <w:pPr>
        <w:pStyle w:val="Heading1"/>
      </w:pPr>
      <w:r>
        <w:t>Earlier perspectives and developments since — research update</w:t>
      </w:r>
    </w:p>
    <w:p>
      <w:r>
        <w:t>Research integration · 25 October 2026. These contextual notes connect earlier research to later developments. The separate LLM investigation was used as a research guide; descriptions below are condensed and reworded. Its quantitative and source-specific claims are not independently reverified in this update. This section does not classify earlier studies as right or wrong.</w:t>
      </w:r>
    </w:p>
    <w:p>
      <w:pPr>
        <w:pStyle w:val="Heading2"/>
      </w:pPr>
      <w:r>
        <w:t>null (not in catalogue; scanner lead 509): Are EU climate ambitions reflected at member-state level? (2022)</w:t>
      </w:r>
    </w:p>
    <w:p>
      <w:r>
        <w:t>Earlier perspective.  Poschmann, Bach &amp; Finkbeiner, Energy Strategy Reviews 43 (2022) 100936. All 12 pages were read from the TU Berlin repository copy; the Elsevier DOI page could not be fetched. The paper compares EU-level targets with member-state contributions. EU targets: NDC 2015 −40% and NDC 2020 −55% vs 1990; renewable share (RES) 32% under RED II and 40% under the July 2021 RED III proposal. Member-state contributions: the 2018 ESR national targets, the two July 2021 ESR proposal options (option 1: −40% vs 2005, national range −10% to −50%; option 2: −35%), and NECP RES targets. National 2005-based targets are converted to a 1990 base and weighted by emissions. Data: the EEA GHG viewer to 2019 and Eurostat RES shares to 2019. Results:   - (a) Against the ESR share of the −55% NDC, the 2018 ESR targets leave a weighted gap of −11%. Option 1 closes it (+1%); option 2 leaves −5%.   - (b) ESR-sector emissions fell 11.3% over 1990–2019 and 10.7% over 2005–2019. Their 2010–2019 average change was −0.8%/yr. Reaching the targets by 2030 from 2019 would n</w:t>
      </w:r>
    </w:p>
    <w:p>
      <w:r>
        <w:t>Developments since.    - Total GHG, Eurostat env_air_gge, EU27, updated 2 June 2026:     - Excluding LULUCF: 4,866.9 Mt (1990), 4,168.8 (2010), 3,574.5 (2019), 3,280.9 (2020), 3,452.7 (2021), 3,359.6 (2022), 3,088.3 (2023), 3,017.2 (2024). That is −38.0% vs 1990 and −33.5% vs 2005 in 2024.     - Compound annual change (my calc): −1.69%/yr over 2010–2019 vs −3.33%/yr over 2019–2024. Year-on-year 2024: −2.3%.     - Net including LULUCF: 4,608.5 Mt (1990), 3,338.2 (2019), 2,786.2 (2024), i.e. −39.5% vs 1990 in 2024.     - The EEA's −39.0% domestic net for 2024 (below) was based on Member States' approximated 2024 inventories. The small gap from Eurostat's −39.5% reflects data vintage.   - EEA, Trends and projections in Europe 2025 (November 2025), executive summary and §1.2:     - 2024 vs 1990: domestic −37.7%, domestic net −39.0%, European Climate Law (ECL) scope −37.2% (Table 1.1).</w:t>
      </w:r>
    </w:p>
    <w:p>
      <w:r>
        <w:t>How these connect.  The paper's core arithmetic was sound and its RES diagnosis has held up. During 2019–2023, total EU emissions fell at about the ~3%/yr pace the −55% target implies. My calc from the paper's own 1990–2019 total of −33% gives a similar all-sector requirement of about 3.0% of the 2019 level per year. That pace came partly from one-off shocks (COVID-19 in 2020, the 2022–2023 energy crisis) and from ETS sectors, which the paper's −3% figure did not cover. In the ESR sectors the paper actually addressed, the pace came close to its −2.9%/yr (about 2.6%/yr) but stayed below it. The ESR comparison mixes inventory vintages (EEA 2021 data in the paper, EEA 2025 data now), so the implied 2019–2023 ESR rate is approximate. The 2024–2025 slowdown is the main reason the verdict stays "partly" rather than "as envisioned".</w:t>
      </w:r>
    </w:p>
    <w:p>
      <w:r>
        <w:t>Research source trail (starting point): https://depositonce.tu-berlin.de/items/72426f9f-309e-4728-b441-9eae09b4df5f/full:</w:t>
      </w:r>
    </w:p>
    <w:p>
      <w:r>
        <w:t>Catalogue record: 509</w:t>
      </w:r>
    </w:p>
    <w:p>
      <w:pPr>
        <w:pStyle w:val="Heading2"/>
      </w:pPr>
      <w:r>
        <w:t>238 and 239 (same article entered twice): Climate change mitigation: evidences from the European scenario (2018)</w:t>
      </w:r>
    </w:p>
    <w:p>
      <w:r>
        <w:t>Earlier perspective.  D'Adamo, Miliacca &amp; Schettini, Int. J. Management and Network Economics 4(2): 95–114 (2018). The full text is paywalled, and no repository copy was found by any route:   - Inderscience offers page: full text for subscribers only.   - IDEAS/RePEc: marked restricted.   - OpenAlex: closed access, no repository full text.   - inderscienceonline.com: HTTP 403.   - Sapienza IRIS: no result.   - Semantic Scholar API: rate-limited (HTTP 429).</w:t>
      </w:r>
    </w:p>
    <w:p>
      <w:r>
        <w:t>Developments since.    - 2020 targets: The EEA marks the 2020 targets for GHG, final energy, primary energy and RES as reached (Trends and projections 2025, Figure 1.2). EU27 RES was 22.0% in 2020 (Eurostat nrg_ind_ren) against a 20% target (target per Poschmann et al. 2022, Table 7). EU27 GHG excluding LULUCF was 3,280.9 Mt in 2020, −32.6% vs 1990 (Eurostat env_air_gge; my calc), against the −20% target (Poschmann et al. 2022, background).   - 2030 targets, since superseded:     - Regulation (EU) 2021/1119 (European Climate Law), Art. 4(1): a binding 2030 cut in net GHG of at least 55% vs 1990, with net removals counting for at most 225 Mt CO2e.     - Renewables: 32% under RED II, then raised to at least 42.5% (EEA §3.3).     - Energy efficiency (EEA §1.5): the revised directive sets final energy ≤763 Mtoe and primary energy ≤992.5 Mtoe, an 11.7% cut vs the 2020 reference scenario.   - 2050: ECL Art. 2(1) replaces −80–95% with net-zero (balance) by 2050 at the latest.   - Status:</w:t>
      </w:r>
    </w:p>
    <w:p>
      <w:r>
        <w:t>How these connect.  The scanner's links do not test anything the study claimed. The checkable content of the study is its 2015 country assessments against the 2020 targets, and I could not read those (paywalled). The catalogue excerpt should be treated as background rather than a claim.</w:t>
      </w:r>
    </w:p>
    <w:p>
      <w:r>
        <w:t>Research source trail (starting point): https://inderscience.com/offers.php?id=95079:</w:t>
      </w:r>
    </w:p>
    <w:p>
      <w:r>
        <w:t>Catalogue record: 238, 239</w:t>
      </w:r>
    </w:p>
    <w:p>
      <w:pPr>
        <w:pStyle w:val="Heading2"/>
      </w:pPr>
      <w:r>
        <w:t>189: A New Climate for Europe: 2030 Climate Targets Must Be More Ambitious (2019)</w:t>
      </w:r>
    </w:p>
    <w:p>
      <w:r>
        <w:t>Earlier perspective.  Oei, Hainsch, Löffler, von Hirschhausen, Holz &amp; Kemfert, DIW Weekly Report 40+41/2019, pp. 365–372. Read in full (8 pp. PDF).   - Model and scope: GENeSYS-MOD v2.0, a cost-minimising energy system model. It covers electricity, heat and transport only, leaving out parts of industry and agriculture. Europe is split into 17 nodes, including Great Britain. It runs 2020–2050 in five-year steps with perfect foresight and 2018 cost data.   - Constraint: a CO2 budget for Europe of 51.60 Gt, a population share of an 890 Gt global budget from 2015, to stay below 2°C.   - Results: The climate-action scenario needs a 60% cut by 2030 vs 1990. In business as usual (BAU), emissions fall only about 38% by 2030. That is roughly in line with the existing 40% target but overshoots the budget.   - Further figures:     - Cumulative CO2 avoided: 15.34 Gt by 2030, 36.17 Gt by 2050.     - Avoided damage of €1,381 bn by 2030 at €180/t, against €222 bn extra system cost (about 3.3% of total energy-system cost).     - Additions by 2030: 870 GW solar and 600 GW</w:t>
      </w:r>
    </w:p>
    <w:p>
      <w:r>
        <w:t>Developments since.    - Regulation (EU) 2021/1119: Art. 4(1) sets a binding 2030 target of at least a 55% cut in net GHG vs 1990, with net removals counting for at most 225 Mt CO2e. Art. 2(1) requires emissions and removals to balance within the EU by 2050 at the latest.   - EEA, Trends and projections 2025, §1.1: EU environment ministers formally agreed on 5 November 2025 to an additional interim target of −90% net GHG by 2040.   - Regulation (EU) 2026/667 of 11 March 2026 (OJ L, 18 March 2026), amending the ECL:     - New Art. 4(3): a binding 2040 target of −90% net GHG vs 1990.     - New Art. 4(4)(a): from 2036, high-quality international credits under Paris Art. 6 may cover up to 5% of 1990 net emissions, which corresponds to a domestic net cut of 85%.     - Recital 13 mentions permanent removals (BioCCS, DACCS) in the ETS.     - Art. 2 postpones the new emissions trading for buildings and road transport (ETS2) to 2028.</w:t>
      </w:r>
    </w:p>
    <w:p>
      <w:r>
        <w:t>How these connect.  The direction of policy matched the recommendation; the level did not. I cannot attribute the change to this report, since many actors called for higher targets in 2019–2020. DIW's BAU was too pessimistic in hindsight: economy-wide emissions reached about −38% by 2024, six years early. That comparison is approximate because DIW modelled energy-sector CO2 for a wider Europe.</w:t>
      </w:r>
    </w:p>
    <w:p>
      <w:r>
        <w:t>Research source trail (starting point): https://www.diw.de/de/diw_01.c.683047.de/publikationen/weekly_reports/2019_40_1/a_new_climate_for_europe__2030_climate_targets_must_be_more_ambitious.html:</w:t>
      </w:r>
    </w:p>
    <w:p>
      <w:r>
        <w:t>Catalogue record: 189</w:t>
      </w:r>
    </w:p>
    <w:p>
      <w:pPr>
        <w:pStyle w:val="Heading2"/>
      </w:pPr>
      <w:r>
        <w:t>106: On European Green Deal and Sustainable Development Policy (the Case of Romania) (2021)</w:t>
      </w:r>
    </w:p>
    <w:p>
      <w:r>
        <w:t>Earlier perspective.  Ciot, Sustainability 13 (2021) 12233, 17 pp., read in full. mdpi.com returned HTTP 403, so I used the identical PDF on MDPI's file server.   - The excerpt is the abstract's opening sentence: "Reaching the EU climate-neutrality objective in 2050 is very ambitious". The sentence goes on to single out the Central-Eastern European member states.   - The paper is a qualitative policy analysis of documents, discourse and comparison, covering December 2019 to October 2021. It builds a three-level model (strategic, administrative, outcomes) and applies it to the EU and to Romania.   - Findings: Romania lacks national coordination at the strategic and administrative levels; the Green Deal is absent from party programmes and public debate; no legislative measures had transposed the newest Green Deal legislation.   - Weaknesses listed: no national strategy, development and economic gaps, unlikely just transition for coal regions, missed Modernisation Fund calls, and environmental infringement procedures.   - Recommendation: a compulsory Nationa</w:t>
      </w:r>
    </w:p>
    <w:p>
      <w:r>
        <w:t>Developments since.    - Net GHG including LULUCF, 2024, index 1990 = 100 (Eurostat sdg_13_10, updated 22 April 2026):     - CEE: RO 27.7, PL 73.0, BG 42.2, CZ 49.6, HU 51.6, SK 44.4, HR 83.2, SI 77.5, EE 33.5, LV 89.9, LT 24.0.     - Comparators: DE 54.9, FR 62.6, IT 59.0, ES 87.2.     - EU27 about 60.5 (my calc from env_air_gge: 2,786.2 / 4,608.5 Mt).     - Measured from 1990, most CEE states are ahead of the EU, largely because of post-1990 restructuring.   - GHG excluding LULUCF, change 2005 → 2024 (my calc from sdg_13_10 Mt series):     - CEE: RO −32.6%, PL −14.6%, BG −30.7%, CZ −34.4%, HU −30.6%, SK −34.9%, HR −15.1%, SI −24.8%, EE −46.9%, LV −12.7%, LT −16.4%.</w:t>
      </w:r>
    </w:p>
    <w:p>
      <w:r>
        <w:t>How these connect.  The data do not support treating Central-Eastern Europe as one laggard bloc. Poland stands out on most indicators: smallest GHG cut since 2005, coupled growth and CO2, low RES, and rising energy use. Croatia, Slovenia and the Baltic states lag on some indicators, while Romania, Czechia and Slovakia track the EU average since 2005. Romania specifically shows deep cuts since 1990 and 2005 and an RES share at the EU average, but its ESR emissions were above allocation in 2024 and its buildings emissions are rising. That is consistent with the paper's concern about implementation capacity, but it is not a test of it. The difficulty of reaching 2050 neutrality also depends on the shrinking land sink, which the EEA flags EU-wide, and not only on CEE specifics.</w:t>
      </w:r>
    </w:p>
    <w:p>
      <w:r>
        <w:t>Research source trail (starting point): https://mdpi-res.com/d_attachment/sustainability/sustainability-13-12233/article_deploy/sustainability-13-12233.pdf:</w:t>
      </w:r>
    </w:p>
    <w:p>
      <w:r>
        <w:t>Catalogue record: 106</w:t>
      </w:r>
    </w:p>
    <w:p>
      <w:pPr>
        <w:pStyle w:val="Heading2"/>
      </w:pPr>
      <w:r>
        <w:t>490 — iTREN-2030: EU27 transport energy use and GHG to 2030 (2011)</w:t>
      </w:r>
    </w:p>
    <w:p>
      <w:r>
        <w:t>Earlier perspective. Original claim (Source; abstract, precursor paper and project report read in full; TRR article full text not obtained): Schade &amp; Wiesenthal, Transportation Research Record 2252: 31–39. Crossref dates it to January 2011; the JRC repository lists 2012-10-01.   - Access: The TRR article is closed access (OpenAlex), and the SAGE/DOI hosts were blocked in this session. I read four things instead:     - the full TRR abstract (Crossref);     - the JRC repository record;     - the full precursor WCTR Lisbon paper by B. Schade (same analysis, with preliminary Integrated Scenario numbers);     - the full iTREN-2030 Final Report (Deliverable D6, W. Schade &amp; M. Krail, Fraunhofer-ISI, 27 April 2010), the source of the scenario numbers.   - Variable, place and baseline: transport GHG/CO2 in the pre-2013 EU27 (UK included, Croatia excluded), in 2020 and 2030, relative to 2005. Projections come from the linked POLES–TREMOVE–ASTRA–TRANS-TOOLS model suite.   - Reference Scenario: policies adopted by mid-2008 only, no shocks, and the 2008 crisis not ref</w:t>
      </w:r>
    </w:p>
    <w:p>
      <w:r>
        <w:t>Developments since.    - Emissions inventory. Eurostat `env_air_gge`, updated 2 June 2026, EU27_2020, Mt CO2e.     - Fuel combustion in transport (CRF 1.A.3): 674.7 (1990), 849.9 (2005), 834.8 (2019), 722.5 (2020), 795.6 (2023), 804.8 (2024).     - Change vs 2005: −1.8% (2019), −15.0% (2020), −6.4% (2023), −5.3% (2024).     - Adding the international aviation and navigation memo items (1.D.1.a and 1.D.1.b): 1,099.0 (2005) and 1,061.8 (2024). Change vs 2005: +0.4% (2019), −18.2% (2020), −5.3% (2023), −3.4% (2024).   - The study's own geography (my approximation). EU27_2020, minus Croatia (`env_air_gge`), plus the UK (DfT/DESNZ ENV0201a, updated 14 July 2026; UK domestic transport 133.5 Mt in 2005 and 110.4 Mt in 2024).     - Domestic: −2.7% (2019), −8.1% (2023), −7.3% (2024) vs 2005.     - Including bunkers: 1,267.2 Mt (2005), which matches the study's 1,268 Mt base; 1,204.2 Mt (2024). Change vs 2005: −0.5% (2019), −6.8% (2023), −5.0% (2024).</w:t>
      </w:r>
    </w:p>
    <w:p>
      <w:r>
        <w:t>How these connect.    - The scenario's drivers have so far fallen short:     - Energy demand is flat, against about −7% on the scenario path by 2024 (my interpolation).     - Biofuels are about 6% of transport energy, against about 12% on the path.     - The BEV fleet share was 0.44% in 2020 against 5.0% projected, and 2.9% in 2025 against about 7.4% interpolated.   - A smaller cut than projected is therefore internally consistent.   - Rapid new-car electrification since 2020 and tighter post-2021 EU policy have not yet changed the stock enough.   - Boundary ambiguity (about 2–3 points), geography (the UK adds about 2 points of decline) and inventory vintage (−5.9% vs −6.4% for 2023) affect the size of the gap, not its sign.</w:t>
      </w:r>
    </w:p>
    <w:p>
      <w:r>
        <w:t>Research source trail (starting point): https://api.crossref.org/works/10.3141/2252-05</w:t>
      </w:r>
    </w:p>
    <w:p>
      <w:r>
        <w:t>Catalogue record: 490</w:t>
      </w:r>
    </w:p>
    <w:p>
      <w:pPr>
        <w:pStyle w:val="Heading2"/>
      </w:pPr>
      <w:r>
        <w:t>149 — EU road vehicle energy use and CO2 by 2050: expert-based scenarios (2020)</w:t>
      </w:r>
    </w:p>
    <w:p>
      <w:r>
        <w:t>Earlier perspective.  Krause, Thiel, Tsokolis, Samaras, Rota, Ward, Prenninger, Coosemans, Neugebauer &amp; Verhoeve, Energy Policy 138: 111224 (2020), CC BY. Full published PDF from the University of Brighton repository.   - Scope: the technical potential to cut tank-to-wheel (TTW), real-world CO2 from EU28 road transport by 2050.   - Baseline:     - 2050 activity is calibrated to the EU Reference Scenario 2016: 5.1 trillion vehicle-km, about +15% vs 2016 (Table 1).     - Conventional vehicles stay at 2015 new-vehicle efficiency; the authors call this a "worst case".   - Scenarios:     - An ERTRAC expert group set three 2050 fleets (Table 8): High Electrification (HE), HE plus Hydrogen (HEH), and Mixed (Mix).     - Small and medium cars are 100% BEV in HE and HEH. In Mix they are 37.5% BEV, 25% PHEV and 37.5% advanced ICE.</w:t>
      </w:r>
    </w:p>
    <w:p>
      <w:r>
        <w:t>Developments since.    - Road emissions. Eurostat `env_air_gge`, road transportation (CRF 1.A.3.b), EU27_2020, updated 2 June 2026.     - CO2: 609.6 Mt (1990), 788.9 (2005), 746.7 (2015), 781.0 (2019), 680.1 (2020), 748.7 (2023), 757.7 (2024). In 2024 that is +24.3% vs 1990.     - GHG: 620.6 Mt (1990) and 767.0 Mt (2024), +23.6%.     - A 90% cut vs 1990 would mean about 61 Mt CO2 for the EU27. These figures are EU27, not the paper's EU28.   - EDGAR 2026 (PDF p. 24): road transport fell 4.1% from 2005 to 2025.   - Car fleet. Eurostat `road_eqs_carpda`: BEV share of the stock 1.73% (2023), 2.22% (2024), 2.88% (2025); BEV plus PHEV 3.04%, 3.76% and 4.76%. EEA T&amp;P 2025 p. 33 likewise gives 3% for 2023.   - New cars. Eurostat `road_eqr_carpda`, updated 6 October 2026.</w:t>
      </w:r>
    </w:p>
    <w:p>
      <w:r>
        <w:t>How these connect.    - The structural findings fit later policy and the thesis: electrification is the main lever, the measures add less than 20 points, and heavy-duty vehicles dominate what remains.   - Uncertainties:     - The baselines differ: the paper uses about 700 Mt (EU28, real-world modelled), the EU27 inventory 610 Mt.     - The durability of the 2035 and 2040 standards is uncertain.     - Upstream electricity emissions fall outside TTW accounting.</w:t>
      </w:r>
    </w:p>
    <w:p>
      <w:r>
        <w:t>Research source trail (starting point): https://api.openalex.org/works/doi:10.1016/j.enpol.2019.111224</w:t>
      </w:r>
    </w:p>
    <w:p>
      <w:r>
        <w:t>Catalogue record: 149</w:t>
      </w:r>
    </w:p>
    <w:p>
      <w:pPr>
        <w:pStyle w:val="Heading2"/>
      </w:pPr>
      <w:r>
        <w:t>309 — EV sales competition and sensitivity to charging infrastructure in Europe (2016)</w:t>
      </w:r>
    </w:p>
    <w:p>
      <w:r>
        <w:t>Earlier perspective.  Harrison &amp; Thiel, Technological Forecasting &amp; Social Change 114: 165–178 (online August 2016; CC BY-NC-ND). Full text from White Rose eprints.   - Model and scenarios:     - JRC's PTTMAM system-dynamics market-agent model covers EU28 member states, 1995–2050.     - Runs combine CO2 regulation (R0–R3), purchase subsidies (P0–P4) and hypothetical 100% infrastructure subsidies (I1–I3).     - Authorities by default target 10 plug-in vehicles (PiEV) per public point (pCP), the indicative DAFI ratio.   - Findings:     - Infrastructure subsidies move 2050 shares only marginally, and point installation is out of proportion to market share.     - Sensitivity runs:</w:t>
      </w:r>
    </w:p>
    <w:p>
      <w:r>
        <w:t>Developments since.    - Plug-in stock. Eurostat `road_eqs_carpda`, updated 20 October 2026: the EU27 BEV plus PHEV share of the stock was 3.04% (2023), 3.76% (2024), 4.76% (2025). The EU is only now reaching the claim's roughly 5% threshold.   - Public recharging points. Eurostat `road_if_rchev`, updated 13 October 2026; EU27 sums of reported points:     - 396,036 in 2022 (8 member states missing).     - 599,505 in 2023 (IE, IT, LT missing).     - 896,652 in 2024 (IE, LT missing).     - 872,970 in 2025 (DE, EE missing).     - Like-for-like growth: +41.0% in 2023–24 (24 member states) and +18.0% in 2024–25 (23).</w:t>
      </w:r>
    </w:p>
    <w:p>
      <w:r>
        <w:t>How these connect.    - The aggregate EU data cannot yet test the roughly 5% stock threshold, which was reached only in 2025.   - The "little gain beyond 1 per 10" piece is plausible, but no causal European test was found, and the cost side could not be verified.   - The model's own baseline badly underestimated sales (about 21% plug-in share by 2022–2024 against 20% by 2030), so its absolute paths aged poorly, as the authors warned they might.</w:t>
      </w:r>
    </w:p>
    <w:p>
      <w:r>
        <w:t>Research source trail (starting point): https://api.openalex.org/works/doi:10.1016/j.techfore.2016.08.007</w:t>
      </w:r>
    </w:p>
    <w:p>
      <w:r>
        <w:t>Catalogue record: 309</w:t>
      </w:r>
    </w:p>
    <w:p>
      <w:pPr>
        <w:pStyle w:val="Heading2"/>
      </w:pPr>
      <w:r>
        <w:t>379 — Ocean energy development in Europe: current status and future perspectives (2015)</w:t>
      </w:r>
    </w:p>
    <w:p>
      <w:r>
        <w:t xml:space="preserve">Earlier perspective.  Magagna &amp; Uihlein (European Commission JRC), Int. J. Marine Energy 11: 84–104, open access (CC BY-NC-ND), read in full from the Tethys copy. The abstract (p. 84) says the EU aims at 100 GW of combined wave and tidal capacity by 2050. In the body (Introduction, pp. 85–86) the same figure is credited to industry rather than EU institutions ("The sector aims to install 100 GW of wave and tidal energy capacity"), citing ref. [1], SI Ocean (2014), Wave and tidal energy market deployment strategy for Europe. The authors' own statements about the future are short-term and based on the project pipeline:   - Member States' 2009 National Renewable Energy Action Plans (NREAPs) expected 2,250 MW of wave and tidal by 2020, about 0.5% of EU installed electricity capacity (p. 85).   - Bloomberg New Energy Finance (BNEF) forecast only ~170 MW installed worldwide by 2020, 7% of the NREAP total (p. 86; Conclusion, p. 99).   - Europe's tidal capacity could reach about 57 MW by 2018 (Section 4, p. 93, Fig. 9) and wave about 26 MW by 2018 (Section 5, p. </w:t>
      </w:r>
    </w:p>
    <w:p>
      <w:r>
        <w:t>Developments since.    - EU-27 capacity: Eurostat `nrg_inf_epcrw`, category RA500 "Tide, wave, ocean", net maximum electrical capacity in MW (dataset updated 9 Oct 2026).     - EU-27 totals: 214.7 MW in 2024, 216.0 MW in 2010, 225.8 MW in 2014.     - By country in 2024: France 209.9 MW, Spain 4.8 MW, Portugal 0.0 MW. The UK last reported 20.4 MW (2019).     - The EU total is essentially France's tidal barrage at La Rance, built in 1966 (240 MW according to the Ocean Energy Forum Roadmap, Section 1.3). There has been no net growth since the paper.   - EU-27 generation: Eurostat `nrg_bal_peh`, RA500, gross electricity production (dataset updated 2 Jun 2026). EU-27 produced 467.8 GWh in 2024 (France 458.8 GWh, Spain 9.0 GWh). That is about 0.13% of the ~350 TWh a year the Roadmap links to 100 GW.   - Wave and tidal stream in Europe, including the UK (OEE Stats &amp; Trends 2024, April 2025, tidal section p. 9 and wave section):     - Tidal: about 32 MW deployed since 2010, of which 12.7 MW was generating and 19.3 MW had been decommissioned.</w:t>
      </w:r>
    </w:p>
    <w:p>
      <w:r>
        <w:t>How these connect.  High confidence on who set the figure and on the size of the gap. Uncertainties:   - I did not open the 2013 Vision Paper or the SI Ocean 2014 strategy themselves. The attribution rests on the 2016 Roadmap footnote, OEE's 2020 paper and press coverage from 2014.   - Eurostat's RA500 category lumps tidal barrage, wave and tidal stream together.   - OEE figures are compiled by the industry and include the UK, which has been outside the EU since 2020.    The 2050 horizon is still open, but reaching 100 GW (or even 40 GW) would need growth of several thousand times from 2025 levels.</w:t>
      </w:r>
    </w:p>
    <w:p>
      <w:r>
        <w:t>Research source trail (starting point): https://tethys-engineering.pnnl.gov/sites/default/files/publications/Magagna_Uihlein-2015.pdf</w:t>
      </w:r>
    </w:p>
    <w:p>
      <w:r>
        <w:t>Catalogue record: 379</w:t>
      </w:r>
    </w:p>
    <w:p>
      <w:pPr>
        <w:pStyle w:val="Heading2"/>
      </w:pPr>
      <w:r>
        <w:t>358 — Assessing the impacts of technology improvements on the deployment of marine energy in Europe with an energy system perspective (2015/2016)</w:t>
      </w:r>
    </w:p>
    <w:p>
      <w:r>
        <w:t>Earlier perspective.  Sgobbi, Simões, Magagna &amp; Nijs (EC JRC), Renewable Energy 89 (2016): 515–525 (online December 2015; CC BY-NC-ND). Read in full from the Tethys copy.   - Method: the JRC-EU-TIMES linear-optimisation model of EU28+ for 2005–2050. Tidal and wave are each modelled as one aggregate technology. Two policy scenarios: Current Policy Initiatives (CPI: 20-20-20 targets, emissions trading to 2050, no long-term cap) and CAP (CO2 80% below 1990 by 2050) (Table 4).   - Baseline assumptions (Tables 2–3, Section 3.2):     - capital cost, wave: EUR(2010) 4,070/kW (2020) → 2,200/kW (2050);     - capital cost, tidal: EUR 3,285/kW (2020) → 2,200/kW (2050);     - capacity factor: 0.22 (2020) → 0.25 (2050);     - marine technical potential capped at 117 TWh (2020) and 170 TWh (2050) (Table 1);     - 12% learning rate applied exogenously.</w:t>
      </w:r>
    </w:p>
    <w:p>
      <w:r>
        <w:t>Developments since.    - Deployment:     - EU-27 "Tide, wave, ocean" capacity: 214.7 MW in 2024, flat since 2010 and almost all La Rance (Eurostat `nrg_inf_epcrw`, RA500). Generation 467.8 GWh in 2024 (Eurostat `nrg_bal_peh`, RA500).     - The paper's baseline tidal output (0.63 TWh a year, presumably La Rance) and its 0.2 GW installed in 2020 are both close to what Eurostat shows: about 0.5 TWh and about 0.2 GW.     - New wave and tidal stream capacity in Europe stayed tiny. In the water at the end of 2024: 12.7 MW tidal and 0.83 MW wave; tidal output 13.4 GWh (2024) and 16.2 GWh (2025) (OEE Stats &amp; Trends 2024 p. 9; Market Outlook 2025 p. 10).   - Wave: no wave farm operated in Europe by 2025. The first publicly funded wave farms (24 MW in total) are due by 2030 (OEE Market Outlook 2025, p. 11). This is consistent with the paper's finding that wave is not competitive.   - Tidal: progress has come through dedicated support rather than market competitiveness:     - UK ring-fenced Contracts for Difference: 143 MW awarded by 2025;</w:t>
      </w:r>
    </w:p>
    <w:p>
      <w:r>
        <w:t>How these connect.    - The quick pass's reading (outcome contradicts a "significant-role expectation") gets the paper backwards: the paper's own results were sceptical, and later evidence matches its baseline.   - Medium-to-high confidence for 2020–2025. The match at 2020 is partly mechanical: no new deployment in the model, little in reality, and La Rance dominates both.   - The 40% cost-reduction claim is the sector's own figure, and I found no comparable LCOE series to test the paper's cost assumptions (EUR 3,285/kW for tidal in 2020).</w:t>
      </w:r>
    </w:p>
    <w:p>
      <w:r>
        <w:t>Research source trail (starting point): https://tethys-engineering.pnnl.gov/publications/assessing-impacts-technology-improvements-deployment-marine-energy-europe-energy</w:t>
      </w:r>
    </w:p>
    <w:p>
      <w:r>
        <w:t>Catalogue record: 358</w:t>
      </w:r>
    </w:p>
    <w:p>
      <w:pPr>
        <w:pStyle w:val="Heading2"/>
      </w:pPr>
      <w:r>
        <w:t>399 — Assessing the prospective resource base for enhanced geothermal systems in Europe (2014)</w:t>
      </w:r>
    </w:p>
    <w:p>
      <w:r>
        <w:t>Earlier perspective.  Limberger et al., Geothermal Energy Science 2: 55–71 (GEOELEC project, Intelligent Energy Europe), read in full. The study builds a 3-D conductive temperature model of onshore Europe (10 km × 10 km × 250 m cells, down to 10 km depth). Over it, it runs a discounted-cash-flow model for 2020, 2030 and 2050 technology scenarios (Table 3, p. 61).   - Typical case: a hypothetical enhanced geothermal system (EGS) near the Rhine Graben, reservoir at 5,000 m and 200 °C (pp. 63–64). Its levelised cost of energy (LCOE) is EUR 215/MWh in 2020, EUR 127/MWh in 2030 and EUR 70/MWh in 2050.   - Scenario assumptions behind these costs:     - flow rate rises from 75 to 100 L/s;     - maximum depth goes from 7 to 10 km;     - wells: exponential well-cost models (ThermoGIS/WellCost Lite) in 2020–2030, replaced in 2050 by a linear EUR 1,500/m that assumes hydrothermal spallation drilling;     - stimulation costs EUR 10 M per well;     - pump coefficient of performance 30, 50, then 1,000 (self-flowing wells by 2050).</w:t>
      </w:r>
    </w:p>
    <w:p>
      <w:r>
        <w:t>Developments since.    - No official series of European EGS LCOE exists. No agency publishes realised European EGS generation costs, so the cost path cannot be checked against official statistics. Direct European cost observations: could not verify. I could not reach the IEA Future of Geothermal Energy (2024; Cloudflare block) or the US DOE Liftoff report (proxy 502).   - Policy proxy, German EEG 2023 §45 (gesetze-im-internet.de, fetched Oct 2026):     - the statutory support value for geothermal electricity is 25.20 ct/kWh, i.e. EUR 252/MWh;     - it falls 0.5% a year from 2024, with faster cuts only once total capacity passes 120 MW.      This guaranteed level is above the paper's EUR 215/MWh "2020" EGS cost and about twice its 2030 value. That indicates deep geothermal power in Germany in the mid-2020s still needs about EUR 250/MWh. It is a support level, not a measured cost.   - Deployment (Eurostat `nrg_inf_epcrw`, RA200 "Geothermal", net maximum electrical capacity, MW, dataset updated 9 Oct 2026):</w:t>
      </w:r>
    </w:p>
    <w:p>
      <w:r>
        <w:t>How these connect.  Medium confidence. The paper's numbers are explicitly conditional scenario outputs, so a missed 2020 milestone mainly shows its technology assumptions (flow rate, stimulation, drilling) were optimistic for Europe, not that the model failed. There is no direct European LCOE observation; the EEG tariff is a policy proxy, and the US cost data may not transfer to European geology. The scanner's group pick (Franken) was more useful than its "outcome" picks.</w:t>
      </w:r>
    </w:p>
    <w:p>
      <w:r>
        <w:t>Research source trail (starting point): https://www.geoth-energ-sci.net/2/55/2014/gtes-2-55-2014.pdf</w:t>
      </w:r>
    </w:p>
    <w:p>
      <w:r>
        <w:t>Catalogue record: 399</w:t>
      </w:r>
    </w:p>
    <w:p>
      <w:pPr>
        <w:pStyle w:val="Heading2"/>
      </w:pPr>
      <w:r>
        <w:t>303 — Three investment scenarios for future nuclear reactors in Europe (2017)</w:t>
      </w:r>
    </w:p>
    <w:p>
      <w:r>
        <w:t>Earlier perspective. Original claim (Source; abstract only — full text could not be obtained): Shoai Tehrani &amp; Da Costa, Energy Studies Review 23(1), published 12 Sep 2017 (Crossref).   - Versions: the HAL deposit (hal-00997005, 19 pp., "submitted" version, 2015/2016) adds Danièle Attias as an author.   - Copies tried, all blocked (none was bypassed):     - publisher site and the McMaster digital-commons host (bot check, expired TLS certificate);     - HAL, including the legacy hal-cea PDF link (Anubis bot check);     - CiteSeerX (connection reset);     - CORE (metadata only).   - What the abstract says (HAL API, Semantic Scholar, CORE):</w:t>
      </w:r>
    </w:p>
    <w:p>
      <w:r>
        <w:t>Developments since.  No official statistic tracks "Gen IV development". The best available are institutional status documents.   - ASTRID, France (World Nuclear Association (WNA) Nuclear Power in France, updated 1 Apr 2026): the 600 MWe sodium-cooled Gen IV prototype was cancelled in August 2019 after about EUR 735 million had been spent. The WNA Fast Neutron Reactors table (updated 31 Mar 2026) lists ASTRID as "Delayed, after 2050".   - Other European demonstrators (WNA Fast Neutron Reactors):     - MYRRHA (Belgium): Phase 1 accelerator groundbreaking June 2024, Phase 1 completion expected 2026, full reactor operation from about 2034.     - Allegro (gas-cooled): "From 2030".     - ALFRED (lead-cooled, Romania; about EUR 1.0 billion): construction was intended to begin in 2017, with operation possible in 2025; the page reports no construction start.     - CEA spin-offs: Hexana (sodium-cooled) raised EUR 25 million in January 2025 and entered preliminary regulatory review; Otrera targets a first demonstrator for 2032.   - European Gen IV community (ESNII Vision Paper, 2025 edition, SNETP, 14 Nov 2025):</w:t>
      </w:r>
    </w:p>
    <w:p>
      <w:r>
        <w:t>How these connect.  Medium-low confidence on fidelity to the full paper (abstract only), medium confidence on the intermediate status of Gen IV (industry-body sources). The quick pass treated a cost brief as an "outcome" that "supports" the paper; the evidence supports only the narrower point that the market driver became more unfavourable.</w:t>
      </w:r>
    </w:p>
    <w:p>
      <w:r>
        <w:t>Research source trail (starting point): https://api.crossref.org/works/10.15173/esr.v23i1.3312</w:t>
      </w:r>
    </w:p>
    <w:p>
      <w:r>
        <w:t>Catalogue record: 303</w:t>
      </w:r>
    </w:p>
    <w:p>
      <w:pPr>
        <w:pStyle w:val="Heading2"/>
      </w:pPr>
      <w:r>
        <w:t>127 — Transmission and storage in European decarbonisation (2021)</w:t>
      </w:r>
    </w:p>
    <w:p>
      <w:r>
        <w:t>Earlier perspective.    - Study: Golombek, Lind, Ringkjøb &amp; Seljom, Energy 239 (2022) 122159, online September 2021.   - Method: soft-links two models. LIBEMOD (a European energy equilibrium model) supplies electricity demand and fuel prices. Stochastic TIMES-Europe covers power and district heat in 29 countries (EU-28 minus Cyprus, plus Norway and Switzerland). Model years are 2020, 2030, 2040 and 2050, each with 48 time slices × 15 weather/demand scenarios.   - "Green" case (Table 2): the 2030 package (−40% GHG vs 1990, 32% renewables in final energy, 32.5% efficiency) plus a 95% cut in power-sector emissions by 2050.   - 2050 results (Table 3, Section 5.4): across the Green sensitivity cases, excluding the constrained-grid case, wind + solar is 65–70% of generation. The stochastic reference case gives 0.68. The deterministic case gives 0.73, the constrained-grid case 0.69, and the climate-neutral-by-2040 case 0.75.   - Battery storage in 2050 is 80–351 GWh; the reference case gives 198.5 GWh. The text quotes the same number as 198 GW of discharge capac</w:t>
      </w:r>
    </w:p>
    <w:p>
      <w:r>
        <w:t>Developments since.    - Wind + solar share, 2025.     - Eurostat `nrg_cb_pem` (net generation, monthly; updated 23 Oct 2026), summed over 12 months (own calculation). In 2025, EU27 total generation was 2,666,786 GWh. Wind was 473,074 GWh (17.7%) and solar 346,819 GWh (13.0%), giving 30.7% combined. The 2024 figure was 29.1%. January–July 2026 gives 33.4%, but that is a partial year weighted toward sunny months.     - Ember, European Electricity Review 2026 (22 Jan 2026): wind 17%, solar 13%, wind + solar 30%, above fossil (29%) for the first time. Coal hit a record low of 9.2%; renewables were 48%.   - Trend since 2015. Eurostat `nrg_bal_peh` (gross production, annual; updated 2 Jun 2026), own calculation:     - Wind + solar (wind + PV + solar thermal) rose from 12.5% of 2,907,131 GWh in 2015 to 28.2% of 2,828,734 GWh in 2024, about 1.74 percentage points a year.     - In 2024, solid fossil fuels were 9.6% of gross production and natural gas 15.7%.   - Installed capacity. Eurostat `nrg_inf_epcrw` (updated 9 Oct 2026), EU27:</w:t>
      </w:r>
    </w:p>
    <w:p>
      <w:r>
        <w:t>How these connect.    - The headline is a conditional least-cost result, not a prediction.   - Purely as an illustration (not a forecast): extending the 2015–2024 linear trend of about 1.74 percentage points a year would reach 65% around 2045 and 70% around 2048, so the 2050 range is plausible. The trend need not stay linear, though. Curtailment, grid lag and constraints on onshore wind acceptance could bend it.   - The system Europe actually reaches looks set to be more PV- and battery-heavy, and less onshore-wind-heavy, than the reference case. Schreyer et al. (2024, opened under Record 258) estimate that net-zero needs 60–110 GW/yr of PV and 40–60 GW/yr of wind over 2025–2050. The EU's 2024 additions (+61 GW PV, +15 GW wind) meet the PV range but fall well short on wind.   - The paper left out end-use electrification, which later net-zero work treats as central (Price et al. use 7,066 TWh of 2050 demand). That mainly changes absolute capacities, not shares.   - The regions differ: the model includes UK, NO and CH, the statistics are EU27, and ENTSO-E</w:t>
      </w:r>
    </w:p>
    <w:p>
      <w:r>
        <w:t>Research source trail (starting point): https://bora.uib.no/bora-xmlui/handle/11250/2829614:</w:t>
      </w:r>
    </w:p>
    <w:p>
      <w:r>
        <w:t>Catalogue record: 127</w:t>
      </w:r>
    </w:p>
    <w:p>
      <w:pPr>
        <w:pStyle w:val="Heading2"/>
      </w:pPr>
      <w:r>
        <w:t>86 — Energy transition scenarios for the EU Green Deal (2021)</w:t>
      </w:r>
    </w:p>
    <w:p>
      <w:r>
        <w:t>Earlier perspective.    - Study: Hainsch, Löffler, Burandt, Auer, Crespo del Granado, Pisciella &amp; Zwickl-Bernhard, Energy 239 (2022) 122067, online September 2021 (openENTRANCE, Horizon 2020).   - What it does: reviews European decarbonisation scenarios. It defines four storylines in a three-way space (policy exertion × technological novelty × societal attitude) and quantifies them to 2050 with the GENeSYS-MOD energy-system model.     - Directed Transition, Societal Commitment and Techno-Friendly are 1.5°C-consistent.     - Gradual Development is the 2°C reference.   - Section 3.3 results: the three 1.5°C pathways reach nearly full decarbonisation by 2040, and Gradual Development by 2050. Wind and PV supply most electricity, and electricity-based technologies are the main option for heating and industry.   - Table 3 (openENTRANCE model region):</w:t>
      </w:r>
    </w:p>
    <w:p>
      <w:r>
        <w:t>Developments since.    - Electrification. Eurostat `nrg_bal_c` (updated 27 Aug 2026), EU27 final consumption, energy use (own calculation): electricity was 23.1% in 2015 (2,449,356 of 10,599,601 GWh) and 23.4% in 2024 (2,394,009 of 10,209,704 GWh). Flat for a decade.   - Passenger cars.     - Eurostat `road_eqs_carpda` (stock; updated 20 Oct 2026), own calculation: battery-electric cars were 7,592,725 of 263,847,868 in 2025 (2.88%), up from 0.24% in 2019.     - Eurostat `road_eqr_carpda` (new registrations; updated 6 Oct 2026): battery-electric share of new cars rose from 1.9% (2019) to 17.3% (2025: 1,888,016 of 10,937,447).   - Power mix, 2025. Ember EER 2026: wind + solar 30%, fossil 29%, renewables 48%. Eurostat `nrg_cb_pem`: 30.7% (own calculation).   - Emissions. Eurostat `env_air_gge`, EU27 total GHG excluding LULUCF and memo items: 4,866.9 Mt in 1990 and 3,017.2 Mt in 2024 (−38%). Including LULUCF: 4,608.5 Mt and 2,786.2 Mt (−39.5%). Both own calculations.   - Targets.</w:t>
      </w:r>
    </w:p>
    <w:p>
      <w:r>
        <w:t>How these connect.    - The conditional insight that rapid decarbonisation needs high electrification is still the consensus in later work: EEV2060 has 60–62% electricity in final energy by 2050, and Schreyer et al. (2024) have 42–60%.   - Real end-use electrification has stalled, so actual development so far resembles the early phase of no 1.5°C storyline.   - The paper's "at least half of passenger vehicles electric by 2030" was a stated need. With 2.9% of the stock in 2025, it will almost certainly not be met if it refers to the fleet. Even 50% of new sales by 2030 would mean roughly tripling the 2025 sales share in five years.   - Table 3's absolute figures are not comparable like-for-like with EU27 statistics. The openENTRANCE region is larger (the paper notes it includes, for example, Turkey), and the paper does not define "electrification volume". EEV2060's "recent" 16% electricity share also differs from Eurostat's 23%, which points to definitional differences.</w:t>
      </w:r>
    </w:p>
    <w:p>
      <w:r>
        <w:t>Research source trail (starting point): https://depositonce.tu-berlin.de/items/cc924bea-a32a-421b-9f80-3cf3c03db597:</w:t>
      </w:r>
    </w:p>
    <w:p>
      <w:r>
        <w:t>Catalogue record: 86</w:t>
      </w:r>
    </w:p>
    <w:p>
      <w:pPr>
        <w:pStyle w:val="Heading2"/>
      </w:pPr>
      <w:r>
        <w:t>58 — EU energy infrastructure needs for 1.5°C by 2050 (2022)</w:t>
      </w:r>
    </w:p>
    <w:p>
      <w:r>
        <w:t>Earlier perspective.    - Study: Arduin, Andrey &amp; Bossmann (Artelys), F1000Research 11:387 (v1, 1 Apr 2022; two approving reviews; funded by the European Climate Foundation).   - Method: a joint electricity–hydrogen–methane optimisation of capacity expansion and hourly dispatch (Artelys Crystal Super Grid) for a single year, 2050. It covers EU27 plus NO, CH, UK and four Western Balkan countries at national resolution.   - Reference scenario, based on the Commission's 1.5TECH:     - About 4,000 TWh final electricity demand.     - 1,600 TWh hydrogen demand, 1,200 TWh methane and 825 TWh biomethane.     - About 1,000 GW PV, 750 GW onshore wind and 450 GW offshore; about 120 GW nuclear.     - A CO2 price of 350 €/t, and new interconnection capped at 20 GW per border.</w:t>
      </w:r>
    </w:p>
    <w:p>
      <w:r>
        <w:t>Developments since.    - Official needs assessment. ENTSO-E, TYNDP 2024 Infrastructure Gaps Report (April 2025; ENTSO-E area):     - Cross-border capacity: 126 GW available in 2025 and 161 GW expected in 2030.     - Cost-optimal additions on top of the 2030 grid: +88 GW (2030), +108 GW (2040, including 20 GW offshore hybrid) and +224 GW (2050, including 44 GW hybrid offshore).     - Storage: 540 GW by 2050, which by ENTSO-E's definition combines battery capacity in the scenario with additional optimised storage.     - Only about 47 GW of projects are expected between 2030 and 2035, and about 78 GW after 2030 by 2040. That leaves a 28 GW gap against the 2040 need.     - Largest 2050 needs: France–Great Britain and Sweden–Finland.     - Caveat: ENTSO-E's 224 GW is measured against the 2030 grid, while Arduin's 220–280 GW is measured against the TYNDP 2018 grid for 2020. Arduin's needs therefore sit on a lower base. They are close in magnitude, but the baselines and regions differ.</w:t>
      </w:r>
    </w:p>
    <w:p>
      <w:r>
        <w:t>How these connect.    - The robust qualitative findings still hold:     - large cross-border electricity expansion is needed in all scenarios (ENTSO-E 2024 agrees);     - hydrogen network needs are the most uncertain and depend on demand and where renewables are sited.   - The study was not designed to anticipate the delivery gap now visible: ENTSO-E's pipeline falls short of its own needs, and interconnectivity ratios fell in several key countries.   - The hydrogen quantities hinge on 1,600 TWh of hydrogen demand in 2050, which looks high next to later assessments (Schreyer et al. 2024: 1,000–2,600 TWh including synthetic fuels) and against today's stalled market. If demand ends up lower, the authors' own sensitivity implies about 60% less hydrogen infrastructure.   - "No new methane interconnectors needed" cannot be checked against outcomes yet, but it is consistent with the ETH report's assumptions.   - The study is ECF-funded work by Artelys staff, as the paper itself discloses.</w:t>
      </w:r>
    </w:p>
    <w:p>
      <w:r>
        <w:t>Research source trail (starting point): https://www.ncbi.nlm.nih.gov/pmc/articles/PMC9065927/</w:t>
      </w:r>
    </w:p>
    <w:p>
      <w:r>
        <w:t>Catalogue record: 58</w:t>
      </w:r>
    </w:p>
    <w:p>
      <w:pPr>
        <w:pStyle w:val="Heading2"/>
      </w:pPr>
      <w:r>
        <w:t>258 — Hydrogen and Power-to-Liquid in a low-carbon EU (2018)</w:t>
      </w:r>
    </w:p>
    <w:p>
      <w:r>
        <w:t>Earlier perspective.    - Study: Blanco, Nijs, Ruf &amp; Faaij, Applied Energy 232 (2018) 617–639.   - Model: JRC-EU-TIMES (EU28 plus CH, NO and IS), focused on 2050, covering CO2 only.   - Scenario design: more than 50 scenarios varying 15 parameters, including:     - the CO2 target (80% or 95% below 1990);     - whether underground CO2 storage is available;     - biomass potential (7–25.5 EJ/yr);     - Power-to-Liquid and PEM electrolyser costs;</w:t>
      </w:r>
    </w:p>
    <w:p>
      <w:r>
        <w:t>Developments since.    - Hydrogen demand.     - European Hydrogen Observatory: 8.24 Mt (2022), 7.96 Mt (2023) and 7.87 Mt (2024) in Europe.     - ECA SR 11/2024: EU consumption of fossil-based hydrogen was 8–10 Mt in 2020; 96% of hydrogen used in Europe in 2022 came from natural gas; hydrogen was under 2% of energy consumption.   - Clean production, 2024.     - Observatory: water electrolysis produced 42.81 kt and reforming with carbon capture 42.68 kt. Clean hydrogen met 36.32 kt of demand.     - 2024 dataset, own sum: 380.9 MWel of operational electrolysis (308.1 MWel in the EU).   - Targets versus reality. ECA SR 11/2024: the 2030 targets of 10 Mt domestic plus 10 Mt imported are unlikely to be met. Regulation-driven demand is 3.8–10.5 Mt, and 10 Mt may need up to 140 GW of electrolysers.</w:t>
      </w:r>
    </w:p>
    <w:p>
      <w:r>
        <w:t>How these connect.    - The paper's structural insights hold up in later work (Schreyer et al. 2024; ECA):     - without large-scale CO2 storage, electrolysis and synthetic fuels carry the load;     - Power-to-Liquid is hard to avoid for aviation and long-distance transport;     - steel is a key hydrogen user.   - The large hydrogen volumes, especially for road transport, look much less likely now. Battery-electric vehicles have won the car market, and policy targets for 2030 are being missed.   - Real-world deployment is far behind any scenario's implied ramp-up. But the study's horizon is 2050, and the authors explicitly tied results to the CO2 target rather than to the calendar.   - Uncertainty: the Observatory's European scope differs from the paper's EU28+, and the electrolysis output is modelled (53 kWh/kg at 68% utilisation, per the Observatory's notes).</w:t>
      </w:r>
    </w:p>
    <w:p>
      <w:r>
        <w:t>Research source trail (starting point): https://publikationen.bibliothek.kit.edu/1000086748:</w:t>
      </w:r>
    </w:p>
    <w:p>
      <w:r>
        <w:t>Catalogue record: 258</w:t>
      </w:r>
    </w:p>
    <w:p>
      <w:pPr>
        <w:pStyle w:val="Heading2"/>
      </w:pPr>
      <w:r>
        <w:t>339 — Strategic directions of the Polish power sector under EU climate-energy policy (2016)</w:t>
      </w:r>
    </w:p>
    <w:p>
      <w:r>
        <w:t>Earlier perspective.  Gawlik &amp; Mirowski, Humanities and Social Sciences XXI, 23(2/2016), pp. 49–62 (Mineral and Energy Economy Research Institute, Polish Academy of Sciences). A cost-minimising power-sector model (run on the PL-Grid infrastructure) is optimised to 2050 under five of "more than a dozen" scenarios taken from an earlier coal-demand study (Gawlik ed., 2013):   - COAL (reference): up to three 1.5 GW nuclear units (2025/2030/2035) if optimal; CCS commercial from 2030; gas prices follow world trends.   - GAS: lower gas prices (domestic or shale gas, diversification).   - NUCLEAR: one 1.5 GW unit every 5 years 2025–2050 if optimal.   - CCS: CCS available by 2025.   - NO-CCS: no CCS by 2050.      Common assumptions: demand rising to 204 TWh in 2050; CO2 allowance price rising to 210 PLN (2011 prices); an imposed renewable share of electricity of 23% (2020), 27% (2030) and 35% (2050).</w:t>
      </w:r>
    </w:p>
    <w:p>
      <w:r>
        <w:t>Developments since.    - OWID energy dataset, Poland rows (Ember/EI-based), https://raw.githubusercontent.com/owid/energy-data/master/owid-energy-data.csv:     - 2013: generation 163.78 TWh; coal 84.1%, gas 3.2%, wind 3.7%, solar 0.0%, bioenergy 5.3%, renewables 10.4%.     - 2020: coal 68.3%, renewables 18.0%.     - 2025: generation 173.26 TWh; coal 50.4%, gas 14.3%, wind 14.2%, solar 11.3%, bioenergy 4.9%, renewables 31.5%, nuclear 0.0%; carbon intensity 588.6 gCO2/kWh.   - Eurostat SHARES, renewable share of electricity, Poland, table nrg_ind_ren, REN_ELC, updated 15 Sep 2026, https://ec.europa.eu/eurostat/api/dissemination/statistics/1.0/data/nrg_ind_ren?format=JSON&amp;lang=EN&amp;geo=PL&amp;geo=EU27_2020&amp;nrg_bal=REN_ELC&amp;nrg_bal=REN&amp;unit=PC: 16.2% (2020), 25.8% (2023), 30.4% (2024), 32.5% (2025).   - Forum Energii "2025_wrapped" (27 Jan 2026; December figures preliminary), https://www.forum-energii.eu/en/2025_wrapped:     - 2025 generation: hard coal 57.6 TWh, lignite 33.5, gas 24.4, onshore wind 23.8, PV 20.3.</w:t>
      </w:r>
    </w:p>
    <w:p>
      <w:r>
        <w:t>How these connect.  The paper's binding renewable constraint was treated as a cost burden. In reality, renewables became the cheapest expansion option and outgrew the constraint. The paper's message that coal can be kept with CCS, otherwise gas plus nuclear, survives only in its second half: gas is growing and nuclear is planned. Uncertainty: OWID, Forum Energii and ARE differ by 1–3 points on the coal share. Capacity figures differ between ARE (PV 24.8 GW) and Forum Energii (PV 25.9 GW). Costs in PLN'2011 were not checked against outturn.</w:t>
      </w:r>
    </w:p>
    <w:p>
      <w:r>
        <w:t>Research source trail (starting point): https://oficyna.prz.edu.pl/download/ULHFwMPAl_ZxYTTAMeQEgdJUUYGXxnR1lJQG1OBU9cTiQNXk0iGUY,XSDlUdJRwdNE4xURowFxsVWQdWHS1oAgMaATwDShkVHihHDUN1QANrDXE/hss-23-2016-02-pwp.pdf</w:t>
      </w:r>
    </w:p>
    <w:p>
      <w:r>
        <w:t>Catalogue record: 339</w:t>
      </w:r>
    </w:p>
    <w:p>
      <w:pPr>
        <w:pStyle w:val="Heading2"/>
      </w:pPr>
      <w:r>
        <w:t>421 — Renewable scenarios for North Africa and electricity exchange with Europe to 2050 (2014)</w:t>
      </w:r>
    </w:p>
    <w:p>
      <w:r>
        <w:t>Earlier perspective.  Boie, Pudlik, Ragwitz, Sensfuß (Fraunhofer ISI), Bohn, Agsten, Bretschneider, Westermann (Fraunhofer IOSB-AST), Int. J. Smart Grid and Clean Energy 3(3), July 2014, 299–306.   - Scope: Algeria, Egypt, Libya, Morocco and Tunisia to 2050. A GIS cost-potential assessment is combined with a top-down demand model and PowerACE linear cost-optimisation. AC grids are simulated in DIgSILENT PowerFactory.   - Scenarios:     - S1: CO2 −50% vs 1990 in both regions, high demand, no EU–North Africa interconnection.     - S2: EU −95%, North Africa −50%, high demand, no interconnection.     - S3: as S2, with interconnection.     - S4: as S3, with lower demand (efficiency).   - Demand: 1,070 TWh/a in 2050 (BAU) or 871 TWh/a (efficiency case, −17%).</w:t>
      </w:r>
    </w:p>
    <w:p>
      <w:r>
        <w:t>Developments since.  OWID energy dataset (Ember/EI-based), https://raw.githubusercontent.com/owid/energy-data/master/owid-energy-data.csv, and https://ourworldindata.org/grapher/share-electricity-renewables.csv.   - Renewable share of electricity in 2024: Morocco 24.4%, Egypt 11.2%, Tunisia 4.4%, Algeria 1.07%, Libya 0.03%. In 2025: Morocco 24.0%, Egypt 13.0%, Tunisia 4.0% (no 2025 values for Algeria and Libya).   - Five-country totals, my scripted sums of OWID country rows, all five countries present for 2013 and 2024:     - 2013: generation 307.98 TWh, renewables 19.97 TWh (6.5%), wind 3.30 TWh, solar 0.05 TWh, demand 312.89 TWh.     - 2024: generation 432.11 TWh, renewables 38.91 TWh (9.0%), wind 13.62 TWh, solar 10.04 TWh, hydro 15.21 TWh, demand 433.32 TWh.     - 2024 wind (13.6 TWh) compares with 618–965 TWh in the 2050 scenarios; solar PV and CSP combined (about 10 TWh) with 183–534 TWh.     - Morocco, the leader, produced 7.09 TWh wind and 2.41 TWh solar in 2024, while coal was 61.7% of its generation.   - Net electricity imports (OWID `net_elec_imports`, Ember): Morocco +2.54 TWh (2024) and +3.73 TWh (2025); Tunisia +2.59 TWh (2024); Algeria −2.52 TWh; Egypt −1.40 TWh. Morocco's positive net imports indicate that flows across the Morocco–Spa</w:t>
      </w:r>
    </w:p>
    <w:p>
      <w:r>
        <w:t>How these connect.  The paper's exogenous driver (demand growth) is broadly on track. The decisive endogenous outcome (cost-optimal renewable build-out under CO2 caps and interconnection) has not materialised. The 50% CO2 cut for North Africa was never adopted as policy, and the national targets are partial. The technical finding that massive AC reinforcement plus an MT-HVDC overlay would be needed is neither confirmed nor refuted; it has not been tested, because the generation and export build-out did not occur. The export idea survives mainly as hydrogen corridors (He et al.) and in models (Dalla Longa &amp; van der Zwaan), which find that Europe's net cost depends on how much renewable hydrogen it can make at home. Uncertainty:   - OWID's North African series rely on Ember and Energy Institute estimates; 2025 values are missing for Algeria and Libya.   - The Fig. 3 values are read by eye from a chart.   - Planned interconnectors (ELMED Tunisia–Italy, the 4.6 GW of links mentioned by Dalla Longa &amp; van der Zwaan) could change the trade picture before 2030;</w:t>
      </w:r>
    </w:p>
    <w:p>
      <w:r>
        <w:t>Research source trail (starting point): http://www.ijsgce.com/uploadfile/2014/0522/20140522020236810.pdf</w:t>
      </w:r>
    </w:p>
    <w:p>
      <w:r>
        <w:t>Catalogue record: 421</w:t>
      </w:r>
    </w:p>
    <w:p>
      <w:pPr>
        <w:pStyle w:val="Heading2"/>
      </w:pPr>
      <w:r>
        <w:t>191 — Low-carbon investment needs, China vs Europe, stringent climate scenarios (2019)</w:t>
      </w:r>
    </w:p>
    <w:p>
      <w:r>
        <w:t>Earlier perspective.  Zhou, McCollum, Fricko, Gidden, Huppmann, Krey, Riahi (IIASA), Environ. Res. Lett. 14 (2019) 054017.   - Model: MESSAGEix-GLOBIOM (11 regions; Europe = Western plus Eastern Europe), SSP2, US$2015.   - Scenarios: CPol (policies as of 2015, the reference), NDC, 2C (about 1,000 GtCO2 for 2011–2100) and 1.5C (about 400 GtCO2).   - "Low-carbon investment" covers renewables, bioenergy, nuclear, CCS, efficiency and the low-carbon share of transmission, distribution and storage. It was 185 bn (China) and 145 bn (Europe) in 2016, i.e. 52% and 59% of total energy investment.   - Headline: average 2016–2050 low-carbon investment must be 65% (China) and 38% (Europe) above CPol under 2C, and 149% and 79% above under 1.5C.   - Total energy investment: CPol averages 358 bn (China) and 248 bn (Europe). 2C needs +23% for China; for Europe, Eastern Europe needs +21% and Western Europe +18%.   - Renewable power investment: China about 43 bn (CPol) to 83 bn (2C) and 131 bn (1.5C); Europe 27, 38 and 54 bn.   - Europe low-carbon investment under 2C and 1.</w:t>
      </w:r>
    </w:p>
    <w:p>
      <w:r>
        <w:t>Developments since.    - IEA World Energy Investment 2024, PDF https://iea.blob.core.windows.net/assets/60fcd1dd-d112-469b-87de-20d39227df3d/WorldEnergyInvestment2024.pdf. Figures are in USD (2023, MER).     - Overview p. 9: the EU "spends USD 370 billion on clean energy today", and China is "set to spend almost USD 680 billion in 2024".     - Overview p. 8: global energy investment exceeds USD 3 trillion in 2024, USD 2 trillion of it clean.     - EU regional deep dive, chart p. 187 and text p. 188:       - EU clean energy investment is 20% of the global total.       - The ratio of clean to fossil-fuel investment is 10.9 in 2023.       - Renewable generation investment was almost USD 110 bn in 2023 and grids nearly USD 65 bn.</w:t>
      </w:r>
    </w:p>
    <w:p>
      <w:r>
        <w:t>How these connect.  Comparability is the main limit:   - IEA "clean energy investment" includes end-use spending (EVs, efficiency, electrification), much of it consumer EV purchases. Zhou's "low-carbon investment" includes energy efficiency, but scaled from IEA's base-year efficiency figure, and the low-carbon share of T&amp;D. The categories overlap only partly.   - Zhou's "Europe" includes non-EU Western and Eastern Europe, while IEA's is EU27.   - MER and price bases differ, and my deflator conversion is approximate.   - Cost declines (solar and battery prices fell over 80% in 2014–2024 per WEO 2025, p. 92) mean more capacity per dollar, so dollar comparisons understate physical deployment.      Even allowing a factor of 1.5 for definitional differences, the observed levels exceed the 2C requirement to 2030. The study's caution that "those investments will not likely be realized without strong policy incentives" was borne out in the sense that policy (EU REPowerEU, China industrial policy) drove the surge.</w:t>
      </w:r>
    </w:p>
    <w:p>
      <w:r>
        <w:t>Research source trail (starting point): https://iopscience.iop.org/article/10.1088/1748-9326/ab0dd8/pdf</w:t>
      </w:r>
    </w:p>
    <w:p>
      <w:r>
        <w:t>Catalogue record: 191</w:t>
      </w:r>
    </w:p>
    <w:p>
      <w:pPr>
        <w:pStyle w:val="Heading2"/>
      </w:pPr>
      <w:r>
        <w:t>100 — Integrated assessment of bioenergy in EU energy-transition targets to 2050 (2021/2022)</w:t>
      </w:r>
    </w:p>
    <w:p>
      <w:r>
        <w:t>Earlier perspective.  Mandley, Wicke, Junginger, van Vuuren, Daioglou, GCB Bioenergy 14(2), 2022, 157–172 (online Oct 2021).   - Model: IMAGE 3.2 (TIMER energy model calibrated to IEA data 1971–2018).   - Region: "Europe" combines IMAGE's West Europe and Central &amp; Eastern Europe, so it is not the EU27. It counts modern bioenergy only, excluding traditional fuelwood.   - Scenarios:     - Baseline: SSP2, no carbon price.     - Global &lt;2°C: carbon price from 2020 consistent with RCP2.6, global budget of about 1,000 GtCO2eq.     - No BECCS and No Bio: counterfactuals at the same carbon price.   - Results under &lt;2°C:</w:t>
      </w:r>
    </w:p>
    <w:p>
      <w:r>
        <w:t>Developments since.  Eurostat complete energy balances nrg_bal_c, EU27_2020, siec = BIOE (bioenergy), TJ, updated 27 Aug 2026, https://ec.europa.eu/eurostat/api/dissemination/statistics/1.0/data/nrg_bal_c?format=JSON&amp;lang=EN&amp;geo=EU27_2020&amp;unit=TJ&amp;siec=BIOE&amp;siec=TOTAL&amp;nrg_bal=GIC&amp;nrg_bal=IMP&amp;nrg_bal=EXP&amp;nrg_bal=PPRD   - Gross inland consumption: 5.38 EJ (2015), 5.85 EJ (2020), 6.35 EJ (2021), 6.11 EJ (2022), 5.99 EJ (2023), 5.99 EJ (2024).   - Net imports, my scripted calculation: 2024 imports 1.13 EJ, exports 0.81 EJ, net 0.326 EJ (5.4% of consumption). 2023: net 0.351 EJ (5.9%). 2020: net 0.321 EJ (5.5%).   - Gross inland consumption of bioenergy rose 2.3% from 2020 to 2024.   - Bioenergy was 10.4% (2020) and 11.1% (2024) of total EU27 gross inland consumption (56.12 and 54.09 EJ). This includes all solid biofuels, including traditional household wood, so it is not directly comparable with Mandley's modern-only share of primary energy (27% in 2050).   - Mandley's own base: "current" EU bioenergy consumption is 5.7 EJ/yr (citing Eurostat 2021), and 96% of biomass used for energy is EU-sourced (Introduction). The Eurostat 2024 figures (5.99 EJ, about 5% net imports) are essentially unchanged from that base.   - Transport. Eurostat SHARES (nrg_ind_ren,</w:t>
      </w:r>
    </w:p>
    <w:p>
      <w:r>
        <w:t>How these connect.  The decisive post-2030 elements (tripling of demand, 60% imports, 0.73 Gt/yr of BECCS) have no observable precursor yet. Global removal capacity is about 1 Mt/yr, about 1/730 of the projected European 2050 BECCS capture of 0.73 Gt/yr. That is consistent with the study's own timeline but leaves the 2050 figure as an untested extrapolation.      The definitional gap (IMAGE "Europe" and modern bioenergy versus Eurostat EU27 totals including traditional wood) limits comparisons of levels, not of trends.      Seo et al. raise a substantive challenge to the land-based part of bioenergy expansion. Their model excludes CCS and residues, so it addresses a different supply route from the one that dominates Mandley's mitigation (residue-fired BECCS in power). The two studies do not directly contradict each other, but Seo et al. reinforce Mandley's own caveat that sustainable supply may be lower than projected.      One near-term divergence: Mandley's pathway is tuned to the then-legislated EU −40% (2030) and −80% (2050) targets. The EU has sinc</w:t>
      </w:r>
    </w:p>
    <w:p>
      <w:r>
        <w:t>Research source trail (starting point): https://dspace.library.uu.nl/server/api/core/bitstreams/c80eb836-0e7d-4d6b-8ace-8722911ae29e/content</w:t>
      </w:r>
    </w:p>
    <w:p>
      <w:r>
        <w:t>Catalogue record: 100</w:t>
      </w:r>
    </w:p>
    <w:p>
      <w:pPr>
        <w:pStyle w:val="Heading2"/>
      </w:pPr>
      <w:r>
        <w:t>458 — EU strategic gas supply options and the Southern Corridor (2013)</w:t>
      </w:r>
    </w:p>
    <w:p>
      <w:r>
        <w:t>Earlier perspective.  Fernandes &amp; Ermida, European Foreign Affairs Review 18(4), pp. 547–561. The African Union library record gives the volume, issue and pages; Kluwer's metadata lists the issue as "Special" and the date as 1 Dec 2013. The full text is paywalled: Kluwer's citation-PDF link returned only the HTML landing page, and OpenAlex marks the article closed, with no repository copy.   - What the abstract says (Kluwer `citation_abstract` metadata): it opens by asserting that the EU will significantly increase its gas consumption. It then states that "Current estimates predict the EU will need to import up to 80%" of the gas it consumes in 2030. It also notes concern about reliance on Russian gas, especially in Eastern Europe, and weighs shale gas, more LNG and supplier diversification. Its argument is that the EU's main priority seems to be the Southern Gas Corridor, with Turkey as a hub.   - What is being claimed: the share of EU gas consumption that is imported, for the EU (then EU‑28), in 2030. The number (up to 80%) is an upper bound. The abstra</w:t>
      </w:r>
    </w:p>
    <w:p>
      <w:r>
        <w:t>Developments since.    - Gas import dependency. Eurostat `nrg_ind_id`, natural gas (G3000), EU27_2020, % (updated 16 Jul 2026):      | 2013 | 2016 | 2017 | 2018 | 2019 | 2020 | 2021 | 2022 | 2023 | 2024 |     |---|---|---|---|---|---|---|---|---|---|     | 68.3 | 75.7 | 80.2 | 83.2 | 89.7 | 83.6 | 83.6 | 97.6 | 90.0 | 85.0 |      Definition (Eurostat metadata `nrg_ind_id_esmsip2`): (imports − exports) / gross available energy. A rate above 100% indicates stock-building.</w:t>
      </w:r>
    </w:p>
    <w:p>
      <w:r>
        <w:t>How these connect.  The 80% was a borrowed BAU estimate. As an upper bound it proved too low, for a reason the abstract did not anticipate: production decline, not demand growth. The study's thesis that the Southern Corridor was the EU's priority describes 2013 policy. In outcome terms the corridor stayed marginal next to Norway and US supply. Uncertainties:   - The EFAR full text is unread, so the authors may cite a different source or add caveats.   - EU‑27 vs EU‑28 scope.   - The 2025 value is my calculation from monthly data.   - Partner shares are affected by "not specified" flows.</w:t>
      </w:r>
    </w:p>
    <w:p>
      <w:r>
        <w:t>Research source trail (starting point): https://kluwerlawonline.com/journalarticle/European+Foreign+Affairs+Review/18.4/EERR2013040:</w:t>
      </w:r>
    </w:p>
    <w:p>
      <w:r>
        <w:t>Catalogue record: 458</w:t>
      </w:r>
    </w:p>
    <w:p>
      <w:pPr>
        <w:pStyle w:val="Heading2"/>
      </w:pPr>
      <w:r>
        <w:t>342 — Shaping the 'Energy Union' (2016)</w:t>
      </w:r>
    </w:p>
    <w:p>
      <w:r>
        <w:t xml:space="preserve">Earlier perspective.  Szulecki, Fischer, Gullberg &amp; Sartor, Climate Policy 16(5), pp. 548–567 (Crossref); licence CC BY‑NC‑ND. I could not reach the full text. Taylor &amp; Francis returned a Cloudflare challenge (HTTP 403) to direct requests, and the domain is not on the WebFetch allowlist. OpenAlex and Unpaywall list only the publisher copy.   - What the abstract says (reconstructed from OpenAlex): the Energy Union is the most significant idea for reforming European energy governance, but so far it is largely an empty concept that each stakeholder fills with its own priorities. The article reviews three theories of European integration. It traces the Energy Union proposals of Tusk, Juncker and the Commission, and compares Germany, France, Poland and Norway on security, affordability and sustainability. It sketches two scenarios, one intergovernmentalist and one supranationalist. It stresses that the Energy Union's governance mechanism could reach far beyond what is expected and bring coherence to EU energy and climate policy.   - What is being claimed: the </w:t>
      </w:r>
    </w:p>
    <w:p>
      <w:r>
        <w:t>Developments since.    - Adoption. Regulation (EU) 2018/1999 entered into force on 24 Dec 2018 (Commission Energy Union page).   - Commission evaluation (11 Sep 2024). The report on the functioning of the Regulation, as summarised in DG CLIMA news, found that it helped keep the EU on track for 2030 by making planning and reporting more coherent and integrated, and that NECPs improved strategic planning. It also found that the coverage and quality of plans still differ, and that coherence with other legislation could improve.   - Submission record. Final updated NECPs were due on 30 June 2024.     - On 28 May 2025 the Commission assessed 23 plans; Belgium, Estonia and Poland had not yet submitted, and Slovakia had submitted on 15 April 2025 (IP/25/1337).     - Estonia and Slovakia were assessed on 2 Oct 2025, and Belgium on 26 Jan 2026.     - Poland's final updated NECP is listed as "submitted in 2026" (Commission NECP page).   - Effect of the iterative review (QANDA/25/1338). Gaps against 2030 targets in the final plans:</w:t>
      </w:r>
    </w:p>
    <w:p>
      <w:r>
        <w:t>How these connect.  This is mainly a framework paper. The scanner rightly found one relevant later review, but no single source can settle a qualitative scenario. The main uncertainty is that I read the abstract only, so I do not know the exact content of the two scenarios or the authors' specific expectations. The Commission's assessments are self-evaluations.</w:t>
      </w:r>
    </w:p>
    <w:p>
      <w:r>
        <w:t>Research source trail (starting point): https://api.openalex.org/works/doi:10.1080/14693062.2015.1135100:</w:t>
      </w:r>
    </w:p>
    <w:p>
      <w:r>
        <w:t>Catalogue record: 342</w:t>
      </w:r>
    </w:p>
    <w:p>
      <w:pPr>
        <w:pStyle w:val="Heading2"/>
      </w:pPr>
      <w:r>
        <w:t>n/a (not in catalogue; scanner lead 545) — EU CBAM and least developed countries (2022)</w:t>
      </w:r>
    </w:p>
    <w:p>
      <w:r>
        <w:t>Earlier perspective. Original claim (Source; full text read, conference preprint): Perdana &amp; Vielle, Energy Policy 170 (2022) 113245.   - Versions: I read the GTAP Annual Conference version (AgEcon, preprint dated 21 Mar 2022) in full. The published version on Zenodo was blocked (HTTP 403 "unusual traffic"). The published abstract (OpenAlex) matches the preprint except that the preprint's "positive leakage" became plain carbon leakage.   - Model and baseline: GEMINI‑E3, a recursive-dynamic CGE model calibrated on GTAP 10 (2014 base year), with 11 regions and 11 sectors. The reference scenario is current policies to 2030, built from the CD‑Links database, extended to 2040; the EU 2030 targets are −43% ETS and −30% non-ETS vs 2005.   - Policy scenario: Fit for 55 plus climate neutrality in 2050–2060. The EU ETS price is US$132/t (2014 dollars) in 2040.   - Leakage without CBAM: 17% for CO2 and 12.1% for all greenhouse gases in 2040.   - Leakage with CBAM (energy-intensive industries and electricity, priced on direct emissions only): 12.6% (Table 3). The aut</w:t>
      </w:r>
    </w:p>
    <w:p>
      <w:r>
        <w:t xml:space="preserve">Developments since.    - Implementation timeline. CBAM's definitive regime applies from 1 Jan 2026, covering cement, iron and steel, aluminium, fertilisers, electricity and hydrogen (DG TAXUD CBAM page). The financial adjustment phases in from 1 Jan 2026, mirroring the phase-out of ETS free allocation until 2034 (press release IP/25/3088, 17 Dec 2025). The first declarations and certificate surrenders are due 30 Sep 2027 (DG TAXUD news, 30 Sep 2026).   - Certificate prices for 2026: €75.36 (Q1), €75.28 (Q2), €82.32 (Q3) (DG TAXUD certificate price page).   - De minimis threshold. Regulation (EU) 2025/2083 simplified CBAM with a 50-tonne single mass-based threshold. For 1 Apr 2025 – 31 Mar 2026, that threshold exempts 0.87% of embedded emissions (DG TAXUD news).   - December 2025 package (IP/25/3088 and QANDA/25/3089). The Commission proposed extending CBAM from 1 Jan 2028 to 180 steel- and aluminium-intensive downstream products. These are about 15% of in-scope CBAM goods by volume and 53% by value. It also proposed anti-circumvention rules (misdeclared emission intensity, scrap) and a Temporary Decarbonisation Fund for remaining leakage risk in export markets.   - Commission on the evidence so far. The Q&amp;A states "very limited data on the impact of </w:t>
      </w:r>
    </w:p>
    <w:p>
      <w:r>
        <w:t>How these connect.  The scanner treated a model result as a forecast; it is better seen as a conditional scenario contrast that real-world data are unlikely ever to settle. Newer models broadly agree that CBAM reduces modelled leakage. The size depends on the model (dynamic vs static), elasticities (Böhringer &amp; Rosendahl), base year, emissions scope and circumvention, which none of the models represents well. Uncertainties: I read the preprint rather than the version of record, so tables may differ slightly, though the abstract numbers match. I could not read the Commission's CBAM review report in full.</w:t>
      </w:r>
    </w:p>
    <w:p>
      <w:r>
        <w:t>Research source trail (starting point): https://ageconsearch.umn.edu/record/333458/files/11024.pdf:</w:t>
      </w:r>
    </w:p>
    <w:p>
      <w:pPr>
        <w:pStyle w:val="Heading2"/>
      </w:pPr>
      <w:r>
        <w:t>55 — Towards a decarbonised building stock by 2050: zero-emission buildings (2022)</w:t>
      </w:r>
    </w:p>
    <w:p>
      <w:r>
        <w:t>Earlier perspective.  Măduţa, Melica, D'Agostino &amp; Bertoldi (JRC), Energy Strategy Reviews 44 (2022) 101009. Gold open access, CC BY.   - I could not get the full text. ScienceDirect returned a Cloudflare error (403). The JRC repository (JRC130528) rejected the request. CORE withholds full text from public API users. OpenAlex's cached copy hit its daily rate limit (429), and the Elsevier API needs a key. Abstract from OpenAlex and CORE.   - What the abstract says: the EPBD revision proposal (the excerpt's sentence) lays out how Europe can reach a decarbonised building stock by 2050. Nearly zero-energy buildings (NZEBs) remain the current standard for new buildings, while zero-emission buildings (ZEBs) become the target from 2030.   - Its own contribution: a pragmatic ZEB definition, an approach to grouping energy uses and emissions, and steps to derive numerical benchmarks for operational energy. It also discusses links to other policies and market readiness.   - Its normative message: the ZEB concept "must be promptly transposed" to avoid the downturn se</w:t>
      </w:r>
    </w:p>
    <w:p>
      <w:r>
        <w:t xml:space="preserve">Developments since.    - Adoption and ZEB dates. The recast EPBD (EU) 2024/1275 was published 8 May 2024 and entered into force 28 May 2024, with general transposition by 29 May 2026. Timeline: proposal Dec 2021, provisional agreement Dec 2023 (Commission EPBD page). It makes ZEB the standard for new buildings: from 1 Jan 2028 for buildings owned by public bodies and from 1 Jan 2030 for all new buildings (Commission ZEB fact page). This matches the abstract's 2030 date for all new buildings. I could not verify what date the 2021 proposal set for public buildings.   - Existing buildings. Non-residential MEPS must trigger renovation of the worst-performing 16% of buildings by 2030 and 26% by 2033. Residential stock: average primary energy −16% by 2030 and −20–22% by 2035. Fossil-boiler subsidies end from 1 Jan 2025. GWP disclosure from 2028 (&gt;1,000 m²) and 2030 (all new buildings) (Commission EPBD page).   - Transposition record.     - On 15 July 2026, letters of formal notice went to all 27 Member States for failing to fully transpose the recast by 29 May 2026 (INF/26/1380).     - Draft National Building Renovation Plans (NBRPs) were due 31 Dec 2025. Letters of formal notice went to 19 Member States in March 2026 (INF/26/431). On 1 Oct 2026, reasoned </w:t>
      </w:r>
    </w:p>
    <w:p>
      <w:r>
        <w:t>How these connect.  The scanner's links are fair for a policy-adoption check. The more informative evidence is the transposition and infringement record, which matches the paper's warning about a repeat of the slow NZEB rollout. Uncertainties:   - I read only the abstract, so I cannot compare the paper's proposed ZEB benchmarks with the adopted definition, or say how the 2021 proposal differed from the final MEPS design.   - The emissions trend omits indirect emissions and weather effects.   - The renovation-rate figure is the Commission's round number.</w:t>
      </w:r>
    </w:p>
    <w:p>
      <w:r>
        <w:t>Research source trail (starting point): https://api.openalex.org/works/doi:10.1016/j.esr.2022.101009:</w:t>
      </w:r>
    </w:p>
    <w:p>
      <w:r>
        <w:t>Catalogue record: 55</w:t>
      </w:r>
    </w:p>
    <w:p>
      <w:pPr>
        <w:pStyle w:val="Heading2"/>
      </w:pPr>
      <w:r>
        <w:t>272 — Soil moisture–atmosphere feedbacks and central European TXx/precipitation projections (2018)</w:t>
      </w:r>
    </w:p>
    <w:p>
      <w:r>
        <w:t>Research source trail (starting point): https://surfobs.climate.copernicus.eu/dataaccess/access_eobs.php</w:t>
      </w:r>
    </w:p>
    <w:p>
      <w:r>
        <w:t>Catalogue record: 272</w:t>
      </w:r>
    </w:p>
    <w:p>
      <w:pPr>
        <w:pStyle w:val="Heading2"/>
      </w:pPr>
      <w:r>
        <w:t>338 — Record dry summer 2015 challenges central European precipitation projections (2016)</w:t>
      </w:r>
    </w:p>
    <w:p>
      <w:r>
        <w:t>Research source trail (starting point): https://opendata.dwd.de/climate_environment/CDC/regional_averages_DE/seasonal/precipitation/regional_averages_rr_summer.txt,</w:t>
      </w:r>
    </w:p>
    <w:p>
      <w:r>
        <w:t>Catalogue record: 338</w:t>
      </w:r>
    </w:p>
    <w:p>
      <w:pPr>
        <w:pStyle w:val="Heading2"/>
      </w:pPr>
      <w:r>
        <w:t>145 — Diverging hydrological drought traits over Europe with global warming (2020)</w:t>
      </w:r>
    </w:p>
    <w:p>
      <w:r>
        <w:t>Research source trail (starting point): https://climate.copernicus.eu/esotc/2024/river-flow;</w:t>
      </w:r>
    </w:p>
    <w:p>
      <w:r>
        <w:t>Catalogue record: 145</w:t>
      </w:r>
    </w:p>
    <w:p>
      <w:pPr>
        <w:pStyle w:val="Heading2"/>
      </w:pPr>
      <w:r>
        <w:t>298 — Projections of future precipitation extremes over Europe, EURO-CORDEX multimodel assessment (2017)</w:t>
      </w:r>
    </w:p>
    <w:p>
      <w:r>
        <w:t>Research source trail (starting point): https://www.eea.europa.eu/ds_resolveuid/IND-92-en,</w:t>
      </w:r>
    </w:p>
    <w:p>
      <w:r>
        <w:t>Catalogue record: 298</w:t>
      </w:r>
    </w:p>
    <w:p>
      <w:pPr>
        <w:pStyle w:val="Heading2"/>
      </w:pPr>
      <w:r>
        <w:t>363 — Water flows in four European lagoon catchments under future climate scenarios (2015)</w:t>
      </w:r>
    </w:p>
    <w:p>
      <w:r>
        <w:t>Research source trail (starting point): https://crudata.uea.ac.uk/cru/data/hrg/cru_ts_4.10/cruts.2604091129.v4.10/pre/.</w:t>
      </w:r>
    </w:p>
    <w:p>
      <w:r>
        <w:t>Catalogue record: 363</w:t>
      </w:r>
    </w:p>
    <w:p>
      <w:pPr>
        <w:pStyle w:val="Heading2"/>
      </w:pPr>
      <w:r>
        <w:t>400 — Climate change signal for Aachen, Germany: temperature and precipitation (2014)</w:t>
      </w:r>
    </w:p>
    <w:p>
      <w:r>
        <w:t>Research source trail (starting point): https://opendata.dwd.de/climate_environment/CDC/regional_averages_DE/;</w:t>
      </w:r>
    </w:p>
    <w:p>
      <w:r>
        <w:t>Catalogue record: 400</w:t>
      </w:r>
    </w:p>
    <w:p>
      <w:pPr>
        <w:pStyle w:val="Heading2"/>
      </w:pPr>
      <w:r>
        <w:t>444 — European atmosphere in 2050 (Colette et al., ACP, 2013)</w:t>
      </w:r>
    </w:p>
    <w:p>
      <w:r>
        <w:t>Earlier perspective.  This is a single-chain modelling study, not an ensemble. Models: IPSL-CM5A-MR global climate, downscaled by WRF at 50 km; LMDz-OR-INCA global chemistry for boundary conditions; CHIMERE regional chemistry-transport at 0.5°. Two coupled scenarios: a reference (RCP8.5 climate plus GEA "CLE1" air-pollutant emissions with current legislation and no climate policy) and a mitigation (RCP2.6 plus GEA "CLE2", the 2 °C pathway). Both include identical current air-quality legislation. Time slices: present day is 1995–2004 climate with 2005 emissions (plus an ERA-Interim hindcast for 1998–2007); future is 2045–2054 climate with 2050 emissions. Table 1 gives anthropogenic emissions for the domain 15°W–40°E, 30–65°N in Gg/yr, 2005 → 2050:   - NOx: 21,180 → 9,849 (CLE1) / 4,195 (CLE2), i.e. −54% / −80%   - NMVOC: 18,882 → 13,003 / 6,115, i.e. −31% / −68%   - SO2: 19,872 → 4,929 / 1,689, i.e. −75% / −92%   - NH3: 7,446 → 9,978 / 9,918, i.e. +34% / +33%   - BC: 780 → 254 / 89    The percentages are my calculations from the table. The paper's text giv</w:t>
      </w:r>
    </w:p>
    <w:p>
      <w:r>
        <w:t>Developments since.    - Eurostat `env_air_emis`, EU27_2020, national total (NFR_TOT_NAT), tonnes, 2005 → 2024. Retrieved via https://ec.europa.eu/eurostat/api/dissemination/statistics/1.0/data/env_air_emis (dataset updated 2026-09-07). Percentages are my calculations.     - NOx: 10,764,260 → 4,940,100 (−54.1%)     - NMVOC: 9,466,500 → 5,978,370 (−36.8%)     - SOx: 7,079,730 → 1,026,170 (−85.5%)     - NH3: 4,123,950 → 3,380,500 (−18.0%)     - PM2.5: 1,877,310 → 1,080,260 (−42.5%)   - The EEA indicator "Emissions of the main air pollutants" (published 23 Sep 2025) independently gives EU27 changes for 2005–2023: SOx −84%, NOx −53%, PM2.5 −38%, NMVOC −35%, NH3 −17%. https://www.eea.europa.eu/en/analysis/indicators/emissions-of-the-main-air/</w:t>
      </w:r>
    </w:p>
    <w:p>
      <w:r>
        <w:t>How these connect.  The study's lasting contributions are qualitative, and later modelling broadly supports them:   - Emissions, not climate, drive European air quality by mid-century.   - The ozone climate penalty exists but current legislation can offset it.   - Changes in hemispheric background ozone are a first-order factor.   - The PM2.5 climate effect is uncertain.    The Im et al. 2022 review (opened for Record 468) reports that every study it reviewed found emission changes outweighing climate effects. That is corroboration from further modelling, not an observed outcome.</w:t>
      </w:r>
    </w:p>
    <w:p>
      <w:r>
        <w:t>Research source trail (starting point): https://ec.europa.eu/eurostat/api/dissemination/statistics/1.0/data/env_air_emis</w:t>
      </w:r>
    </w:p>
    <w:p>
      <w:r>
        <w:t>Catalogue record: 444</w:t>
      </w:r>
    </w:p>
    <w:p>
      <w:pPr>
        <w:pStyle w:val="Heading2"/>
      </w:pPr>
      <w:r>
        <w:t>468 — Future air quality in Europe: projected exposure to ozone (Colette et al., ACP, 2012)</w:t>
      </w:r>
    </w:p>
    <w:p>
      <w:r>
        <w:t>Earlier perspective.  A five- or six-model ensemble of chemistry-transport models: BOLCHEM, CHIMERE, EMEP MSC-W, EURAD and OsloCTM2, plus MOZART-4, which was dropped from the exposure metrics. Two GEA scenarios for 2030, both carrying "all current and planned air quality legislation until 2030":   - Reference: no climate or energy-access policy; energy intensity falls 1.5%/yr.   - Sustainable climate policy: a 2 °C target and energy intensity falling 2.6%/yr.    Design: the control is 2005 GEA emissions with ten years of 1998–2007 meteorology. Meteorology and regional boundary conditions are held at present-day values, so there is no climate change and the natural background is unchanged; the authors flag this. EU27 emissions (Table 1, labelled kt/yr but evidently Mt/yr), GEA 2005 → 2030:   - NOx: 13.1 → 6.5 (reference) / 4.0 (sustainable), i.e. −50% / −69%   - NMVOC: 9.6 → 5.0 / 3.5</w:t>
      </w:r>
    </w:p>
    <w:p>
      <w:r>
        <w:t>Developments since.    - EU27 NOx (Eurostat `env_air_emis`, NFR_TOT_NAT, tonnes): 10,764,260 in 2005, 5,643,180 in 2020, 5,092,690 in 2023 and 4,940,100 in 2024. That is 45.9% of 2005 in 2024, already inside the abstract's projected band of "30–50% of current levels" for 2030 (my calculation).   - EU27 NMVOC: 9,466,500 (2005) → 5,978,370 (2024), which is 63.2% of 2005. That is behind both scenarios' 2030 values (52% reference, 36% sustainable).   - Same API as above: https://ec.europa.eu/eurostat/api/dissemination/statistics/1.0/data/env_air_emis   - Ozone target value (the paper's metric is the share of stations above 25 days at 120 µg/m³):     - EEA Air quality status 2026, ozone chapter: 16.9% of reporting stations averaged over 2022–2024; single years 15.6% (2024) and 22.4% (2025, preliminary).     - ETC HE 2026/2, Ch. 4: 16% (284 of about 1,976 stations) on the 2023–2025 average; 22% of stations in the single year 2025.     - Links: https://www.eea.europa.eu/en/analysis/publications/air-quality-status-report-2026/ozone-o3 and the ETC HE PDF listed under Record 444.</w:t>
      </w:r>
    </w:p>
    <w:p>
      <w:r>
        <w:t>How these connect.  A straight-line path from 43% (2005) to 8% (2030, reference) would sit at about 18% around 2023, against an observed 16.9% for 2022–2024. A path to the sustainable endpoint of 2% would sit at about 13.5%. This is my illustrative calculation, not the paper's. So the exceedance share is roughly on track for the reference endpoint, even though NOx emissions have already overshot the reference 2030 value. That points to a weaker ozone response per tonne of NOx cut than the ensemble assumed. It fits the Aas 2024 hindcast finding, the lagging NMVOC cuts, and the factors the projection deliberately left out (warming summers and hemispheric background).    Reaching 2–8% by 2030 would need the share to roughly halve again within about five years. That is possible but uncertain, and it depends on weather. Like-for-like comparison is also limited by changes in station networks (about 1,700 stations in the paper versus about 1,976 in 2025) and by the paper's control being a model run corrected to 1998–2007 observations.</w:t>
      </w:r>
    </w:p>
    <w:p>
      <w:r>
        <w:t>Research source trail (starting point): https://ec.europa.eu/eurostat/api/dissemination/statistics/1.0/data/env_air_emis</w:t>
      </w:r>
    </w:p>
    <w:p>
      <w:r>
        <w:t>Catalogue record: 468</w:t>
      </w:r>
    </w:p>
    <w:p>
      <w:pPr>
        <w:pStyle w:val="Heading2"/>
      </w:pPr>
      <w:r>
        <w:t>181 — Decarbonisation scenarios, air quality and health in Poland to 2050 (Zyśk et al., Atmosphere, 2020)</w:t>
      </w:r>
    </w:p>
    <w:p>
      <w:r>
        <w:t>Earlier perspective. Original claim (Source; full text read via the MDPI article HTML; PDF download refused with 403): Authors from AGH Kraków. Three REFLEX scenarios: Mod-RES (policies decided as of 2015) and High-RES in centralised and decentralised variants (2 °C). The modelling chain is the REFLEX energy model system, then sectoral emissions on a 50 km grid, then the Polyphemus/Polair3D model (Europe at 1°, Poland at 0.25°, 2008 meteorology), then πESA with ExternE-type exposure-response functions. Only the power, household/tertiary and road-transport sectors change. All other sectors, neighbouring countries and natural sources are held at 2015 levels.    PM2.5 emission cuts in 2050 relative to 2005 (Table 1):   - Household/tertiary: 95–97%   - Power: 66–98%   - Road transport: 52%    Results for 2050 relative to the 2015 base:</w:t>
      </w:r>
    </w:p>
    <w:p>
      <w:r>
        <w:t>Developments since.  All series are Eurostat API, Poland; percentages are my calculations.   - `env_air_emis`, tonnes:     - Total PM2.5: 322,970 (2005), 296,590 (2015), 214,050 (2024); −27.8% from 2015 to 2024.     - Residential stationary (NFR1A4B1): 210,710 (2005), 202,540 (2015), 230,640 (2020), 163,190 (2024). That is −22.6% from 2005 to 2024, against 95–97% assumed for 2050, and still 76% of the 2024 total.     - Public electricity and heat (NFR1A1A) PM2.5: 9,240 (2005) → 1,790 (2024), i.e. −80.6%, already inside the 66–98% range assumed for 2050.     - Total NOx: 835,710 → 476,830 (−42.9%). SOx: 1,107,770 → 245,610 (−77.8%).   - `nrg_d_hhq`, household energy use, TJ:     - Solid fossil fuels: 260,053 (2015), 257,673 (2018), 151,426 (2024), i.e. −41% from 2018. The share of household energy fell from 31.4% to 18.4%.</w:t>
      </w:r>
    </w:p>
    <w:p>
      <w:r>
        <w:t>How these connect.  The study's qualitative finding is supported:   - Replacing household coal and old boilers is where Poland's air-quality and health gains lie.   - Decarbonising power adds little PM2.5 benefit because large plants are already controlled.    The 2024 inventory backs this (residential sources 76% of PM2.5 emissions, power 0.8%), as does the CATALYSE update (residential combustion delivers 87–89% of Poland's projected PM2.5 cut between 2030 and 2035).    The headline numbers carry less than the excerpt suggests:   - One scenario only. They are for High-RES centralised; the scenarios differ by about 2 percentage points.</w:t>
      </w:r>
    </w:p>
    <w:p>
      <w:r>
        <w:t>Research source trail (starting point): https://powietrze.gios.gov.pl/pjp/content/exposure_dust_pm</w:t>
      </w:r>
    </w:p>
    <w:p>
      <w:r>
        <w:t>Catalogue record: 181</w:t>
      </w:r>
    </w:p>
    <w:p>
      <w:pPr>
        <w:pStyle w:val="Heading2"/>
      </w:pPr>
      <w:r>
        <w:t>260 — UK climate-pathway options and PM2.5 / public health (2018)</w:t>
      </w:r>
    </w:p>
    <w:p>
      <w:r>
        <w:t>Earlier perspective.  Williams et al., Public Health Research 6(7), 2018 (NIHR full report, 8,691 lines of text read: abstract, Ch. 2, 3, 6, 10). The UKTM energy-system model produced scenarios for the UK; emissions were turned into CMAQ air-quality runs for Great Britain (not the whole UK) for 2011, 2035 and 2050. Scenarios: Baseline (no climate action beyond what was already agreed; reaches only a 39% CO2e cut by 2050; nuclear phased out); LGHG and NRPO (both meet the then-current 80%-by-2050 Climate Change Act target and the carbon budgets through the Fourth; NRPO caps nuclear at current capacity); a Reference scenario (£30/t carbon price) was not modelled for air quality; and a "2011" case holding 2011 concentrations constant (Table 1 p.10; pp.9–11, 19). Key numbers:   - GB ward-averaged annual PM2.5 (10 km/2 km runs, Table 10 p.40): 2011 9.54 µg/m³; 2035 Baseline 4.85; 2035 NRPO/LGHG 7.43; 2050 Baseline 5.87; 2050 NRPO 5.43; 2050 LGHG 5.26. London: 2011 13.26; 2035 NRPO/LGHG 13.06; 2050 NRPO 8.78; LGHG 8.61; Baseline 8.45.   - Derived changes from 20</w:t>
      </w:r>
    </w:p>
    <w:p>
      <w:r>
        <w:t>Developments since.    - UK PM2.5 concentrations: Defra accredited statistics, updated 30 Jun 2026, dataset `fig06_pm25_annual.csv`. Urban-background annual mean PM2.5: 2009 12.39; 2011 13.70; 2019 9.88; 2020 7.88; 2023 7.23; 2024 7.15; 2025 8.00 µg/m³. Roadside: 2011 15.96; 2024 7.54; 2025 8.55 µg/m³. Derived: urban background −42% (2011→2025), −48% (2011→2024), −35% (2009→2025). Defra notes 2009–2011 was a rising period and a plateau in 2015–2019. (https://www.gov.uk/government/statistics/air-quality-statistics/concentrations-of-particulate-matter-pm10-and-pm25 ; https://assets.publishing.service.gov.uk/media/6a3b9738eaee00074150f300/fig06_pm25_annual.csv)   - England PM2.5 Population Exposure Indicator (3-year mean, urban/suburban background), read via the page summary tool: 2018 10.09 → 2025 7.51 µg/m³ (−26%). In 2025, 3 stations were above 10 µg/m³. (https://www.gov.uk/government/statistics/air-quality-statistics/pm25-targets-pert-and-amct)   - UK PM2.5 emissions: Defra "Emissions of air pollutants in the UK – PM", updated 12 Feb 2026, `tables_for_emissions_by_source_1990_to_2024.ods`, Table 2a (kt). National total 76.15 (2011) → 65.26 (2019) → 52.98 (2024) (derived −30%). Domestic wood as fuel 3.78 (2011) → 7.58 (2019) → 6.35 (2024), derived +6</w:t>
      </w:r>
    </w:p>
    <w:p>
      <w:r>
        <w:t>How these connect.  The study's lasting point is that decarbonisation relying on residential wood can slow PM2.5 progress. That is borne out qualitatively, but the real-world effect so far has been an offset within a strong overall decline, not a reversal. The large biomass expansion that did happen went mostly into power stations (tall stacks, abatement), not homes. Uncertainties:   - Modelled GB ward averages are not the same as monitored urban-background means.   - The report's 2011 inventory (KCL-improved, with domestic wood and cooking added) differs strongly from today's NAEI (residential wood PM2.5 of 22.6 vs 3.78 for 2011), so only relative changes can be compared.   - Emission inventories and DUKES may use different activity data for domestic wood.   - 2011 was a high-PM year, which flatters declines measured from 2011.</w:t>
      </w:r>
    </w:p>
    <w:p>
      <w:r>
        <w:t>Research source trail (starting point): https://www.gov.uk/government/statistics/air-quality-statistics/concentrations-of-particulate-matter-pm10-and-pm25</w:t>
      </w:r>
    </w:p>
    <w:p>
      <w:r>
        <w:t>Catalogue record: 260</w:t>
      </w:r>
    </w:p>
    <w:p>
      <w:pPr>
        <w:pStyle w:val="Heading2"/>
      </w:pPr>
      <w:r>
        <w:t>378 — Street-level PM10 across Europe: source apportionment and possible futures (2015)</w:t>
      </w:r>
    </w:p>
    <w:p>
      <w:r>
        <w:t>Earlier perspective.  Kiesewetter et al., ACP 15:1539–1553 (2015).   - Method: a GAINS station-level downscaling scheme for PM10 at ~1,850–1,870 AirBase stations (including &gt;300 traffic stations and 80% of the stations exceeding limits in 2009). Base year 2009. The daily limit (50 µg/m³ on no more than 35 days) is represented by an equivalent annual mean of 30 µg/m³ (±5 µg/m³ uncertainty band), with natural dust and sea salt subtracted.   - Scenarios for 2030: CLE (current legislation, the TSAP-revision baseline on PRIMES-2013 energy) and MTFR (maximum technically feasible reductions, described as hypothetical).   - Results (Sect. 5.2, Fig. 10–11, Conclusions): in 2009 about 320 stations (17%) were above 30 µg/m³. Under CLE, concentrations fall, but slowly after 2020, and about 80 stations (4.2%) of the 2009-operative set stay above 30 µg/m³ in 2030; more than 10% stay above the 25 µg/m³ "safe compliance" level. Under MTFR, 0.3% stay above 30 and 99% fall below 25.   - Hot spots expected under CLE: several large cities (traffic, with unregulated non-exhau</w:t>
      </w:r>
    </w:p>
    <w:p>
      <w:r>
        <w:t>Developments since.    - EEA, Air quality status in Europe 2026, PM10 section (published 30 Apr 2026):     - In 2024, 12.5% of reporting stations were above the current daily limit, in 12 Member States (BG, HR, CY, FR, EL, IT, MT, PL, RO, SK, ES, SE) and 6 other countries; 87% urban, 10.3% suburban.     - In 2025 (preliminary), 4.8%, in 12 Member States (BG, HR, CZ, EL, HU, IT, MT, PL, RO, SK, ES, SE) and 3 others. DK, AL, XK, LI, ME, RS and TR had not submitted 2025 data.     - 4% of stations were above the 40 µg/m³ annual limit in 2024.     - Against the stricter 2030 standards: 70.3% of stations were below the new daily limit and 62.7% below the new 20 µg/m³ annual limit.     - EEA locates the exceedances in the Po Valley and in eastern Europe (solid-fuel heating). Natural sources are not subtracted.     - (https://www.eea.europa.eu/en/analysis/publications/air-quality-status-report-2026/particulate-matter-pm10 ; overview https://www.eea.europa.eu/en/analysis/publications/air-quality-status-report-2026)</w:t>
      </w:r>
    </w:p>
    <w:p>
      <w:r>
        <w:t>How these connect.  Qualitatively a good projection: it got the geography and the slow tail right. The quantitative comparison is shaky:   - EEA counts daily-limit exceedances at the stations currently reporting, without subtracting natural dust.   - The paper used an annual-mean equivalent at the 2009-operative stations, with natural sources removed.   - Saharan-dust years and changing station networks move the EEA share by several points between years.</w:t>
      </w:r>
    </w:p>
    <w:p>
      <w:r>
        <w:t>Research source trail (starting point): https://www.eea.europa.eu/en/analysis/publications/air-quality-status-report-2026/particulate-matter-pm10</w:t>
      </w:r>
    </w:p>
    <w:p>
      <w:r>
        <w:t>Catalogue record: 378</w:t>
      </w:r>
    </w:p>
    <w:p>
      <w:pPr>
        <w:pStyle w:val="Heading2"/>
      </w:pPr>
      <w:r>
        <w:t>466 — Forecasted vegetation change in European Russia under global warming (2012)</w:t>
      </w:r>
    </w:p>
    <w:p>
      <w:r>
        <w:t xml:space="preserve">Earlier perspective.  Malkhazova, Rumyantsev, Soldatov, Leonova &amp; Kislov, Geography, Environment, Sustainability 5(4):4–16 (2012).   - Method: static regressions on a 2°×2° grid. Vegetation sub-zone number (16 sub-zones, arctic tundra to southern desert) is regressed on the annual sum of temperatures &gt;10 °C (r = 0.97; Zon_ID = 1 + 0.0034·Sum_T). Average annual timber growth (m³/ha, State Forest Fund accounting 1961–1988/90; 36 regions, 23 forest regions) is regressed on Sum_T (r = 0.92; GT = −2.007 + 0.0026·Sum_T).   - Inputs: baseline climate 1961–1989 (NCEP/NCAR reanalysis); 2046–2065 climate from CMIP3 models under the A2 scenario.   - Results: sub-zone boundaries shift potentially northward over almost all of European Russia; on the Kola Peninsula some places would get southern-taiga or mixed-forest thermal conditions; negative shifts appear mainly in NW Kazakhstan and the southern Urals.   - Timber growth (Table 3, m³/ha): rises in every forest region, e.g. Murmansk 0.38 → 1.91, Arkhangelsk 1.03 → 2.51, Moscow 3.73 → 4.96. The largest gains are Perm </w:t>
      </w:r>
    </w:p>
    <w:p>
      <w:r>
        <w:t>Developments since.  no official dataset measures the paper's variables (sub-zone boundaries in equilibrium; State Forest Fund timber growth by region) for 2046–2065. The intermediate evidence is of three kinds.   1. The driver (growing-season heat) is rising. Roshydromet, Report on climate features in the Russian Federation for 2022 (published 2023), Table 8.4, linear trends 1976–2022:      - sum of temperatures &gt;10 °C: +98 °C/decade in the Northwest FD, +112 Central, +88 Volga, +151 South, +61 Urals;      - the text gives ~90–170 °C/decade for European Russia overall, versus 50–60 in Asian Russia;      - Table 1.2: mean annual temperature in European Russia +0.53 °C/decade (1976–2022), summer +0.52.      - For comparison (my derivation, not in the paper): the timber shifts in Table 3 (+0.88 to +1.66 m³/ha) imply via equation (3) a rise in Sum_T of ~340–640 °C between 1961–1989 and 2046–2065, i.e. ~40–80 °C/decade. The observed rates are at or above that pace.      - Moisture caveat: the same table shows summer precipitation falling (−10 to −11 mm/decade in the Central and Volga FDs) and drying indices rising across the farming zone. That cuts against the paper's assumption that moisture would stay "close to modern".      - (https://www.profiz.ru/up</w:t>
      </w:r>
    </w:p>
    <w:p>
      <w:r>
        <w:t>How these connect.  The thermal-potential part of the forecast looks robust; the realised-vegetation part was never claimed, and the evidence so far confirms its slow, local character. The productivity numbers are the weakest element, since a single-predictor regression (Sum_T only) cannot represent moisture stress, pests or management.   - Russian forest statistics changed system (FIP → NFI), so regional mean annual increment comparable to the 1961–1990 SAFF figures is not available in anything I opened.   - The Roshydromet trends cover farming-zone stations; the northern forest regions may differ.   - Treeline studies are site-specific.</w:t>
      </w:r>
    </w:p>
    <w:p>
      <w:r>
        <w:t>Research source trail (starting point): https://www.profiz.ru/upl/Doklad_o_klimate_RF_2022.pdf</w:t>
      </w:r>
    </w:p>
    <w:p>
      <w:r>
        <w:t>Catalogue record: 466</w:t>
      </w:r>
    </w:p>
    <w:p>
      <w:pPr>
        <w:pStyle w:val="Heading2"/>
      </w:pPr>
      <w:r>
        <w:t>487 — Climate, competition and connectivity affect future migration and ranges of European trees (2011)</w:t>
      </w:r>
    </w:p>
    <w:p>
      <w:r>
        <w:t>Earlier perspective.  Meier, Lischke, Schmatz &amp; Zimmermann, Global Ecology and Biogeography 21(2):164–178 (online 5 May 2011).   - Full text was not reachable: the Wiley pages returned 403 (Cloudflare); the green-OA Zenodo copy was deleted after a third-party take-down request; the WSL DORA PDF datastream returned 403. The full structured abstract was read via the Crossref API.   - Method: abundance-based SDMs for 14 tree species from 5,768 ICP Forests Level-1 plots plus climate, topography, soil and land use. Projections for the 21st century under A1fi/GRAS and B1/SEDG climate-and-land-use scenarios (end year not verified) with no, unlimited and "realistic" migration. Realistic rates come from TreeMig simulations as a function of macroclimate, competition and habitat connectivity.   - Results: early-successional species track climate almost instantly; their realistic-migration ranges match unlimited migration (mean rate over Europe 156.7 ± 79.1 m/yr under A1fi/GRAS, 164.3 ± 84.2 under B1/SEDG). Mid- to late-successional species match no migration (15.2 ±</w:t>
      </w:r>
    </w:p>
    <w:p>
      <w:r>
        <w:t>Developments since.  no official statistic tracks tree migration rates. The relevant outcome evidence is observational ecology (repeated inventories, juvenile-versus-adult comparisons, historical maps), plus one newer dispersal-limited projection.   - Late-successional trees colonise slowly. Delzon et al. (PLoS ONE 8:e80443, 2013; full text via Europe PMC): forest inventories from 1880 to 2010 at the northern edge of Quercus ilex in SW France show real colonisation, but at a maximum of 22–57 m/yr, far slower than niche models predict. The authors note their rates (under 60 m/yr) are consistent with competition-and-dispersal models and with oak seed-dispersal data (12.5 m/yr). Lischke, Meier's co-author, is a co-author. This is the same order of magnitude as Meier's mid/late-successional estimate (~15–16 ± 25 m/yr) and well below its early-successional figure.   - Repeated national inventories show few significant shifts so far. Heiland et al. (Ecography 2022, e06042; full text via HAL): 40 species in Swedish, German and Spanish NFIs.     - Significant temporal shifts were found in only 24% (heat sum) and 21% (water availability) of species–country cases.     - On average they pointed toward colder conditions. Examples are Prunus padus, P. avium, Betu</w:t>
      </w:r>
    </w:p>
    <w:p>
      <w:r>
        <w:t>How these connect.  The paper's central message, that migration lag is species-specific and strongly limits slow-dispersing late-successional trees, has held up and has become standard practice: EU-Trees4F provides dispersal-limited projections, and Hellegers 2025 recommends no-dispersal defaults for poor dispersers. Uncertainties:   - I could not read the full text (tables of range changes per species and the end year of the projections), so I cannot test species-level numbers.   - The observational studies cover different species, methods and regions from Meier's 14 species and ICP plots.   - Land-use change and forestry (planting) confound natural range shifts in Europe.</w:t>
      </w:r>
    </w:p>
    <w:p>
      <w:r>
        <w:t>Research source trail (starting point): https://api.crossref.org/works/10.1111/j.1466-8238.2011.00669.x</w:t>
      </w:r>
    </w:p>
    <w:p>
      <w:r>
        <w:t>Catalogue record: 487</w:t>
      </w:r>
    </w:p>
    <w:p>
      <w:pPr>
        <w:pStyle w:val="Heading2"/>
      </w:pPr>
      <w:r>
        <w:t>116 — UK fertility scenarios incorporating COVID-19 (2021)</w:t>
      </w:r>
    </w:p>
    <w:p>
      <w:r>
        <w:t>Earlier perspective. Original claim (Source; full text read: CPC Working Paper 95 version (Mar 2021) in full; accepted manuscript read through a summarising fetch; the authors' policy briefing and conference slides for the published version read in full. The Wiley published PDF was blocked): Berrington, Ellison, Kuang, Vasireddy and Kulu, Population, Space and Place 28(2), e2546 (online 29 Dec 2021).   - What was projected: period total fertility rate (TFR) and annual live births for England and Wales (E&amp;W), Scotland and Northern Ireland (NI), 2021–2023, from a 2020 base.   - The four scenarios cross two "no-COVID" baselines with two pandemic adjustments:     - Baselines: 2020 age-specific rates held stable, or the 2015–2020 log-linear trend continued (falling at every age except 40–44).     - "Baby boom": +2% a year at ages 30–39, after the late-1970s pill scare.     - "Baby bust": −5% a year at ages 15–19 and −3% a year at 20–29, from north-west European fertility after the 2008 recession. The published version holds ages 30+ unchanged; the working pape</w:t>
      </w:r>
    </w:p>
    <w:p>
      <w:r>
        <w:t>Developments since.    - E&amp;W (ONS).     - TFR series as now published (Births in England and Wales: 2024 (refreshed populations), Figure 1 data file `fig1b/data.csv`): 2019 1.59, 2020 1.53, 2021 1.55, 2022 1.49, 2023 1.42, 2024 1.41.     - As first published: 2020 1.58 (bulletin 14 Oct 2021, "4.2% lower than 2019", which implies about 1.65 for 2019); 2021 1.55 (9 Aug 2022); 2022 1.49 (23 Feb 2024); 2023 1.44 (28 Oct 2024). The 27 Aug 2025 bulletin revised 2023 to 1.42 using revised mid-2022/23 population estimates.     - 2025: TFR 1.39. Source: bulletin 27 May 2026 (provisional), confirmed in the 2025 birth-registrations workbook, Table 1 (released 8 Sep 2026; TFR 15–44 and 15–49 both 1.39, using mid-2025 estimates).     - Live births: 640,370 (2019), 613,936 (2020), 624,828 (2021), 605,479 (2022), 591,072 (2023), 594,677 (2024), 585,396 (2025).     - Age-specific rates, mothers, per 1,000, 2020→2023 (2025 workbook, Table 10): under 20: 9.8→8.0; 20–24: 44.0→38.3; 25–29: 82.0→75.3; 30–34: 97.0→93.1; 35–39: 58.0→55.7; 40+: 15.7→14.8.   - Scotland (NRS, Vital Events Reference Tables 2024, chapter 3 workbook).</w:t>
      </w:r>
    </w:p>
    <w:p>
      <w:r>
        <w:t>How these connect.    - The directional expectation held, but the path looks like the declining-baseline (pre-existing trend) scenarios more than a distinct pandemic bust:     - there was a 2021 rebound;     - fertility also fell at ages 30–39 (E&amp;W 30–34: 97.0→93.1 per 1,000, 2020→2023), where every pandemic adjustment assumed no fall or a rise; only the declining baselines carried a decline there;     - the fall continued in 2024–2025, after the pandemic.   - The causal premise (COVID as the driver) is not established, and the PDR review doubts it can be identified.   - Level comparisons are distorted by ONS population revisions.   - The published-table values come from the accepted manuscript via a summarising fetch. They agree with the authors' policy briefing and slides.</w:t>
      </w:r>
    </w:p>
    <w:p>
      <w:r>
        <w:t>Research source trail (starting point): https://research-repository.st-andrews.ac.uk/handle/10023/24630</w:t>
      </w:r>
    </w:p>
    <w:p>
      <w:r>
        <w:t>Catalogue record: 116</w:t>
      </w:r>
    </w:p>
    <w:p>
      <w:pPr>
        <w:pStyle w:val="Heading2"/>
      </w:pPr>
      <w:r>
        <w:t>146 — Dutch Public Health Foresight Study 2018/20: dementia and expenditure to 2040 (2020)</w:t>
      </w:r>
    </w:p>
    <w:p>
      <w:r>
        <w:t>Earlier perspective. Original claim (Source; full text read: the record is a one-paragraph EUPHA 2020 conference abstract (Hilderink, EJPH 30 Suppl 5), read in full via Crossref; the underlying VTV-2018 Trend Scenario web report read; the 2020 update (base year 2018) that the abstract mentions could not be located, so its figures could not be verified):   - The abstract says that in the business-as-usual Trend Scenario:     - dementia will be by far the leading cause of mortality and disease burden in 2040;     - health-care expenditure will double by 2040, with cancers growing fastest of all disease groups.   - The VTV-2018 Trend Scenario (RIVM; base 2015; horizon 2040; historical trends continued; demographic change; no new policy) gives:     - Dementia deaths: nearly triple, from about 14,000 (2015) to almost 40,000 (2040), while total deaths rise from 147,000 to 192,000.     - Disease burden: dementia tops the DALY ranking of 59 conditions in 2040. The DALY figures were revised in June 2018 to correct for multimorbidity.     - Expenditure: real spendi</w:t>
      </w:r>
    </w:p>
    <w:p>
      <w:r>
        <w:t>Developments since.    - CBS StatLine table 7233, deaths by underlying cause (extended list); final through 2024, 2025 added 25 Sep 2026; all ages, both sexes.     - Dementia deaths (F01 + F03 + G30; F00 and F02 are coded 0 as underlying cause): 13,861 (2015), 16,259 (2018), 15,750 (2019), 14,279 (2020), 14,007 (2021), 15,604 (2022), 16,664 (2023), 17,358 (2024), 17,459 (2025).     - Share of all deaths: 9.4% (2015), 10.1% (2024).     - Total deaths: 147,134 (2015), 172,165 (2024).     - Ranking of single three-character codes:       - 2015: lung cancer C34 first (10,426), F03 9,098.       - 2019: F03 (unspecified dementia) first, 10,330 vs C34 10,226.</w:t>
      </w:r>
    </w:p>
    <w:p>
      <w:r>
        <w:t>How these connect.    - The qualitative core (dementia becomes the dominant cause of death and burden in an ageing Netherlands) is holding up, and earlier than 2040.   - The quantitative core (near tripling of dementia deaths by 2040) is behind schedule.   - The ranking depends on the cause list; DALY results differ between RIVM and GBD methods.   - Expenditure cannot yet be tested like-for-like (nominal versus constant prices, different scope).</w:t>
      </w:r>
    </w:p>
    <w:p>
      <w:r>
        <w:t>Research source trail (starting point): https://api.crossref.org/works/10.1093/eurpub/ckaa165.1290</w:t>
      </w:r>
    </w:p>
    <w:p>
      <w:r>
        <w:t>Catalogue record: 146</w:t>
      </w:r>
    </w:p>
    <w:p>
      <w:pPr>
        <w:pStyle w:val="Heading2"/>
      </w:pPr>
      <w:r>
        <w:t>269 — Trends and forecast of obesity in Finland (2018)</w:t>
      </w:r>
    </w:p>
    <w:p>
      <w:r>
        <w:t>Earlier perspective. Original claim (Source; abstract only: the record is itself a EUPHA 2018 conference abstract (Lundqvist, Koponen, Härkänen, Borodulin, Sääksjärvi, Koskinen, EJPH 28 Suppl 4, p. 359). No longer text exists; the full abstract was read via OpenAlex; OUP PDF blocked (403)):   - Data: four national measured health-examination surveys, 1978–2017; 26,956 people aged 30+.   - Trends 1978→2017:     - Obesity (BMI ≥30): men 12.0%→26.1%, women 18.9%→27.5%.     - Severe obesity (BMI ≥35): men 1.1%→5.9%, women 3.9%→9.5%.     - Mean BMI: men 25.7→27.7, women 26.1→27.5.   - Projection: a multistate model on repeated measures projected that, if the trends continued, obesity among adults aged 30+ would reach 31% by 2028 (sexes combined; no sex split). The authors restated this as one in three adults being obese in 2028.</w:t>
      </w:r>
    </w:p>
    <w:p>
      <w:r>
        <w:t>Developments since.    - FinTerveys 2017 (THL Report 4/2018, ch. 7, Table 7.3; measured).     - Age-standardised obesity at 30+: 26.1% (men), 27.5% (women), the same as the abstract's 2017 end points.     - Ages 30–64, 2011→2017: men 24%→27%, women 22%→26%.   - Healthy Finland (Terve Suomi) 2023 examination (measured height and weight; THL web report "Lihavuus", Lehtoranta et al., published 4 Dec 2023).     - Adults 20+: obesity 27% (men), 30% (women), about 1.2 million people.     - Appendix table 3 (updated 19 Apr 2024), share with BMI ≥30 by sex and age group, with 95% CI:</w:t>
      </w:r>
    </w:p>
    <w:p>
      <w:r>
        <w:t>How these connect.    - The direction and approximate pace held. The steepest recent rises were among younger working-age adults: obesity doubled and class II–III obesity tripled from 2000 to 2023 (Lundqvist 2025). The 2018 abstract gives no age breakdown to compare this with.   - Uncertainties:     - age bases differ across sources (30+, 20+, 30–64, 25–64);     - participation fell to 58% in 2023, and its weighting could bias levels;     - the abstract's model and parameters cannot be inspected.   - THL's own successor projection (40% by 2040) is steeper than the 2018 one, which supports "developed as envisioned so far".   - Tolonen 2023, and Janssen's assumed deceleration for Finnish women, both projected slower growth, which the 2023 data did not bear out.</w:t>
      </w:r>
    </w:p>
    <w:p>
      <w:r>
        <w:t>Research source trail (starting point): https://api.openalex.org/works/https://doi.org/10.1093/eurpub/cky214.146</w:t>
      </w:r>
    </w:p>
    <w:p>
      <w:r>
        <w:t>Catalogue record: 269</w:t>
      </w:r>
    </w:p>
    <w:p>
      <w:pPr>
        <w:pStyle w:val="Heading2"/>
      </w:pPr>
      <w:r>
        <w:t>283 — Future life expectancy in 35 industrialised countries: Bayesian model ensemble (2017)</w:t>
      </w:r>
    </w:p>
    <w:p>
      <w:r>
        <w:t>Earlier perspective. Original claim (Source; full text read: Kontis, Bennett, Mathers, Li, Foreman, Ezzati, Lancet 389:1323–35, online 22 Feb 2017; full text via Europe PMC plus the supplementary appendix):   - Method: an ensemble of 21 models, weighted by how well each predicted withheld data. It projects age-specific death rates to 2030 for 35 countries, using WHO data up to 2010–2014 depending on the country.   - Output: probabilistic forecasts as posterior medians with credible intervals. They are unconditional: no scenarios, no policy assumptions.   - Sex-gap claim:     - In 2010 the female advantage at birth ranged from 3.9 years (New Zealand) to 8.5 years (Poland) (text).     - By 2030 it shrinks everywhere except Mexico, where women gain more. In Chile, France and Greece both sexes gain about equally.   - Medians implied by Appendix Table 2 (p 36), gap 2010 → 2030 (my arithmetic):     - Netherlands 3.94→1.70; Hungary 7.77→3.56; Bulgaria 7.12→4.80.</w:t>
      </w:r>
    </w:p>
    <w:p>
      <w:r>
        <w:t>Developments since.  observed gap at birth, female minus male. My arithmetic, using OECD Health Statistics (dataflow `OECD.ELS.HD,DSD_HEALTH_STAT@DF_LE,1.1`, measure LFEXP, age 0) for 32 countries; Eurostat `demo_mlexpec` (updated 25 Sep 2026) for Serbia; World Bank WDI `SP.DYN.LE00.{MA,FE}.IN` (updated 8 Oct 2026) for North Macedonia and Singapore.    | Country | Projected 2010→2030 (Kontis medians) | Observed 2010→2024 | Change so far |   |---|---|---|---|   | Mexico | 5.76→6.81 | 5.8→6.5 | widened, as projected |   | Chile | 6.21→6.15 (≈equal gains) | 5.9→4.8 | narrowed 1.1 |   | France | 6.93→6.81 (≈equal gains) | 7.1→5.6 | narrowed 1.5 |   | Greece | 4.74→4.23 (≈equal gains) | 5.3→5.0 | narrowed 0.3 |</w:t>
      </w:r>
    </w:p>
    <w:p>
      <w:r>
        <w:t>How these connect.    - The mechanism (male catch-up through falling smoking and cardiovascular mortality) is visible across much of Europe and East Asia. It has stalled where male mortality at working ages deteriorated or stagnated (USA, UK, Canada, Bulgaria) and was interrupted everywhere by COVID-19, which hit men harder.   - The 2030 medians had wide credible intervals, and most observed values are probably inside them. I did not test this, because the appendix gives intervals for life expectancy, not for the gap.   - The Chile/France/Greece "similar gains" detail is the weakest part of the forecast.</w:t>
      </w:r>
    </w:p>
    <w:p>
      <w:r>
        <w:t>Research source trail (starting point): https://www.ebi.ac.uk/europepmc/webservices/rest/search?query=DOI:%2210.1016/S0140-6736(16</w:t>
      </w:r>
    </w:p>
    <w:p>
      <w:r>
        <w:t>Catalogue record: 283</w:t>
      </w:r>
    </w:p>
    <w:p>
      <w:pPr>
        <w:pStyle w:val="Heading2"/>
      </w:pPr>
      <w:r>
        <w:t>70 — Pancreatic cancer burden in EU-28, projections to 2039 (2021)</w:t>
      </w:r>
    </w:p>
    <w:p>
      <w:r>
        <w:t>Earlier perspective. Original claim (Source; abstract only — full text blocked):   - Study: Yu J, Yang X, He W, Ye W, Int J Cancer 149(5), 2021.   - Method: GBD 2019 estimates for 1990–2019, covering the pre-Brexit EU-28 (EU-27 plus the UK). The authors projected to 2039 with a Bayesian age-period-cohort (BAPC) model.   - Projected numbers in the abstract (1990 / 2019 / 2039):     - New cases: 59,000 / 109,000 / 147,000.     - Deaths: 60,000 / 109,000 / 155,000.     - DALYs: 1.3 million / 2.0 million / 2.7 million.   - Age-standardised incidence rose from 8.6 to 10.1 per 100,000 over 1990–2019 and is projected to stay stable over 2019–2039. Age-standardised mortality is projected to rise only mildly.</w:t>
      </w:r>
    </w:p>
    <w:p>
      <w:r>
        <w:t>Developments since.    - Eurostat `hlth_cd_aro`, registered deaths, ICD-10 C25, both sexes, all ages (dataset updated 2026-09-24):     - EU27_2020: 69,712 (2011), 83,725 (2019), 84,575 (2020), 84,723 (2021), 85,917 (2022), 87,856 (2023).     - EU28: 78,074 (2011), 91,224 (2018).     - UK: 9,573 (2018). The UK is absent after 2018.     - EU-27 2023 by sex: men 44,069, women 43,785.     - EU-27 by age, 2019→2023: 85 and over 14,079 → 15,571 (+10.6%); under 65 18,037 → 17,774 (−1.5%). Growth is concentrated in the oldest ages, as the study expected.   - Eurostat `hlth_cd_asdr2`, standardised death rate per 100,000, C25:</w:t>
      </w:r>
    </w:p>
    <w:p>
      <w:r>
        <w:t>How these connect.    - The qualitative claim (substantial count increase with flat rates) is holding so far.   - The quantitative path is uncertain:     - GBD-modelled levels sit about 17% above registered counts.     - The UK left the Eurostat series after 2018, so EU-28 can no longer be tracked directly.     - Alternative projections bracket Yu's path. GBD 2021 implies faster growth, with Western Europe deaths about 2.2% a year and rising rates. The Annals predictions show only small rate increases.   - Note that I judged the original from the abstract only.</w:t>
      </w:r>
    </w:p>
    <w:p>
      <w:r>
        <w:t>Research source trail (starting point): https://www.ebi.ac.uk/europepmc/webservices/rest/search?query=DOI:10.1002/ijc.33617&amp;resultType=core</w:t>
      </w:r>
    </w:p>
    <w:p>
      <w:r>
        <w:t>Catalogue record: 70</w:t>
      </w:r>
    </w:p>
    <w:p>
      <w:pPr>
        <w:pStyle w:val="Heading2"/>
      </w:pPr>
      <w:r>
        <w:t>94 — Future heat mortality risk for major European cities (2021)</w:t>
      </w:r>
    </w:p>
    <w:p>
      <w:r>
        <w:t>Earlier perspective. Original claim (Source; full text read on journals.ametsoc.org, WCAS 13(4), 2021; Tables 5 and 6 read as images):   - Authors: Karwat and Franzke.   - Method:     - They regressed monthly all-cause deaths per 100,000 on the summer (June–August) mean of daily maximum temperature (TX).     - Mortality data come from the national statistics offices: France and Spain 1950–2018; Germany 1990–2018, with German 1950–1989 back-filled from the regression.     - R² is about 0.2 (Germany, France) and about 0.4 (Spain).     - They applied the regression to bias-corrected EURO-CORDEX TX from four model chains (CCLM and RACMO driven by EC-EARTH, REMO2009 driven by MPI-ESM-LR, REMO2015 driven by NorESM1-M) for 48 cities, 2019–2050, under RCP2.6 and RCP8.5.   - Assumptions: population held constant, no demographic change, no adaptation. The authors themselves caution about the constant-population assumption.</w:t>
      </w:r>
    </w:p>
    <w:p>
      <w:r>
        <w:t>Developments since.    - Lancet Countdown Europe 2024, indicator 1.1.4 (PMC11209670):     - Heat-related mortality rose in 771 of 823 regions (94%) between 2003–12 and 2013–22.     - Mean rate rose from 50.8 to 68.0 per 100,000, an increase of +17.2 (95% CI 10.3–24.9).     - Country increases ranged from Spain, the largest at +39.9 per 100,000, to Iceland at +1.0.   - Ballester et al. 2023, Nat Med, Table 1 (PMC10353926), summer 2022 heat-related deaths: Europe 61,672; Spain 11,324 (237 per million); Germany 8,173 (98 per million); France 4,807 (73 per million).   - Annual European totals, Nat Med abstracts (Europe PMC):     - 47,690 in 2023 (PMID 39134730). That paper also estimates the burden would have been 80% higher without adaptation since 2000.</w:t>
      </w:r>
    </w:p>
    <w:p>
      <w:r>
        <w:t>How these connect.    - Direction and the "especially Spain" ordering are holding in observations to 2024.   - The quantitative trends cannot be compared directly: the study's metric is "excess deaths above a TX–monthly-death regression line, % per decade", which no outcome dataset reports.   - Rising heat mortality is a shared expectation, so agreement adds little support for this particular model.</w:t>
      </w:r>
    </w:p>
    <w:p>
      <w:r>
        <w:t>Research source trail (starting point): https://journals.ametsoc.org/view/journals/wcas/13/4/WCAS-D-20-0142.1.xml</w:t>
      </w:r>
    </w:p>
    <w:p>
      <w:r>
        <w:t>Catalogue record: 94</w:t>
      </w:r>
    </w:p>
    <w:p>
      <w:pPr>
        <w:pStyle w:val="Heading2"/>
      </w:pPr>
      <w:r>
        <w:t>362 — Heat- and cold-related mortality in the Netherlands, 2050 scenarios (2015)</w:t>
      </w:r>
    </w:p>
    <w:p>
      <w:r>
        <w:t>Earlier perspective. Original claim (Source; full text read, PMC4627032):   - Authors: Huynen and Martens, IJERPH 12:13295.   - Exposure-response functions (ERFs): from Huynen et al. 2001 (Netherlands, 1979–1997), a linear threshold model with an optimum of 16.5 °C daily mean. Total mortality rises 2.72% per °C above the optimum and 1.37% per °C below it, with lags up to one month.   - Temperature: De Bilt daily series, baseline 1981–2010, transformed to the four KNMI'14 scenarios for 2050 (2035–2065 window). Annual warming at De Bilt is +1.1 °C (GL), +1.5 °C (GH), +2.1 °C (WL) and +2.4 °C (WH).   - Three adaptation scenarios:     - I: the optimum rises with annual warming.     - II: heat sensitivity −10% and cold sensitivity +10%.     - III: I and II combined.</w:t>
      </w:r>
    </w:p>
    <w:p>
      <w:r>
        <w:t>Developments since.    - KNMI De Bilt daily mean temperature (station 260, from the daggegevens service). KNMI flags the series as inhomogeneous; I used it because the paper used De Bilt. Own calculation with the paper's optimum and ERFs:      | Period | Heat exposure (°C/day) | Cold exposure (°C/day) | Model PAFheat | Model PAFcold |     |---|---|---|---|---|     | 1981–2010 | 0.440 | 6.777 | 1.18% | 8.81% |     | 2015–2024 | 0.618 | 5.868 | 1.64% | 7.67% |</w:t>
      </w:r>
    </w:p>
    <w:p>
      <w:r>
        <w:t>How these connect.    - The study's framing, that outcomes depend as much on adaptation as on climate, is borne out by later Dutch evidence of falling heat vulnerability.   - The ranges are wide enough that almost any outcome fits within them.   - Cold-attributable estimates are method-sensitive (8.90% here versus 3.68% in Masselot), so absolute values are not comparable across studies.   - The ERFs date from 1979–1997 and are probably out of date.</w:t>
      </w:r>
    </w:p>
    <w:p>
      <w:r>
        <w:t>Research source trail (starting point): https://pmc.ncbi.nlm.nih.gov/articles/PMC4627032/</w:t>
      </w:r>
    </w:p>
    <w:p>
      <w:r>
        <w:t>Catalogue record: 362</w:t>
      </w:r>
    </w:p>
    <w:p>
      <w:pPr>
        <w:pStyle w:val="Heading2"/>
      </w:pPr>
      <w:r>
        <w:t>12 — Convergence of population structures of EU member states (2022)</w:t>
      </w:r>
    </w:p>
    <w:p>
      <w:r>
        <w:t>Earlier perspective. Original claim (Source; full text read)   - Krupowicz &amp; Kuropka, Sustainability 14(2):1024. I read the 24-page PDF from MDPI's resource server; the main MDPI site returned "Access Denied" to direct download.   - Inputs. The study computes ten age-structure indicators: the shares of 0–9, 0–19, 20–64, 65+ and 80+; the youth index; the double-ageing index; median age; and the young- and old-age dependency ratios, both on a 20–64 base. It also builds a TOPSIS synthetic indicator for the EU-27. Data: observed Eurostat values for 2004–2020 (`demo_pjanind`) and the EUROPOP2019 baseline for 2020–2050 (`proj_19np`).   - Two kinds of forward content.     - The sentence in the excerpt is Eurostat's projection, cited: most member states see a falling population, a falling share of young people and a rising share of elderly people by 2050. The paper gives no count of declining countries; the introduction calls it "an overwhelming majority".     - The authors' own results are computed from EUROPOP2019 values. They are summarised in the next three i</w:t>
      </w:r>
    </w:p>
    <w:p>
      <w:r>
        <w:t>Developments since. Best direct evidence (Source)   1. Reproduction check. From `proj_19ndbi` I reproduce the paper's Table 2 values for 2050 exactly for all eight indicators I could rebuild. My 2020→2050 beta slopes are close to Table 3:       | Indicator | My slope | Paper's slope |      |---|---|---|      | 65+ share | −0.472 | −0.455 |      | Old-age dependency | −0.426 | −0.413 |      | 80+ share | −0.366 | −0.353 |</w:t>
      </w:r>
    </w:p>
    <w:p>
      <w:r>
        <w:t>How these connect. Own conclusion and uncertainty   - The study is a careful, reproducible analysis of one projection round. Its robust part is the direction of ageing; that holds in observations and in two later rounds.   - Its convergence conclusion depends on the indicator and the projection round, as the authors themselves caution.   - Uncertainties:     - Five observed years.     - Census breaks.     - Revision of projection assumptions: higher migration in EUROPOP2023 and 2025, and treatment of Ukrainian refugees.     - Outliers (Malta, Luxembourg) that shift the regression results.</w:t>
      </w:r>
    </w:p>
    <w:p>
      <w:r>
        <w:t>Research source trail (starting point): https://ec.europa.eu/eurostat/web/products-eurostat-news/w/ddn-20260416-1</w:t>
      </w:r>
    </w:p>
    <w:p>
      <w:r>
        <w:t>Catalogue record: 12</w:t>
      </w:r>
    </w:p>
    <w:p>
      <w:pPr>
        <w:pStyle w:val="Heading2"/>
      </w:pPr>
      <w:r>
        <w:t>182 — Convergence or divergence of labour resources in Poland (2020)</w:t>
      </w:r>
    </w:p>
    <w:p>
      <w:r>
        <w:t xml:space="preserve">Earlier perspective. Original claim (Source; full text read)   - Krupowicz, Prace Naukowe Uniwersytetu Ekonomicznego we Wrocławiu 64(4):75–100, DOI 10.15611/pn.2020.4.07. I read the full PDF from the Lower Silesian Digital Library (dbc.wroc.pl). The journal site blocked automated access with Cloudflare.   - The study's own analysis is retrospective. It tests beta-, sigma- and gamma-convergence across Poland's 16 voivodeships, in total and split by urban and rural areas. It uses three Polish national statistics office (GUS) indicators: the share of working-age population, the youth dependency ratio and the old-age dependency ratio.     - The period is 2002–2018. The abstract says 2012–2018, but the text and all tables use 2002–2018, so the paper contradicts itself.     - Results: absolute beta-convergence holds almost everywhere. Sigma- and gamma-convergence are ambiguous.   - The forward statement in the excerpt is cited, not derived. The source is "Eurostat (2019) Population projections", retrieved 20 January 2020. The paper does not name the projection </w:t>
      </w:r>
    </w:p>
    <w:p>
      <w:r>
        <w:t>Developments since. Best direct evidence (Source)   1. Can the cited numbers be reproduced? The round available in January 2020 (presumably EUROPOP2018) is no longer served: `proj_18np` returns 404 and is absent from the Eurostat catalogue. I therefore could not verify the exact 2.3 m and 6.0 m figures. Later rounds give nearly the same result.      - EUROPOP2019 (`proj_19np`, summed single ages): Poland 20–64 is 23.39 m (2020) → 21.69 m (2030) → 18.26 m (2050).      - EUROPOP2023 (`proj_23np`): 22.84 m (2022) → 21.86 m (2030) → 18.43 m (2050).      - EUROPOP2025 (`proj_25np`): 22.03 m (2025) → 21.63 m (2030) → 18.06 m (2050).      - Against the observed 2018 base of 23.84 m (`demo_pjangroup`), the declines are:         | Round | By 2030 | By 2050 |</w:t>
      </w:r>
    </w:p>
    <w:p>
      <w:r>
        <w:t>How these connect. Own conclusion and uncertainty   - The claim is a faithful citation of a robust projection: three revisions moved Poland's 2050 20–64 figure by only 0.4 m.   - Main uncertainties:     - migration, including whether the roughly 1 m Ukrainian refugees stay;     - the census break;     - fertility, which matters little for the 2050 working-age population because most of that cohort is already born.   - The specific 2.3 m and 6.0 m figures could not be traced to a still-published dataset.</w:t>
      </w:r>
    </w:p>
    <w:p>
      <w:r>
        <w:t>Research source trail (starting point): https://journals.uew.pl/pn/article/view/561</w:t>
      </w:r>
    </w:p>
    <w:p>
      <w:r>
        <w:t>Catalogue record: 182</w:t>
      </w:r>
    </w:p>
    <w:p>
      <w:pPr>
        <w:pStyle w:val="Heading2"/>
      </w:pPr>
      <w:r>
        <w:t>231 — A forecast of international migration flows into EU countries until 2050 (2018)</w:t>
      </w:r>
    </w:p>
    <w:p>
      <w:r>
        <w:t>Earlier perspective. Original claim (Source; full text read)   - Polovyi, Przegląd Politologiczny 2018(4):79–87, DOI 10.14746/pp.2018.23.4.6. Full PDF from the journal repository (pressto.amu.edu.pl).   - Method. The author uses his own "synergetic" model of migration between the 118 countries with more than 5 m inhabitants. Each country pair has a mutual attractiveness driven mainly by diaspora size and recent migrant-stock growth.     - Inputs: UN DESA migrant stocks for 1990–2015 (Rev. 2015) and the UN WPP 2015 medium variant.     - Scope: legal migration only, in 5-year steps from 2020 to 2050.     - Destinations: the EU countries in that size class plus Norway, Switzerland, Serbia, Ukraine, Belarus and Russia. Small member states are excluded.   - Variable. Despite the word "flows" in the title, every figure is a migrant stock: the number of international migrants resident and their share of total population.   - Main forecasts</w:t>
      </w:r>
    </w:p>
    <w:p>
      <w:r>
        <w:t>Developments since. Best direct evidence (Source)   1. Same source family Polovyi used: UN DESA International Migrant Stock 2024 (Tables 1 and 3, mid-year, both sexes)      - Aggregate. The stock over Polovyi's 25 destinations was 72.54 m (2015) → 79.54 m (2020) → 89.98 m (2024). His 2050 forecast of 80 m was already reached in 2020 and exceeded by about 10 m in 2024.        - Part of the gap is a level revision: UN Rev. 2024 puts 2015 at 72.5 m, against the 64.6 m implied by his 2015 base shares.        - The growth is the decisive part: +17.4 m in 9 years observed, against +16 m forecast for 35 years.        - Without Russia, Ukraine, Belarus and Serbia (that is, EU + UK + Norway + Switzerland), the stock was 56.65 m → 75.54 m over 2015–2024.      - Country shares. Predicted change in share 2015→2025 compared with UN-observed change 2015→2024, for 25 countries:        - Observed rise exceeded the predicted rise by more than 0.5 percentage points in 18: AT, BG, CZ, DK, FI, DE, EL, IT, NL, NO, PL, PT, RO, SK, ES, SE, UA, UK.</w:t>
      </w:r>
    </w:p>
    <w:p>
      <w:r>
        <w:t>How these connect. Own conclusion and uncertainty   - The forecast is a diaspora-driven extrapolation that cannot anticipate large pull or shock events. Examples: the 2015–16 asylum arrivals entering stocks, labour migration to Spain and central Europe, and the 2022 displacement from Ukraine.   - Its systematic underestimate was visible before 2022.   - Uncertainties:     - Definitions differ: UN stock versus foreign-born versus legal-migrant scope. Polovyi excludes irregular migration, though UN stocks largely do too.     - UN data revisions change 2015 levels.     - Refugee return could reduce stocks after 2026: EUROPOP2025 assumes a third of temporary-protection beneficiaries leave by 2036. That would not close a gap of this size.   - The quick pass treated the claim as "method" with no checkable numbers. This overlooked a clearly testable forecast.</w:t>
      </w:r>
    </w:p>
    <w:p>
      <w:r>
        <w:t>Research source trail (starting point): https://pressto.amu.edu.pl/index.php/pp/article/download/17043/16847/34665</w:t>
      </w:r>
    </w:p>
    <w:p>
      <w:r>
        <w:t>Catalogue record: 231</w:t>
      </w:r>
    </w:p>
    <w:p>
      <w:pPr>
        <w:pStyle w:val="Heading2"/>
      </w:pPr>
      <w:r>
        <w:t>475 — Climatic suitability of Europe for *Aedes albopictus*: recent trends and future scenarios (2012)</w:t>
      </w:r>
    </w:p>
    <w:p>
      <w:r>
        <w:t>Earlier perspective.  Caminade et al., J R Soc Interface 9:2708–2717 (CC BY). Read in full through Europe PMC's full-text XML (PMC3427500). PMC itself served a captcha, and the doi.org link was not on the allowlist.   - Models: three climate-only suitability models.     - Model 1: annual mean temperature (fully suitable above 12 °C), behind an overwintering mask of annual rainfall &gt;500 mm and January mean &gt;0 °C.     - Model 2: the ECDC multi-criteria model, using annual rainfall, January temperature and summer temperature.     - Model 3: the Medlock seasonal-activity model (weeks of adult activity).   - Climate inputs: E-OBS observations (1960–1989 against 1990–2009), and 10 ENSEMBLES regional climate models under SRES A1B, bias-corrected to 1990–2009.   - Future window: 2030–2050, against 1990–2009.   - Projected increase: in suitability over the Benelux, western Germany, northern Switzerland, the southern UK coast and the Balkans (Slovenia, Croatia, Bosnia-Herzegovina).</w:t>
      </w:r>
    </w:p>
    <w:p>
      <w:r>
        <w:t>Developments since.    - ECDC/EFSA VectorNet map, April 2026 (page dated 3 June 2026; map produced 1 June 2026): Ae. albopictus established in 384 EU/EEA regional units in 16 countries. Units established out of total:      | Country | Established units |     |---|---|     | Austria | 3/9 |     | Belgium | 4/11 |     | Bulgaria | 26/28 |</w:t>
      </w:r>
    </w:p>
    <w:p>
      <w:r>
        <w:t>How these connect.    - Where the mosquito lives is not the same as where the climate suits it. Spread northward also reflects introductions and colonisation of a niche the mosquito had not yet filled, so it confirms the northern projection only loosely. Likewise, its presence in the south does not prove that 2030–2050 climate will stay suitable.   - However, models 1 and 3 already simulated falling suitability over southern Spain and Sardinia for 1990–2009. The mosquito was in Sardinia by 2011 and is now established across Andalusia.   - This suggests the rainfall and overwintering thresholds were too strict for a container-breeding urban mosquito, a risk the authors themselves raised.   - In short, the northern half looks right; the southern half looks, so far, like a model artefact.</w:t>
      </w:r>
    </w:p>
    <w:p>
      <w:r>
        <w:t>Research source trail (starting point): https://www.ecdc.europa.eu/en/publications-data/aedes-albopictus-current-known-distribution-april-2026</w:t>
      </w:r>
    </w:p>
    <w:p>
      <w:r>
        <w:t>Catalogue record: 475</w:t>
      </w:r>
    </w:p>
    <w:p>
      <w:pPr>
        <w:pStyle w:val="Heading2"/>
      </w:pPr>
      <w:r>
        <w:t>291 — Climatic suitability of leishmaniasis sand-fly vectors in Europe (2017)</w:t>
      </w:r>
    </w:p>
    <w:p>
      <w:r>
        <w:t>Earlier perspective.  Koch, Kochmann, Klimpel &amp; Cunze, Sci Rep 7:13325 (CC BY). Read in full through Europe PMC full-text XML (PMC5645347). Fig. 6 viewed from the publisher's image server.   - Method:     - Ensemble niche models: biomod2, 10 algorithms, AUC-weighted consensus (AUC &gt;0.95 for all species).     - Ten Phlebotomus species: eight proven vectors, plus P. mascittii and P. similis, which are suspected.     - 1,585 occurrence cells, drawn from 2,236 literature records.     - Six bioclimatic variables, with WorldClim 1960–1990 as the current climate.   - Future climate: one GCM (CSIRO-Mk3.6.0) under RCP 2.6, 4.5, 6.0 and 8.5, for 2021–2040, 2041–2060 and 2061–2080. Range-change maps (Figs 3 and 5) show 2061–2080 under RCP 8.5 only; Fig. 6 shows species counts for all twelve combinations.   - Results by species:</w:t>
      </w:r>
    </w:p>
    <w:p>
      <w:r>
        <w:t>Developments since.    - ECDC/EFSA VectorNet phlebotomine maps, April 2026 (all pages dated 3 June 2026; maps produced 1 June 2026). Changes since October 2023, as stated on each page:      | Species | Newly known present | Newly reported as introduced |     |---|---|---|     | P. alexandri | 3 units (2 in Algeria) | — |     | P. ariasi | 2 units (in Algeria) | — |     | P. mascittii | 4 units in 4 countries | — |</w:t>
      </w:r>
    </w:p>
    <w:p>
      <w:r>
        <w:t>How these connect.    - The paper's testable core is climatic suitability, which nobody measures directly.   - Observed range data are dominated by sampling effort: much of Germany is "no data", and VectorNet notes 450 new P. neglectus reports in a single 2023 update.   - Older northward records (P. mascittii and P. perniciosus in Germany and Belgium, P. neglectus in southern Switzerland) predate the paper or reflect better surveillance.   - The only movement so far is at existing edges. A modest early "partly" reading for northward movement would rest on the ECDC factsheet's 2014–2020 evidence, not on post-2017 data.   - The scenario spread is large and the evidence conflicts: ECDC's own factsheet cites Trájer et al. against northward expansion for four of the five species Koch projects to expand.</w:t>
      </w:r>
    </w:p>
    <w:p>
      <w:r>
        <w:t>Research source trail (starting point): https://www.ecdc.europa.eu/en/publications-data/phlebotomus-</w:t>
      </w:r>
    </w:p>
    <w:p>
      <w:r>
        <w:t>Catalogue record: 291</w:t>
      </w:r>
    </w:p>
    <w:p>
      <w:pPr>
        <w:pStyle w:val="Heading2"/>
      </w:pPr>
      <w:r>
        <w:t>398 — Agent-based assessment of land use change in the montado, Portugal (2014)</w:t>
      </w:r>
    </w:p>
    <w:p>
      <w:r>
        <w:t>Earlier perspective.  Acosta, Rounsevell, Bakker, Van Doorn, Gómez-Delgado &amp; Delgado, Intelligent Information Management 6:55–80 (CC BY). Full 26-page PDF read from the KIT repository.   - Model: a NetLogo agent-based model of 28 farmers, more than 90% of the farmers in Amendoeira da Serra (Mértola municipality, Alentejo).   - Study area: 44 km², on a 20 m grid.   - Inputs:     - a land-use map for 2000 from aerial photographs;     - a farmer survey from 2004;     - suitability maps from logistic regression on the 1958 and 2000 land-use maps.   - Scenario: one only, the IPCC SRES A1FI storyline for 2000–2050. It assumes:</w:t>
      </w:r>
    </w:p>
    <w:p>
      <w:r>
        <w:t>Developments since. Best direct evidence (Source and own computation):   - Locating the case-study frame. The grid in Fig. 10(a), x 236,000–244,300 and y 90,000–95,300, matches the Portuguese military grid (EPSG:20790). On that reading:     - Amendoeira da Serra (OpenStreetMap Nominatim: 37.7896 N, 7.6923 W) falls at about (238,830; 91,538), inside the frame near where the parcels converge;     - the frame measures 4,399 ha, matching the stated 44 km².      This geolocation is my own inference. The paper's printed coordinates (37°40'N, 7°47'"E") are inconsistent with it.   - Montado land cover 2018 (Marques et al. 2025, Zenodo record 14899825, CC BY; visual interpretation of aerial photographs, minimum mapping unit 25 ha):     - Whole layer: 1,189,394 ha (my sum), matching the paper.</w:t>
      </w:r>
    </w:p>
    <w:p>
      <w:r>
        <w:t>How these connect.    - The study's broad message holds as a regional observation: the montado is declining but persistent. The local quantities (about −17% by 2018, −32% by 2050) are not borne out by any data I could get, and coarse CORINE data point the other way.   - The observed regional decline is driven mainly by wildfire and tree mortality, mechanisms the model does not include; the model's mechanism is economic abandonment.   - Whether montado is still the "dominant" land use in the frame depends on classification. In the 2018 montado layer it covers 35%. In CORINE 2018, transitional woodland–shrub (1,988 ha) is larger than agro-forestry (1,151 ha).   - Uncertainty is high: there is a single scenario, my frame location is inferred, and definitions differ between sources.</w:t>
      </w:r>
    </w:p>
    <w:p>
      <w:r>
        <w:t>Research source trail (starting point): https://publikationen.bibliothek.kit.edu/1000080882/7035846</w:t>
      </w:r>
    </w:p>
    <w:p>
      <w:r>
        <w:t>Catalogue record: 398</w:t>
      </w:r>
    </w:p>
    <w:p>
      <w:pPr>
        <w:pStyle w:val="Heading2"/>
      </w:pPr>
      <w:r>
        <w:t>180 — Systemic design for circular regions (2020)</w:t>
      </w:r>
    </w:p>
    <w:p>
      <w:r>
        <w:t>Earlier perspective.  Giraldo Nohra, Pereno &amp; Barbero, Sustainability 12:4494, published 1 June 2020. The study is qualitative and has two stages. First comes a literature review on systemic design (SD), policy design and barriers to the circular economy (CE). Second comes a case study of the Interreg Europe RETRACE project (2016–2020), covering Piedmont, the Basque Country, Nouvelle-Aquitaine, North-East Romania and Slovenia. The regional action-plan actions are tabulated with outcomes rated achieved, partially achieved or delayed. The paper has three kinds of forward-looking content:   - (a) The abstract opens with the premise that a vast CE transformation "will occur in the upcoming years" and will change the EU. It gives no horizon, metric, baseline or scenario.   - (b) The introduction gives two figures taken from other sources: a potential income benefit of EUR 1.8 trillion by 2030 (cited to Ellen MacArthur Foundation 2015) and more than one million new EU jobs by 2030 (no separate citation).   - (c) It expects action-plan results to feed into the 2</w:t>
      </w:r>
    </w:p>
    <w:p>
      <w:r>
        <w:t>Developments since.    - Eurostat dataset cei_srm030 (API JSON; data updated 24 Nov 2025, timestamp 5 Jan 2026), EU27 CMU rate:      | Year | 2004 | 2010 | 2015 | 2017 | 2018 | 2019 | 2020 | 2021 | 2022 | 2023 | 2024 |     |---|---|---|---|---|---|---|---|---|---|---|---|     | CMU rate (%) | 8.2 | 10.7 | 11.2 | 11.5 | 11.6 | 11.1 | 11.2 | 11.1 | 11.4 | 12.1 | 12.2 (imputed) |      URL: https://ec.europa.eu/eurostat/api/dissemination/statistics/1.0/data/cei_srm030?format=JSON&amp;lang=EN&amp;geo=EU27_2020</w:t>
      </w:r>
    </w:p>
    <w:p>
      <w:r>
        <w:t>How these connect.    - The paper is a useful case study of policy design, not a foresight claim. The catalogue's choice of its opening sentence makes it look predictive.   - EU policy did expand after 2020. Rajić et al.'s references include the new Circular Economy Action Plan (COM(2020) 98) and Regulations (EU) 2024/1781 (ecodesign) and 2024/3110 (construction products). Material flows, however, have moved only slightly.   - The CMU rate is a crude proxy. It is driven by domestic material consumption, it gets revised, and the latest year is imputed. Its trend therefore says little about regional transitions like RETRACE's.   - The premise names no end date, so it cannot be settled.</w:t>
      </w:r>
    </w:p>
    <w:p>
      <w:r>
        <w:t>Research source trail (starting point): https://ec.europa.eu/eurostat/api/dissemination/statistics/1.0/data/cei_srm030?format=JSON&amp;lang=EN&amp;geo=EU27_2020</w:t>
      </w:r>
    </w:p>
    <w:p>
      <w:r>
        <w:t>Catalogue record: 180</w:t>
      </w:r>
    </w:p>
    <w:p>
      <w:pPr>
        <w:pStyle w:val="Heading2"/>
      </w:pPr>
      <w:r>
        <w:t>213 — Nutrient criteria under the Water Framework Directive (2019)</w:t>
      </w:r>
    </w:p>
    <w:p>
      <w:r>
        <w:t>Earlier perspective.  Poikane, Kelly, Salas Herrero, Pitt, Jarvie, Claussen, Leujak, Lyche Solheim, Teixeira &amp; Phillips, Science of the Total Environment 695:133888 (2019). Read in full via PMC6878824 and the Europe PMC full-text XML.   - What the study does: reviews the nutrient thresholds Member States use to support good ecological status, based on a questionnaire, comparisons by water type, and Kruskal-Wallis and Dunn tests.   - Main findings:     - Criteria reported by Member States: 28 for rivers, 26 for lakes, 23 for coastal waters, 18 for transitional waters.     - Countries differ in which nutrients, fractions and statistical metrics they use.     - Thresholds differ more than tenfold within shared types. For example, lake total-P boundaries range from 5 to 500 µg/L and river total-N from 0.25 to 35 mg/L.     - Thresholds set by expert judgement are significantly less stringent than data-driven ones.   - Future-related content: the opening sentence restates the policy aim of good ecological status in all surface waters by 2027 (in the introductio</w:t>
      </w:r>
    </w:p>
    <w:p>
      <w:r>
        <w:t>Developments since.    - European Commission, COM(2025) 2 final, 4 Feb 2025: report on implementation of the WFD and Floods Directive, third river basin management plans (RBMPs) 2022–2027 (Council document 6014/25). https://data.consilium.europa.eu/doc/document/ST-6014-2025-INIT/en/pdf     - Ecological status: 39.5% of surface water bodies are in good ecological status or potential (data mainly 2016–2021). The same countries reported 39.1% in the second RBMPs (data 2009–2015). (printed p. 5)     - Eutrophication under the Nitrates Directive: 36% of rivers, 32% of lakes, 31% of coastal, 32% of transitional and 81% of marine waters are eutrophic. (p. 5)     - Most Member States do not expect good ecological status for all water bodies by 2027. A harmonisation gap at EU level still hampers comparison of status assessments. (p. 7)     - Good chemical status: 26.8% of surface waters in 2021, against 33.5% in 2015. (p. 7)     - Nutrients: freshwater nutrient results have stagnated, and current measures are not sufficient for the Nitrates Directive or the WFD. (p. 16) Member States report that measures will not fully close the 2027 gap for nutrient and pesticide pollution. (p. 17)     - The report states that no Member State uses nutrient-concentration thre</w:t>
      </w:r>
    </w:p>
    <w:p>
      <w:r>
        <w:t>How these connect.    - The paper's substantive point is that inconsistent and sometimes lax nutrient criteria may hinder good status. This is consistent with the Commission's notes on a harmonisation gap, stagnating nutrient concentrations and insufficient measures.   - However, the Commission's statement (p. 18) that no Member State uses nutrient-concentration thresholds to assess good ecological status conflicts on its face with Poikane et al.'s inventory, which found that most Member States have such criteria. The Commission probably means something narrower, but the report does not define it, so the conflict is unresolved.   - Status numbers are not fully comparable across cycles, because of methodological changes and better monitoring. Both the EEA and the Commission warn of this.   - The quick pass treated the Danube and Czech papers as outcomes. They are weak, local and partly non-EU signals.</w:t>
      </w:r>
    </w:p>
    <w:p>
      <w:r>
        <w:t>Research source trail (starting point): https://data.consilium.europa.eu/doc/document/ST-6014-2025-INIT/en/pdf</w:t>
      </w:r>
    </w:p>
    <w:p>
      <w:r>
        <w:t>Catalogue record: 213</w:t>
      </w:r>
    </w:p>
    <w:p>
      <w:pPr>
        <w:pStyle w:val="Heading2"/>
      </w:pPr>
      <w:r>
        <w:t>384 — Extensification and the demitarian 2030 scenario (2015)</w:t>
      </w:r>
    </w:p>
    <w:p>
      <w:r>
        <w:t>Earlier perspective. Original claim (Source; full text and supplement read): van Grinsven, Erisman, de Vries &amp; Westhoek, Environmental Research Letters 10:025002 (26 Jan 2015).   - What the paper is: a review of cases and scenario studies on sustainable extensification, meaning lower N inputs and livestock densities. Its own quantified material is the Dutch livestock-reduction scenario and analyses of farm-level costs.   - Where the EU27 2030 numbers come from: they are not new modelling. They are taken from Westhoek et al. (2011), PBL's The Protein Puzzle, which used the LEITAP and IMPACT agro-economic models coupled to IMAGE.   - Scenario definition (supplement, Table 4): a 50% reduction in EU consumption of livestock products. The table header labels these as 2020 scenarios, although Table 5 and the text say 2030.   - Results (supplement, Table 5), changes against the 2030 reference:      | | EU27 | Rest of world (RoW) |     |---|---|---|</w:t>
      </w:r>
    </w:p>
    <w:p>
      <w:r>
        <w:t>Developments since.    - Has the scenario's condition materialised? No. FAO food balance data via Our World in Data (food available for consumption, kg per person per year, EU27; OWID last updated 25 Feb 2026, FAOSTAT release of 28 Oct 2025):      | | 2010 | 2015 | 2023 | Change 2015–2023 (my arithmetic) |     |---|---|---|---|---|     | Meat | 84.9 | 81.6 | 78.5 | −3.7% |     | Milk, excluding butter | 196.6 | 200.4 | 232.8 | +16.2% |     | Eggs | 12.8 | 12.5 | 13.4 | +8.0% |</w:t>
      </w:r>
    </w:p>
    <w:p>
      <w:r>
        <w:t>How these connect.    - The excerpt is accurate as a quotation, but it gives borrowed results from one model chain more precision than they have.   - The N effect of a 50% cut ranges from about 10% (reactive-N production in LEITAP–IMAGE, with trade leakage) to about 40% (MITERRA-Europe, with production assumed to fall in step). The difference reflects whether EU production follows EU consumption, and The Protein Puzzle notes that rebound and leakage typically halve the benefits.   - The land-outside-Europe result (about 108 Mha) depends on modelled trade responses that are not observable.   - Fair to the study: it never claimed this diet would happen, and its conclusion (extensification is sustainable only with adjusted diets and environmental costs priced in) remains a normative recommendation. EU policy has not moved towards pricing in those costs. I opened no evidence of an adopted meat-VAT reform; Plinke et al. treat it as a proposal.   - Fair to the scanner: nothing it linked could settle the claim; only official statistics can test the condition.</w:t>
      </w:r>
    </w:p>
    <w:p>
      <w:r>
        <w:t>Research source trail (starting point): https://ourworldindata.org/grapher/meat-supply-per-person.csv,</w:t>
      </w:r>
    </w:p>
    <w:p>
      <w:r>
        <w:t>Catalogue record: 384</w:t>
      </w:r>
    </w:p>
    <w:p>
      <w:pPr>
        <w:pStyle w:val="Heading2"/>
      </w:pPr>
      <w:r>
        <w:t>393: Time banks, co-production and foresight (2015)</w:t>
      </w:r>
    </w:p>
    <w:p>
      <w:r>
        <w:t>Earlier perspective.  Amanatidou, Gritzas and Kavoulakos, Foresight 17(4): 308–331, published 10 Aug 2015.   - Full text could not be obtained:     - The Emerald page is paywalled. WebFetch showed only the abstract plus a purchase prompt, and curl hit a Cloudflare challenge.     - OpenAlex lists the paper as closed, with no repository full text.     - The Manchester repository record has no file.     - The Aristotle University repository (IKEE) record was blocked (robots rule, then a connection timeout).   - What the abstract describes: a qualitative study of the four most active time banks in Athens.     - These are grassroots initiatives set up during the Greek financial crisis. The authors note Athens holds about 40% of Greece's population.</w:t>
      </w:r>
    </w:p>
    <w:p>
      <w:r>
        <w:t>Developments since.    - I found no official statistics on time banks at Greek or EU level.   - The search budget ran out before I could look for a later census of Greek time banks, so whether the four Athens banks were still active after 2015: could not verify.   - Related evidence opened:     - Sotiropoulou (2011), IJCCR 15(D): 27–31, full text. The Athens Timebank (Greek branch of the European Network of Women) started in October 2006, applied a six-month expiry to hours, and mostly exchanged language and PC-skills lessons. It was resuming operations in September 2010 despite its parent NGO's financial problems. https://www.ijccr.net/article/download/9125/8875/25099     - Naughton-Doe, Cameron and Carpenter (2020), as summarised in a National Elf Service blog post (Manthorpe, 18 Feb 2021). This is a secondary summary; I did not open the primary paper.       - Six English timebank case studies, with data from 2013–15. Only three were still running in 2020, and two of those had switched to group-only activity.       - Implementation was hampered by perceived regulation, a paternalistic culture and the resources the model requires. Co-production and mutual aid proved hard to realise once social care was included.</w:t>
      </w:r>
    </w:p>
    <w:p>
      <w:r>
        <w:t>How these connect.    - The study is a small-n exploratory case study with a normative message, so there is no prediction to check.   - One could read an implicit expectation into the title ("towards an alternative future"): that crisis-born time banks would seed a co-produced alternative. The only nearby evidence I could open shows English timebanks closing or retreating to group activity, which suggests the model is fragile. But I have no data on Greece, so this cannot be applied to the claim.   - Uncertainty about the Greek trajectory is high.</w:t>
      </w:r>
    </w:p>
    <w:p>
      <w:r>
        <w:t>Research source trail (starting point): https://www.ijccr.net/article/download/9125/8875/25099</w:t>
      </w:r>
    </w:p>
    <w:p>
      <w:r>
        <w:t>Catalogue record: 393</w:t>
      </w:r>
    </w:p>
    <w:p>
      <w:pPr>
        <w:pStyle w:val="Heading2"/>
      </w:pPr>
      <w:r>
        <w:t>394: Transport demand evolution in Europe – factors of change, scenarios and challenges (2015)</w:t>
      </w:r>
    </w:p>
    <w:p>
      <w:r>
        <w:t>Earlier perspective.    - Bernardino, Aggelakakis, Reichenbach, Vieira, Boile, Schippl, Christidis, Papanikolaou, Condeço, Garcia and Krail, Eur J Futures Res (2015) 3:13, published 18 Nov 2015. FP7 project FUTRE, grant 314181. All 13 pages of the KIT repository PDF were read.   - Method: an inductive scenario analysis inspired by the Manoa approach. It covers transport demand only (passenger and freight, the whole transport "world" seen from Europe) to 2050. Inputs: a literature review, an 11-expert workshop (Arrábida, March 2013), interviews and a causal-loop diagram.   - Factors judged most often crucial: climate change; energy scarcity and price; economic performance; global cooperation; social preferences (consumerism versus spiritual needs).   - Four qualitative scenarios:     - Unlimited. Technology removes environmental and energy limits. "Nomadism" and extreme globalisation maximise passenger travel. Commuting nearly disappears and schools and universities go largely virtual. Zero-emission cars and car/e-bike hybrids spread. Freight grows with em</w:t>
      </w:r>
    </w:p>
    <w:p>
      <w:r>
        <w:t>Developments since.  Eurostat, EU27_2020.   - Car share of inland passenger-km (`tran_hv_psmod`, %): 82.6 (2015, e); 82.7 (2019, e); 87.2 (2020, e); 82.5 (2024, b/e). Train 7.6 (2015, e) → 8.9 (2024, b/e). Bus and coach 9.9 → 8.6.   - Passenger cars per 1,000 inhabitants (`road_eqs_carhab`): 508 (2015); 548 (2019); 577 (2024); 584 (2025).   - Passenger transport volume relative to GDP (`tran_hv_pstra`, index 2015 = 100): 95.9 (2019, e); 79.0 (2020, e); 89.4 (2024, b/e).   - Rail passenger-km (`rail_pa_total`, million pkm): 412,202 (2019); 221,836 (2020); 429,575 (2023).   - Air passengers carried (`avia_paoc`, total, annual): 819.7 million (2015); 1,035.1 million (2019); 276.7 million (2020); 1,042.3 million (2024); 1,093.6 million (2025).   - Inland freight modal split (`tran_hv_frmod`, % of tkm): road 74.1 (2015, e) → 78.2 (2024, e); rail 18.9 → 16.6; inland waterways 6.9 → 5.2.   - Road freight (`road_go_ta_tott`, million tkm): 1,614,870 (2015); 1,813,524 (2019); 1,886,027 (2025).</w:t>
      </w:r>
    </w:p>
    <w:p>
      <w:r>
        <w:t>How these connect.    - The paper never committed to an outcome, so it cannot be scored right or wrong.   - Its framing of social preferences as an under-researched driver looks sound in hindsight: COVID-era teleworking and online buying shifted behaviour faster than infrastructure did.   - Its background remark about peak car is not supported at EU level for car ownership, which kept rising. I did not retrieve EU car passenger-km, so car use itself is unchecked.   - Caveats: Eurostat passenger modal-split shares are estimates with several flagged series breaks (including 2010–2013, 2016 and 2024). The 2020–21 values are pandemic outliers.</w:t>
      </w:r>
    </w:p>
    <w:p>
      <w:r>
        <w:t>Research source trail (starting point): https://publikationen.bibliothek.kit.edu/110104025/4377548:</w:t>
      </w:r>
    </w:p>
    <w:p>
      <w:r>
        <w:t>Catalogue record: 394</w:t>
      </w:r>
    </w:p>
    <w:p>
      <w:pPr>
        <w:pStyle w:val="Heading2"/>
      </w:pPr>
      <w:r>
        <w:t>404: European packaging industry foresight study (2014)</w:t>
      </w:r>
    </w:p>
    <w:p>
      <w:r>
        <w:t>Earlier perspective. Original claim (Source; full text read via the Springer article page, three passes; Table 1 page opened):   - Olsmats and Kaivo-oja, Eur J Futures Res 2:39, published 9 Apr 2014 (date from OpenAlex). Part of an Innventia foresight programme, 2010–2013.   - Method:     - Participatory foresight in three focus-group sessions (October 2010 to September 2011) with 46 participants, drawn mostly from Innventia staff, packaging users, suppliers and academics.     - The groups mapped the five global megatrends of CSIRO's "Our Future World" (More from less; A personal touch; On the move; Divergent demographics; iWorld) onto packaging implications, plus three topics: land use, sustainable cities, sustainable packaging.   - Explicit aim: a shared multi-client platform for preparedness. The authors say it is not an accurate forecast.   - Forward-looking content, all qualitative, with no horizon of its own:     - Pressure for sustainable packaging will increase (citing a PwC study).</w:t>
      </w:r>
    </w:p>
    <w:p>
      <w:r>
        <w:t>Developments since.    - Packaging waste generated (`env_waspac`, kg per inhabitant):     - Total: 154.56 (2012); 165.47 (2015); 177.7 (2019); 190.28 (2021); 186.56 (2022); 177.8 (2023, i); 180.99 (2024, i).     - Paper and cardboard: 62.69 (2012) → 73.82 (2024, i).     - Plastic: 28.42 (2012) → 35.93 (2024, i).   - Recycling rate of packaging waste (`env_waspacr` / `cei_wm020`, % under the "2025 target and onwards" method):     - Total: 65.2 (2012); 66.6 (2015); 64.8 (2019); 64.0 (2020); 65.3 (2022); 67.4 (2023, i); 67.0 (2024, i).     - Plastic: 37.6 (2012) → 42.4 (2024, i).</w:t>
      </w:r>
    </w:p>
    <w:p>
      <w:r>
        <w:t>How these connect.    - The study's direction-of-travel calls about sustainability were sound and became law.   - Its implicit premise that a mature European market would stagnate and become leaner did not hold for volumes.   - Its biggest blind spot was e-commerce.     - The trend was already visible when the focus groups met. EU individuals who had bought online within 12 months rose from 26.7% (2007) to 36.2% (2010) and 38.5% (2011) (Eurostat `isoc_ec_ibuy`).     - Fairness note: the authors explicitly did not aim to forecast.   - Uncertainty:     - Eurostat 2023–2024 values are imputed (i), and the 2020 method change affects the recycling series.</w:t>
      </w:r>
    </w:p>
    <w:p>
      <w:r>
        <w:t>Research source trail (starting point): https://api.worldbank.org/v2/country/WLD/indicator/SP.URB.TOTL.IN.ZS</w:t>
      </w:r>
    </w:p>
    <w:p>
      <w:r>
        <w:t>Catalogue record: 404</w:t>
      </w:r>
    </w:p>
    <w:p>
      <w:pPr>
        <w:pStyle w:val="Heading2"/>
      </w:pPr>
      <w:r>
        <w:t>111: Scenario forecasting of agriculture institutional transformation on a sustainable development base (2021)</w:t>
      </w:r>
    </w:p>
    <w:p>
      <w:r>
        <w:t>Earlier perspective.    - Lopatynskyi, Kobelia, Vodianka, Antokhova and Halytskyi, WSEAS Transactions on Environment and Development 17: 574–582. Published 31 May 2021, nine months before Russia's full-scale invasion. All pages of the PDF were read.   - Content:     - Five institutional stages of Ukrainian agriculture: 1991–1999, 2000–2008, 2008–2014, 2014–2019, and "since 2020", the last tied to the law ending the moratorium on farmland sales.     - COVID-19 is described as a short-term depressant and the open land market as a long-term stimulus.     - Method: expert assessment and the scenario method. The authors call it "the author's forecast", for the near future, with no horizon year.   - Three qualitative scenarios:     - Pessimistic. The sector stays unchanged, which is not optimal by any criterion.</w:t>
      </w:r>
    </w:p>
    <w:p>
      <w:r>
        <w:t>Developments since.    - Sector output, World Bank API (Ukraine). https://api.worldbank.org/v2/country/UKR/indicator/&lt;code&gt;, last updated 8 Oct 2026.     - Agriculture, forestry and fishing value added, % of GDP (`NV.AGR.TOTL.ZS`): 10.89 (2021); 8.57 (2022); 7.55 (2023); 7.29 (2024); 7.57 (2025).     - Value added in constant 2015 USD (`NV.AGR.TOTL.KD`): 12.78 billion (2021); 9.56 billion (2022, −25.2%); 10.63 billion (2023); 10.22 billion (2024); 9.58 billion (2025, still −25.1% against 2021).     - Crop production index, 2014–16 = 100 (`AG.PRD.CROP.XD`): 121.71 (2021); 90.06 (2022); 100.34 (2023); 96.35 (2024).     - Cereal production (`AG.PRD.CREL.MT`): 85.37 million t (2021); 53.54 million t (2022); 59.32 million t (2023); 55.65 million t (2024).     - Employment in agriculture, % of total, modelled ILO (`SL.AGR.EMPL.ZS`): 14.12 (2021), no values after 2021. The ILOSTAT API returned an empty file. Could not verify the post-2021 employment trend.     - Food exports, % of merchandise exports (`TX.VAL.FOOD.ZS.UN`): 40.32 (2021); 52.67 (2022); 60.33 (2023); 58.69 (2024).</w:t>
      </w:r>
    </w:p>
    <w:p>
      <w:r>
        <w:t>How these connect.    - The 2021 paper gave three loose narratives with no numbers or horizon. Only the land-market mechanism can be checked, and it unfolded along the "realistic" path but more slowly and with more safeguards than implied.   - The war makes the scenario set largely moot. This is an exogenous shock, so fairness requires noting that no scenario of this kind would have been judged on it in May 2021.   - Uncertainty:     - Structure and employment data after 2021 are missing (Ukrstat unreachable; employment data suspended or not published in the World Bank and ILO series).     - The land file's price field is incomplete for 2021–22.     - The 2026 figures are partial-year.</w:t>
      </w:r>
    </w:p>
    <w:p>
      <w:r>
        <w:t>Research source trail (starting point): https://api.worldbank.org/v2/country/UKR/indicator/</w:t>
      </w:r>
    </w:p>
    <w:p>
      <w:r>
        <w:t>Catalogue record: 111</w:t>
      </w:r>
    </w:p>
    <w:sectPr w:rsidR="00FC693F" w:rsidRPr="0006063C" w:rsidSect="00034616">
      <w:headerReference w:type="default" r:id="rId9"/>
      <w:footerReference w:type="default" r:id="rId10"/>
      <w:pgSz w:w="12240" w:h="15840"/>
      <w:pgMar w:top="1094"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Original future-oriented excerpts · Links point to the indexed original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VV FUTURES  /  EUROPEAN FORESIGHT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7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