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European futures: reviewed accounts</w:t>
      </w:r>
    </w:p>
    <w:p>
      <w:r>
        <w:t>VV Futures · European Foresight Observatory · Editorial update 24 October 2026</w:t>
      </w:r>
    </w:p>
    <w:p>
      <w:r>
        <w:t>63 LLM-assisted accounts: 43 retained, 15 revised, 5 new. Interpretations have varying verification status. They are not a forecast-accuracy scoreboard.</w:t>
      </w:r>
    </w:p>
    <w:p>
      <w:pPr>
        <w:pStyle w:val="Heading1"/>
      </w:pPr>
      <w:r>
        <w:t>New and revised accounts</w:t>
      </w:r>
    </w:p>
    <w:p>
      <w:pPr>
        <w:pStyle w:val="Heading2"/>
      </w:pPr>
      <w:r>
        <w:t>NEW · EU gas supply options and the Southern Gas Corridor (2013)</w:t>
      </w:r>
    </w:p>
    <w:p>
      <w:r>
        <w:t>The import-dependence warning materialised early, through falling domestic production rather than rising demand. The Southern Corridor became a working supply route but at modest scale; it did not “prevail” as the Union’s central diversification option. The break with Russian gas came through an unexpected geopolitical shock and was achieved mainly through LNG, Norwegian supply and lower demand.</w:t>
      </w:r>
    </w:p>
    <w:p>
      <w:r>
        <w:rPr>
          <w:b/>
        </w:rPr>
        <w:t xml:space="preserve">Original claim · </w:t>
      </w:r>
      <w:r>
        <w:t>Paraphrase from the abstract: EU gas consumption was expected to rise significantly, and the authors cite current estimates that the EU would need to import “up to 80% of the gas it will consume in 2030”, amid strong concern about reliance on Russian gas, especially in Eastern Europe. Weighing shale gas, more LNG and supplier diversification, they conclude that the EU’s main priority appeared to be the Southern Gas Corridor, with Turkey retaining its strategic importance as a hub. The 80% figure is a cited projection; the article’s own forward-looking claim is the prevalence of the corridor. Catalogue excerpt: HISTORICAL-CLAIMS record 458 (which reproduces only the import-dependence sentences).</w:t>
      </w:r>
    </w:p>
    <w:p>
      <w:r>
        <w:rPr>
          <w:b/>
        </w:rPr>
        <w:t xml:space="preserve">Original publication · </w:t>
      </w:r>
      <w:r>
        <w:t>Fernandes, Jeverson &amp; Ermida, Graça (2013). The European Union’s Strategic Gas Supply Options and the Prevalence of the Southern Corridor. European Foreign Affairs Review 18, 547–561 (Kluwer Law International; issue designation given inconsistently as no. 4 or special issue). https://doi.org/10.54648/eerr2013040 (paywalled; abstract and publisher landing page used).</w:t>
      </w:r>
    </w:p>
    <w:p>
      <w:r>
        <w:rPr>
          <w:b/>
        </w:rPr>
        <w:t xml:space="preserve">Evidence status · </w:t>
      </w:r>
      <w:r>
        <w:t>Abstract-only assessment. Later statistical and legal evidence was read in full.</w:t>
      </w:r>
    </w:p>
    <w:p>
      <w:r>
        <w:rPr>
          <w:b/>
        </w:rPr>
        <w:t xml:space="preserve">Later sources · </w:t>
      </w:r>
      <w:r>
        <w:t>Eurostat (dataset updated 16 July 2026). Energy imports dependency (nrg_ind_id), natural gas, EU27_2020, 1990–2024. Eurostat database, https://ec.europa.eu/eurostat/web/main/data/database — 68.3% (2013), 80.2% (2017), 97.6% (2022), 85.0% (2024). Dataset; direct evidence. Eurostat (dataset updated 9 October 2026). Supply, transformation and consumption of gas (nrg_cb_gas) and Imports of natural gas by partner country (nrg_ti_gas), EU27_2020. Eurostat database (as above) — inland consumption about 393 bcm (2013) and 336 bcm (2024); production 135 bcm (2013) and 37 bcm (2024); imports from Azerbaijan about 12 bcm a year in 2022–2024; partner shares calculated by the reviewer. Dataset; direct evidence. Pirani, S. (2018). Let’s not exaggerate – Southern Gas Corridor prospects to 2030. Oxford Institute for Energy Studies, Paper NG 135. https://doi.org/10.26889/9781784671167 — about 10 bcm a year expected for Europe, no more than about 2% of demand, far below Commission assumptions of around 2011. Full text read; explanatory evidence and pre-2022 later foresight. Siddi, M. (2017). The Southern Gas Corridor: Challenges to a geopolitical approach in the EU’s external energy policy. FIIA Briefing Paper 216. https://fiia.fi/wp-content/uploads/2017/04/bp216_the_southern_gas_corridor.pdf — corridor capacity of 16 bcm a year with 10 bcm for the EU, against the 31 bcm once planned for Nabucco; the corridor would not significantly diversify EU imports. Full text read; explanatory evidence. Trans Adriatic Pipeline AG (10 July 2026). One flow, two milestones: 60 bcm delivered to Europe, 50 bcm to Italy. https://www.tap-ag.com/news/news-stories/one-flow-two-milestones-60-bcm-delivered-to-europe-50-bcm-to-italy — more than 60 bcm delivered since start of operations; first expansion phase a</w:t>
      </w:r>
    </w:p>
    <w:p>
      <w:pPr>
        <w:pStyle w:val="Heading2"/>
      </w:pPr>
      <w:r>
        <w:t>NEW · Renewable electricity from North Africa for Europe, 2050 (2014)</w:t>
      </w:r>
    </w:p>
    <w:p>
      <w:r>
        <w:t>So far the imagined pathway of large-scale renewable electricity exports from North Africa to Europe has not materialised; the region’s own renewable build-out has been slow outside Morocco, and the export idea has been largely reframed towards hydrogen and selected bilateral interconnectors. Because the scenarios are conditional and their horizon is 2050, they remain formally open, but the intermediate milestones are far out of reach.</w:t>
      </w:r>
    </w:p>
    <w:p>
      <w:r>
        <w:rPr>
          <w:b/>
        </w:rPr>
        <w:t xml:space="preserve">Original claim · </w:t>
      </w:r>
      <w:r>
        <w:t>Paraphrase from the abstract: four scenarios with renewable shares of 83–98% of electricity generation (regional average) in Morocco, Algeria, Tunisia, Libya and Egypt by 2050, evaluating the opportunities and technical challenges of electricity exchange within the region and with Europe; the authors found that “extensive grid reinforcements would be required” (abstract). The 2016 Fraunhofer report by the same team specifies that two scenarios assume exports to Europe, of about 191–347 TWh a year in 2050, with renewable shares of 59–68% already in 2030. Catalogue excerpt: HISTORICAL-CLAIMS record 421.</w:t>
      </w:r>
    </w:p>
    <w:p>
      <w:r>
        <w:rPr>
          <w:b/>
        </w:rPr>
        <w:t xml:space="preserve">Original publication · </w:t>
      </w:r>
      <w:r>
        <w:t>Boie, Inga, Pudlik, Martin, Ragwitz, Mario, Sensfuß, Frank (Fraunhofer ISI), Bohn, Sven, Agsten, Michael, Bretschneider, Peter &amp; Westermann, Dirk (Fraunhofer IOSB-AST) (2014). Scenarios for renewable energy deployment in North African countries and electricity exchange with Europe – A model-based analysis for 2050. International Journal of Smart Grid and Clean Energy 3(3), 299–306. https://doi.org/10.12720/sgce.3.3.299-306 (the open-access PDF could not be retrieved; abstract read, scenario figures taken from the same team’s 2016 Fraunhofer report).</w:t>
      </w:r>
    </w:p>
    <w:p>
      <w:r>
        <w:rPr>
          <w:b/>
        </w:rPr>
        <w:t xml:space="preserve">Evidence status · </w:t>
      </w:r>
      <w:r>
        <w:t>Abstract-only assessment (original); later statistical evidence read directly.</w:t>
      </w:r>
    </w:p>
    <w:p>
      <w:r>
        <w:rPr>
          <w:b/>
        </w:rPr>
        <w:t xml:space="preserve">Later sources · </w:t>
      </w:r>
      <w:r>
        <w:t>Ember, yearly electricity data, accessed via Our World in Data (last updated 30 June 2026). Share of electricity generation from renewables and Electricity production by source. https://ourworldindata.org/grapher/share-electricity-renewables — 2024 renewable shares: Morocco 24.4%, Egypt 11.2%, Tunisia 4.4%, Algeria 1.1%, Libya about 0%; five-country aggregate about 9.0% (2024) versus 6.5% (2013), reviewer’s calculation. Dataset; direct evidence. Eurostat (datasets updated 22 October 2026). Imports and exports of electricity by partner country (nrg_ti_eh, nrg_te_eh). Eurostat database, https://ec.europa.eu/eurostat/web/main/data/database — Spain exported 2,896 GWh to and imported 356 GWh from Morocco in 2024; no recorded flows between other EU states and Algeria, Tunisia, Libya or Egypt. Dataset; direct evidence. Platzer, W. et al. (2016). Supergrid – Approach for the integration of renewable energy in Europe and North Africa. Fraunhofer study report, 12 March 2016. https://www.ise.fraunhofer.de/content/dam/ise/en/documents/press-releases/2016/Study_Supergrid_final_160412_.pdf — Chapter 3 restates the four 2014 scenarios (renewable shares 83–98% in 2050; exports of 191–347 TWh in the export scenarios). Full text read; companion source used for the original scenario figures. Boie, I. et al. (2016). Opportunities and challenges of high renewable energy deployment and electricity exchange for North Africa and Europe. Renewable Energy 87, 130–144. https://doi.org/10.1016/j.renene.2015.10.008 — same team reiterates near-100% renewables by 2050 and exports gaining importance after 2030. Abstract only; later foresight. European Commission (2022). REPowerEU Plan, COM(2022) 230 final. https://eur-lex.europa.eu/legal-content/EN/TXT/?uri=CELEX:52022DC0230 — 10 million tonnes of ren</w:t>
      </w:r>
    </w:p>
    <w:p>
      <w:pPr>
        <w:pStyle w:val="Heading2"/>
      </w:pPr>
      <w:r>
        <w:t>NEW · A Europe-wide CO₂ transport network for carbon capture and storage (2014)</w:t>
      </w:r>
    </w:p>
    <w:p>
      <w:r>
        <w:t>The study’s core insight — that CCS at scale in Europe requires transboundary transport and offshore storage — has been absorbed into EU policy, but the envisaged integrated pipeline network has been delayed by roughly a decade and reshaped into clusters linked by shipping, with 2030 ambitions at the low end of the 2014 scenarios. The 2050 horizon remains open.</w:t>
      </w:r>
    </w:p>
    <w:p>
      <w:r>
        <w:rPr>
          <w:b/>
        </w:rPr>
        <w:t xml:space="preserve">Original claim · </w:t>
      </w:r>
      <w:r>
        <w:t>Key phrase (conclusions): extensive CO₂ pipeline networks “will be required by both low and high levels of CCS deployment”. Paraphrase: modelling capture of 50–350 Mt CO₂ a year by 2030 and 280–800 Mt by 2050, the authors found that least-cost networks would need roughly 7,000–15,000 km of pipeline by 2030 and 12,000–20,000 km by 2050, with pipeline capital costs of the order of €10–20 billion; offshore storage would be needed even at low deployment, almost no 2030 routes would become redundant by 2050, and priority CO₂ corridors should become EU projects of common interest. The catalogued excerpt (HISTORICAL-CLAIMS record 427) gives only the contextual opening sentence.</w:t>
      </w:r>
    </w:p>
    <w:p>
      <w:r>
        <w:rPr>
          <w:b/>
        </w:rPr>
        <w:t xml:space="preserve">Original publication · </w:t>
      </w:r>
      <w:r>
        <w:t>Stewart, R. Jamie, Scott, Vivian, Haszeldine, R. Stuart (University of Edinburgh), Ainger, Dominic &amp; Argent, Steve (Arup) (2014). The feasibility of a European-wide integrated CO₂ transport network. Greenhouse Gases: Science and Technology 4(4), 481–494. https://doi.org/10.1002/ghg.1410 (accepted author manuscript read in full via the University of Edinburgh repository).</w:t>
      </w:r>
    </w:p>
    <w:p>
      <w:r>
        <w:rPr>
          <w:b/>
        </w:rPr>
        <w:t xml:space="preserve">Evidence status · </w:t>
      </w:r>
      <w:r>
        <w:t>Source-verified for the original paper and the EU policy documents; project-level status beyond Northern Lights not verified.</w:t>
      </w:r>
    </w:p>
    <w:p>
      <w:r>
        <w:rPr>
          <w:b/>
        </w:rPr>
        <w:t xml:space="preserve">Later sources · </w:t>
      </w:r>
      <w:r>
        <w:t>Regulation (EU) 2024/1735 (Net-Zero Industry Act), 13 June 2024, Article 20. https://eur-lex.europa.eu/eli/reg/2024/1735/oj — Union objective of at least 50 Mt a year of CO₂ injection capacity by 2030; Commission estimates that up to 550 Mt a year may need to be captured by 2050. Full text read; direct and reframing evidence (target). European Commission (2024). Towards an ambitious Industrial Carbon Management for the EU, COM(2024) 62 final, 6 February 2024. https://eur-lex.europa.eu/legal-content/EN/TXT/?uri=CELEX:52024DC0062 — limited operational projects; early transport largely by shipping from clusters; up to 7,300 km of pipelines and shipping routes by 2030 and about 19,000 km by 2040; about 280 Mt captured in 2040 and 450 Mt in 2050. Full text read; direct, explanatory and later-foresight evidence. Pipe Line &amp; Gas Journal (25 August 2025). Norway’s Northern Lights CCS project starts operations with first CO₂ injected. https://pgjonline.com/news/2025/august/norways-northern-lights-ccs-project-starts-operations-with-first-co2-injected — operations begun with CO₂ from the Brevik cement plant; phase 1 capacity 1.5 Mt a year; phase 2 at least 5 Mt a year. Trade-press web page; direct evidence on first operation. Hofmann, F., Tries, C., Neumann, F., Zeyen, E. &amp; Brown, T. (2024). H2 and CO2 network strategies for the European energy system. arXiv:2402.19042 (later published in Nature Energy, 2025). https://arxiv.org/abs/2402.19042 — in a carbon-neutral European model a CO₂ network lowers system costs by 3.1%, a combined hydrogen and CO₂ network by 5.2%. Full text read (preprint); later foresight. Anvari, M. et al. (2026). From carbon management strategies to implementation: Modeling and physical simulation of CO₂ pipeline infrastructure – a case study for Germany. arXi</w:t>
      </w:r>
    </w:p>
    <w:p>
      <w:pPr>
        <w:pStyle w:val="Heading2"/>
      </w:pPr>
      <w:r>
        <w:t>REVISED · Foresight for EU roles as a global security actor to 2035 (2013)</w:t>
      </w:r>
    </w:p>
    <w:p>
      <w:r>
        <w:t>The EU’s security role developed partly along the role areas the exercise identified — cyber, maritime, space and solidarity/defence — but mainly through regulatory, financial and industrial instruments, and since 2022 under conditions closer to the project’s fragmented or conflict-dominated configurations than to its “Constructive World” (the reviewer’s mapping, not the authors’). Whether the EU will perform wider roles itself by 2035 remains open.</w:t>
      </w:r>
    </w:p>
    <w:p>
      <w:r>
        <w:rPr>
          <w:b/>
        </w:rPr>
        <w:t xml:space="preserve">Original claim · </w:t>
      </w:r>
      <w:r>
        <w:t>Key phrase (conclusion): scenario-based foresight “cannot be rigorously performed without adequate analytical support”. Paraphrase: the paper describes how expert groups and formal tools built three context scenarios for 2035 — Constructive, Fragmented and Confusing World — and explored possible new EU roles as a global security actor beyond the Petersberg tasks of the Lisbon Treaty, clustered in cybersecurity, protection of sea lines of communication, energy security, space and solidarity/defence, with control of CBRN proliferation, extended air defence against advanced drones and Responsibility-to-Protect tasks added by the project team. These were plausible options for security-research planning, not predictions. Catalogue excerpt: HISTORICAL-CLAIMS record 437 (a methods passage).</w:t>
      </w:r>
    </w:p>
    <w:p>
      <w:r>
        <w:rPr>
          <w:b/>
        </w:rPr>
        <w:t xml:space="preserve">Original publication · </w:t>
      </w:r>
      <w:r>
        <w:t>Tagarev, Todor &amp; Ivanova, Petya (2013). Analytical support to foresighting EU roles as a Global Security Actor. Information &amp; Security: An International Journal 29, 21–33 (EU FP7 project FOCUS, 2011–2013). https://doi.org/10.11610/isij.2902 (open access; full text read via a mirror copy).</w:t>
      </w:r>
    </w:p>
    <w:p>
      <w:r>
        <w:rPr>
          <w:b/>
        </w:rPr>
        <w:t xml:space="preserve">Evidence status · </w:t>
      </w:r>
      <w:r>
        <w:t>Source-verified, with the caveats stated.</w:t>
      </w:r>
    </w:p>
    <w:p>
      <w:r>
        <w:rPr>
          <w:b/>
        </w:rPr>
        <w:t xml:space="preserve">Later sources · </w:t>
      </w:r>
      <w:r>
        <w:t>European External Action Service / High Representative (2023). Annual Progress Report on the Implementation of the Strategic Compass for Security and Defence, Council document 6891/23, 27 February 2023. https://data.consilium.europa.eu/doc/document/ST-6891-2023-INIT/en/pdf — cyber-defence policy, hybrid toolbox, coordinated maritime presences, first EU space strategy for security and defence, mutual-assistance exercises with cyber, hybrid and space scenarios. Full text read; direct evidence (official self-assessment). Council of the European Union. European Peace Facility (web page, reviewed 4 December 2024). https://www.consilium.europa.eu/en/policies/european-peace-facility/ — €11.1 billion for Ukraine in 2022–2024 including the Ukraine Assistance Fund; further use for Ukraine blocked by one member state since 2023 (European Parliamentary Research Service, April 2025). Web pages; direct evidence. European Parliament, Economic Governance and EMU Scrutiny Unit (March 2025). Defence financing and spending under the Economic Governance Framework. https://www.europarl.europa.eu/RegData/etudes/IDAN/2025/764354/ECTI_IDA(2025)764354_EN.pdf — the “up to €800 billion” of ReArm Europe/Readiness 2030 is a Commission projection of enabled spending (SAFE loans of up to €150 billion, national escape clause and other channels), not money raised. Full text read; explanatory evidence. European Defence Agency (2026). Defence Data 2025–2026 (data cut-off 20 April 2026). https://eda.europa.eu/docs/default-source/eda-publications/2026-eda_defencedata_webpublic.pdf — EU-27 defence spending €418 billion in 2025 (2.2% of GDP), estimated €454 billion in 2026; collaborative spending 24% of equipment procurement. Full text read; direct evidence (national aggregates). NATO (25 June 2025). The Hag</w:t>
      </w:r>
    </w:p>
    <w:p>
      <w:pPr>
        <w:pStyle w:val="Heading2"/>
      </w:pPr>
      <w:r>
        <w:t>REVISED · Towards Europe 2035: decline, dependence and strategic unity (2013)</w:t>
      </w:r>
    </w:p>
    <w:p>
      <w:r>
        <w:t>The dependencies and weaknesses Nerlich flagged became the core of the EU’s security agenda, but the change was driven by an external shock and US policy rather than by the long-term strategic planning he advocated. Whether the EU becomes a strategic unit by 2035 remains open.</w:t>
      </w:r>
    </w:p>
    <w:p>
      <w:r>
        <w:rPr>
          <w:b/>
        </w:rPr>
        <w:t xml:space="preserve">Original claim · </w:t>
      </w:r>
      <w:r>
        <w:t>Key phrase (p. 166): reliance on the United States “can no longer be taken for granted”. Paraphrase: setting the FOCUS 2035 scenarios against the US National Intelligence Council’s Global Trends 2030, Nerlich described a Europe seen by other powers as in relative decline, with signs of renationalisation; he warned that the EU would appear marginal if some $300 billion of annual collective defence spending kept failing to buy strategic freedom of action, and argued that the EU had to stabilise itself as a strategic unit combining its dual civil–military nature with strategic assertiveness. He proposed repeating FOCUS-type analysis about every five years. Catalogue excerpt: HISTORICAL-CLAIMS record 460 (framework-oriented).</w:t>
      </w:r>
    </w:p>
    <w:p>
      <w:r>
        <w:rPr>
          <w:b/>
        </w:rPr>
        <w:t xml:space="preserve">Original publication · </w:t>
      </w:r>
      <w:r>
        <w:t>Nerlich, Uwe (2013). Towards Europe 2035 – In Search of the Archimedean Screw: FOCUS in Perspective. Information &amp; Security: An International Journal 29, 161–183. https://doi.org/10.11610/isij.2912 (open access; key passages read via a mirror copy).</w:t>
      </w:r>
    </w:p>
    <w:p>
      <w:r>
        <w:rPr>
          <w:b/>
        </w:rPr>
        <w:t xml:space="preserve">Evidence status · </w:t>
      </w:r>
      <w:r>
        <w:t>Provisional interpretation. Key passages of the original and the official data were read; strategic-culture and transatlantic evidence rests partly on abstracts.</w:t>
      </w:r>
    </w:p>
    <w:p>
      <w:r>
        <w:rPr>
          <w:b/>
        </w:rPr>
        <w:t xml:space="preserve">Later sources · </w:t>
      </w:r>
      <w:r>
        <w:t>European Defence Agency (2026). Defence Data 2025–2026 (data cut-off 20 April 2026). https://eda.europa.eu/docs/default-source/eda-publications/2026-eda_defencedata_webpublic.pdf — EU-27 defence spending €418 billion in 2025 (2.2% of GDP), estimated €454 billion in 2026; collaborative spending 24% of equipment procurement. Full text read; direct evidence (national aggregates). NATO (25 June 2025). The Hague Summit Declaration. https://www.nato.int — allies commit to 5% of GDP for defence and security-related spending by 2035 (at least 3.5% for core defence). Web page; explanatory evidence on the transatlantic condition. Council of the European Union. European Peace Facility (web page, reviewed 4 December 2024). https://www.consilium.europa.eu/en/policies/european-peace-facility/ — €11.1 billion for Ukraine in 2022–2024 including the Ukraine Assistance Fund; further use for Ukraine blocked by one member state since 2023 (European Parliamentary Research Service, April 2025). Web pages; direct evidence. European Parliament, Economic Governance and EMU Scrutiny Unit (March 2025). Defence financing and spending under the Economic Governance Framework. https://www.europarl.europa.eu/RegData/etudes/IDAN/2025/764354/ECTI_IDA(2025)764354_EN.pdf — the “up to €800 billion” of ReArm Europe/Readiness 2030 is a Commission projection of enabled spending (SAFE loans of up to €150 billion, national escape clause and other channels), not money raised. Full text read; explanatory evidence. Kruck, A. &amp; Weiss, M. (2023). The regulatory security state in Europe. Journal of European Public Policy 30(7), 1205–1229. https://doi.org/10.1080/13501763.2023.2172061 — the EU’s security role has grown through expertise and regulation rather than autonomous capacities. Abstract only; reframing evidenc</w:t>
      </w:r>
    </w:p>
    <w:p>
      <w:pPr>
        <w:pStyle w:val="Heading2"/>
      </w:pPr>
      <w:r>
        <w:t>REVISED · Constructivist forecasting and the EU as a military power (2011)</w:t>
      </w:r>
    </w:p>
    <w:p>
      <w:r>
        <w:t>This record cannot be scored as held or failed. The EU’s military role grew after 2022, mainly through money and industry and under the shock of war; national strategic cultures shifted unevenly; and the methodological programme of combining strategic culture with material drivers has been carried forward by the author. Meyer’s substantive trajectories remain to be checked against the full text.</w:t>
      </w:r>
    </w:p>
    <w:p>
      <w:r>
        <w:rPr>
          <w:b/>
        </w:rPr>
        <w:t xml:space="preserve">Original claim · </w:t>
      </w:r>
      <w:r>
        <w:t>Key phrase (abstract): strategic culture research suits outlining “trajectories of the likely” when combined with drivers, discontinuities and key uncertainties. Paraphrase: the article argues that forecasting is scientifically rewarding and normatively desirable for constructivist scholars and uses the EU’s evolution as a military power as its example. The specific trajectories and uncertainties it identified for the EU could not be verified, so the claim is treated here mainly as methodological. Catalogue excerpt: HISTORICAL-CLAIMS record 501.</w:t>
      </w:r>
    </w:p>
    <w:p>
      <w:r>
        <w:rPr>
          <w:b/>
        </w:rPr>
        <w:t xml:space="preserve">Original publication · </w:t>
      </w:r>
      <w:r>
        <w:t>Meyer, Christoph O. (2011). The Purpose and Pitfalls of Constructivist Forecasting: Insights from Strategic Culture Research for the European Union’s Evolution as a Military Power. International Studies Quarterly 55(3), 669–690 (King’s College London). https://doi.org/10.1111/j.1468-2478.2011.00648.x (paywalled; abstract and reference list used).</w:t>
      </w:r>
    </w:p>
    <w:p>
      <w:r>
        <w:rPr>
          <w:b/>
        </w:rPr>
        <w:t xml:space="preserve">Evidence status · </w:t>
      </w:r>
      <w:r>
        <w:t>Abstract-only assessment. Flagged for source verification of the original’s substantive trajectories.</w:t>
      </w:r>
    </w:p>
    <w:p>
      <w:r>
        <w:rPr>
          <w:b/>
        </w:rPr>
        <w:t xml:space="preserve">Later sources · </w:t>
      </w:r>
      <w:r>
        <w:t>Mi, Xue (2023). Strategic cultures between the EU member states: convergence or divergence? European Security 32(4), 558–582. https://doi.org/10.1080/09662839.2022.2159384 — Germany, Poland and Ireland 2000–2020: convergence in threat perceptions, persistent divergence on goals and means. Abstract only; direct evidence. Mi, Xue (2026). European Strategic Culture at a Crossroads: National Continuities or Convergence Towards the EU? Routledge. https://doi.org/10.4324/9781032636566 — convergence between member states and with the EU under way before the 2022 war, which strengthened security and defence thinking. Abstract and chapter list only; direct evidence (cited in earlier accounts). Meyer, C. O. (2023). Nature, emergence, and limitations of an EU strategic culture. In Kartchner, K. M., Bowen, B. A. &amp; Johnson, J. L. (eds), Routledge Handbook of Strategic Culture, 106–120. https://doi.org/10.4324/9781003010302-10 — EU strategic culture centred on civilian tools, shaped and limited by member-state cultures. Abstract only; later foresight and explanatory evidence by the same author. Herborth, B. (2026). European strategic antinomy. Political Geography 129, 103616. https://doi.org/10.1016/j.polgeo.2026.103616 — strategic autonomy as a key but internally contradictory geonarrative. Abstract only; reframing evidence (cited in the earlier account). Li &amp; Meyer, C. O. (2026). A realist-constructivist framework for explaining change in strategic culture: the four pathways model. Cooperation and Conflict. https://doi.org/10.1177/00108367261490365 — four pathways and three forms of strategic-cultural change. Abstract only; reframing evidence (methodological continuation). European Defence Agency (2026). Defence Data 2025–2026 (data cut-off 20 April 2026). https://eda.europa.eu/doc</w:t>
      </w:r>
    </w:p>
    <w:p>
      <w:pPr>
        <w:pStyle w:val="Heading2"/>
      </w:pPr>
      <w:r>
        <w:t>REVISED · European air quality and climate in 2050 (2013)</w:t>
      </w:r>
    </w:p>
    <w:p>
      <w:r>
        <w:t>Open: the horizon has not been reached and the two pathways cannot yet be distinguished by observation. Intermediate evidence fits the paper’s core claim that emissions control the trajectory, but ozone exposure has responded more weakly to precursor cuts than models suggest, and the hemispheric background concern has become more central rather than less.</w:t>
      </w:r>
    </w:p>
    <w:p>
      <w:r>
        <w:rPr>
          <w:b/>
        </w:rPr>
        <w:t xml:space="preserve">Original claim · </w:t>
      </w:r>
      <w:r>
        <w:t>Key phrase (final abstract): the main driver of future air quality is “air pollutant emissions, rather than climate change”. Paraphrase: comparing a reference world without climate policy with a 2°C mitigation world, population-weighted ozone exposure (SOMO35) rises about 7% by 2050 in the reference case but falls about 80% under mitigation, and PM2.5 falls by about 62% and 78% respectively; the ozone climate penalty is confirmed but modest, while rising hemispheric background ozone may matter more. Note: the catalogued excerpt (HISTORICAL-CLAIMS record 444) is a methods sentence, and the indexed abstract is that of the discussion paper, which said the climate penalty had been overstated; the final published abstract states that it is confirmed.</w:t>
      </w:r>
    </w:p>
    <w:p>
      <w:r>
        <w:rPr>
          <w:b/>
        </w:rPr>
        <w:t xml:space="preserve">Original publication · </w:t>
      </w:r>
      <w:r>
        <w:t>Colette, Augustin, Bessagnet, Bertrand, Vautard, Robert, Szopa, Sophie, Rao, Shilpa, Schucht, Simone, Klimont, Zbigniew, Menut, Laurent, Clain, Gaëlle, Meleux, Frédérik, Curci, Gabriele &amp; Rouïl, Laurence (2013). European atmosphere in 2050, a regional air quality and climate perspective under CMIP5 scenarios. Atmospheric Chemistry and Physics 13, 7451–7471 (INERIS, LSCE/IPSL, IIASA and others). https://doi.org/10.5194/acp-13-7451-2013 (open access; full text read).</w:t>
      </w:r>
    </w:p>
    <w:p>
      <w:r>
        <w:rPr>
          <w:b/>
        </w:rPr>
        <w:t xml:space="preserve">Evidence status · </w:t>
      </w:r>
      <w:r>
        <w:t>Provisional interpretation. The original and the key later evidence were read in full; horizon not reached.</w:t>
      </w:r>
    </w:p>
    <w:p>
      <w:r>
        <w:rPr>
          <w:b/>
        </w:rPr>
        <w:t xml:space="preserve">Later sources · </w:t>
      </w:r>
      <w:r>
        <w:t>Aas, W. et al. (2024). Trends in Air Pollution in Europe, 2000–2019. Aerosol and Air Quality Research 24, 230237. https://doi.org/10.4209/aaqr.230237 — European NOx emissions fell 48% (2000–2019); the highest ozone values at EMEP sites fell only 0.3–0.6% a year while low percentiles rose; the EMEP model run with reported emissions simulated stronger declines than observed, especially south of 49°N. Full text read; direct evidence on intermediate trends (the model comparison is a hindcast). Chen, Z.-Y. et al. (2024). Population exposure to multiple air pollutants and its compound episodes in Europe. Nature Communications 15, 2094. https://doi.org/10.1038/s41467-024-46103-3 — population-weighted daily maximum 8-hour ozone rose about 0.5% a year in 2003–2019 (excluding the 2003 heatwave), faster in southern Europe. Full text read; direct evidence on exposure. Nelson, B. S. &amp; Drysdale, W. S. (2025). Urban ozone trends in Europe and the USA (2000–2021). Atmospheric Chemistry and Physics 25. https://doi.org/10.5194/acp-25-16009-2025 — European urban series show mostly decreasing high-percentile trends but increasing median and low-percentile trends. Abstract only; direct evidence. Achebak, H. et al. (2024). Geographic sources of ozone air pollution and mortality burden in Europe. Nature Medicine 30, 1732–1738. https://doi.org/10.1038/s41591-024-02976-x — 56.7% of ozone-attributable deaths in 35 countries in the 2015–2017 warm seasons associated with ozone entering the modelling domain from outside, mostly hemispheric background. Full text read; explanatory and reframing evidence. Pisoni, E. et al. (2025). High resolution assessment of air quality and health in Europe under different climate mitigation scenarios. Nature Communications 16. https://doi.org/10.1038/s41467-025-604</w:t>
      </w:r>
    </w:p>
    <w:p>
      <w:pPr>
        <w:pStyle w:val="Heading2"/>
      </w:pPr>
      <w:r>
        <w:t>REVISED · Projected ozone exposure in Europe by 2030 (2012)</w:t>
      </w:r>
    </w:p>
    <w:p>
      <w:r>
        <w:t>Open, with intermediate signals pointing two ways. Precursor cuts proceeded broadly as projected and the predicted pattern of declining peaks with rising means has materialised, but exposure indicators have improved more slowly than modelled and the question has been reframed towards hemispheric background ozone, which the study held fixed. No later study evaluated the climate-policy co-benefit itself.</w:t>
      </w:r>
    </w:p>
    <w:p>
      <w:r>
        <w:rPr>
          <w:b/>
        </w:rPr>
        <w:t xml:space="preserve">Original claim · </w:t>
      </w:r>
      <w:r>
        <w:t>Key phrase (abstract): air pollution mitigation measures “are the main factors leading to the improvement”. Paraphrase: under two Global Energy Assessment scenarios, NOx emissions fall to 30–50% of current levels by 2030; ozone exposure (SOMO35) falls to 45–70% of current levels and the share of stations with more than 25 days above 120 µg/m³ drops from 43% to 2–8%, while annual mean ozone rises slightly in NOx-saturated areas; climate policy adds a co-benefit of at least 40% depending on the indicator. Catalogue excerpt: HISTORICAL-CLAIMS record 468.</w:t>
      </w:r>
    </w:p>
    <w:p>
      <w:r>
        <w:rPr>
          <w:b/>
        </w:rPr>
        <w:t xml:space="preserve">Original publication · </w:t>
      </w:r>
      <w:r>
        <w:t>Colette, Augustin, Granier, Claire, Hodnebrog, Øivind, Jakobs, Hermann, Maurizi, Alberto, Nyiri, Agnes, Rao, Shilpa, Amann, Markus et al. (23 authors) (2012). Future air quality in Europe: a multi-model assessment of projected exposure to ozone. Atmospheric Chemistry and Physics 12, 10613–10630. https://doi.org/10.5194/acp-12-10613-2012 (open access; full text read).</w:t>
      </w:r>
    </w:p>
    <w:p>
      <w:r>
        <w:rPr>
          <w:b/>
        </w:rPr>
        <w:t xml:space="preserve">Evidence status · </w:t>
      </w:r>
      <w:r>
        <w:t>Provisional interpretation. The original and the key later evidence were read in full; horizon not reached.</w:t>
      </w:r>
    </w:p>
    <w:p>
      <w:r>
        <w:rPr>
          <w:b/>
        </w:rPr>
        <w:t xml:space="preserve">Later sources · </w:t>
      </w:r>
      <w:r>
        <w:t>Aas, W. et al. (2024). Trends in Air Pollution in Europe, 2000–2019. Aerosol and Air Quality Research 24, 230237. https://doi.org/10.4209/aaqr.230237 — European NOx emissions fell 48% (2000–2019); the highest ozone values at EMEP sites fell only 0.3–0.6% a year while low percentiles rose; the EMEP model run with reported emissions simulated stronger declines than observed, especially south of 49°N. Full text read; direct evidence on intermediate trends (the model comparison is a hindcast). Nelson, B. S. &amp; Drysdale, W. S. (2025). Urban ozone trends in Europe and the USA (2000–2021). Atmospheric Chemistry and Physics 25. https://doi.org/10.5194/acp-25-16009-2025 — European urban series show mostly decreasing high-percentile trends but increasing median and low-percentile trends. Abstract only; direct evidence. Achebak, H. et al. (2024). Geographic sources of ozone air pollution and mortality burden in Europe. Nature Medicine 30, 1732–1738. https://doi.org/10.1038/s41591-024-02976-x — 56.7% of ozone-attributable deaths in 35 countries in the 2015–2017 warm seasons associated with ozone entering the modelling domain from outside, mostly hemispheric background. Full text read; explanatory and reframing evidence. Chen, Z.-Y. et al. (2024). Population exposure to multiple air pollutants and its compound episodes in Europe. Nature Communications 15, 2094. https://doi.org/10.1038/s41467-024-46103-3 — population-weighted daily maximum 8-hour ozone rose about 0.5% a year in 2003–2019 (excluding the 2003 heatwave), faster in southern Europe. Full text read; direct evidence on exposure.</w:t>
      </w:r>
    </w:p>
    <w:p>
      <w:pPr>
        <w:pStyle w:val="Heading2"/>
      </w:pPr>
      <w:r>
        <w:t>REVISED · Climate change and ozone-related mortality in Europe (2012)</w:t>
      </w:r>
    </w:p>
    <w:p>
      <w:r>
        <w:t>Open: the horizon has not been reached and the climate-only design cannot be observed directly. Later work by the same team kept the direction and geography of the climate penalty but moved the question from climate alone to the combined effects of climate, emissions and demography, in which emission cuts dominate the European average by mid-century.</w:t>
      </w:r>
    </w:p>
    <w:p>
      <w:r>
        <w:rPr>
          <w:b/>
        </w:rPr>
        <w:t xml:space="preserve">Original claim · </w:t>
      </w:r>
      <w:r>
        <w:t>Key phrase (abstract): all else being equal, ground-level ozone is “expected to increase due to climate change”. Paraphrase: compared with 1961–1990, much larger increases in ozone-related mortality and morbidity are projected for 2021–2050 and 2041–2060 in Belgium, France, Spain and Portugal, stronger under the ECHAM4 (A2) climate projection, with decreases of similar size in Nordic and Baltic countries; precursor emissions were held at present-day levels. The authors’ later review gives Europe-wide increases of about 14% (A2) and 9% (A1B) for 2021–2050. Catalogue excerpt: HISTORICAL-CLAIMS record 469.</w:t>
      </w:r>
    </w:p>
    <w:p>
      <w:r>
        <w:rPr>
          <w:b/>
        </w:rPr>
        <w:t xml:space="preserve">Original publication · </w:t>
      </w:r>
      <w:r>
        <w:t>Orru, Hans, Andersson, Camilla, Ebi, Kristie L., Langner, Joakim, Åström, Christofer &amp; Forsberg, Bertil (2013; online 27 June 2012). Impact of climate change on ozone-related mortality and morbidity in Europe. European Respiratory Journal 41(2), 285–294. https://doi.org/10.1183/09031936.00210411 (full text could not be opened; abstract used, with design details confirmed through the authors’ 2017 review).</w:t>
      </w:r>
    </w:p>
    <w:p>
      <w:r>
        <w:rPr>
          <w:b/>
        </w:rPr>
        <w:t xml:space="preserve">Evidence status · </w:t>
      </w:r>
      <w:r>
        <w:t>Abstract-only assessment (original); later evidence read in full or in abstract as stated.</w:t>
      </w:r>
    </w:p>
    <w:p>
      <w:r>
        <w:rPr>
          <w:b/>
        </w:rPr>
        <w:t xml:space="preserve">Later sources · </w:t>
      </w:r>
      <w:r>
        <w:t>Aas, W. et al. (2024). Trends in Air Pollution in Europe, 2000–2019. Aerosol and Air Quality Research 24, 230237. https://doi.org/10.4209/aaqr.230237 — European NOx emissions fell 48% (2000–2019); the highest ozone values at EMEP sites fell only 0.3–0.6% a year while low percentiles rose; the EMEP model run with reported emissions simulated stronger declines than observed, especially south of 49°N. Full text read; direct evidence on intermediate trends (the model comparison is a hindcast). Chen, Z.-Y. et al. (2024). Population exposure to multiple air pollutants and its compound episodes in Europe. Nature Communications 15, 2094. https://doi.org/10.1038/s41467-024-46103-3 — population-weighted daily maximum 8-hour ozone rose about 0.5% a year in 2003–2019 (excluding the 2003 heatwave), faster in southern Europe. Full text read; direct evidence on exposure. Orru, H., Åström, C., Andersson, C., Tamm, T., Ebi, K. L. &amp; Forsberg, B. (2019). Ozone and heat-related mortality in Europe in 2050 significantly affected by changes in climate, population and greenhouse gas emission. Environmental Research Letters 14, 074013. https://doi.org/10.1088/1748-9326/ab1cd9 — climate penalty up to about 11% in some countries by 2050, outweighed by emission cuts. Abstract only; later foresight. Geels, C. et al. (2015). Future premature mortality due to O3, secondary inorganic aerosols and primary PM in Europe. International Journal of Environmental Research and Public Health 12, 2837–2869. https://doi.org/10.3390/ijerph120302837 — climate-only increases of 8–11% in acute deaths by the 2050s, outweighed by projected emission reductions. Full text read; later foresight. Orru, H., Ebi, K. L. &amp; Forsberg, B. (2017). The interplay of climate change and air pollution on health. Current Environmental</w:t>
      </w:r>
    </w:p>
    <w:p>
      <w:pPr>
        <w:pStyle w:val="Heading2"/>
      </w:pPr>
      <w:r>
        <w:t>REVISED · Climatic suitability of Europe for the Asian tiger mosquito (2012)</w:t>
      </w:r>
    </w:p>
    <w:p>
      <w:r>
        <w:t>The northward and eastward widening of the mosquito’s European range developed broadly in the direction envisaged, though driven at least as much by human-mediated introduction as by climate, and it did not come at the expense of the south. The projected slight decline in southern suitability has not appeared in observations or in later consensus modelling; it was, however, a conditional projection for 2030–2050 focused on the driest parts of Iberia and on Sardinia, and it remains open.</w:t>
      </w:r>
    </w:p>
    <w:p>
      <w:r>
        <w:rPr>
          <w:b/>
        </w:rPr>
        <w:t xml:space="preserve">Original claim · </w:t>
      </w:r>
      <w:r>
        <w:t>Key phrase (abstract): “increased risk simulated over northern Europe and slightly decreased risk over southern Europe”. Paraphrase: using three climate-based suitability models and ten regional climate models under the SRES A1B scenario, the authors projected for 2030–2050 (against 1990–2009) rising climatic suitability over the southern UK, Benelux, western Germany and the Balkans, and a slight, partly significant decline concentrated in southern Spain, southern Portugal and Sardinia, because wetter, milder winters favour overwintering in the north while hotter, drier summers limit the species in the south. “Risk” here means climatic suitability for establishment, conditional on prior introduction, not presence or disease. Catalogue excerpt: HISTORICAL-CLAIMS record 475.</w:t>
      </w:r>
    </w:p>
    <w:p>
      <w:r>
        <w:rPr>
          <w:b/>
        </w:rPr>
        <w:t xml:space="preserve">Original publication · </w:t>
      </w:r>
      <w:r>
        <w:t>Caminade, Cyril, Medlock, Jolyon M., Ducheyne, Els, McIntyre, K. Marie, Leach, Steve, Baylis, Matthew &amp; Morse, Andrew P. (2012). Suitability of European climate for the Asian tiger mosquito Aedes albopictus: recent trends and future scenarios. Journal of the Royal Society Interface 9(75), 2708–2717 (University of Liverpool; Health Protection Agency; Avia-GIS). https://doi.org/10.1098/rsif.2012.0138 (open access; full text read).</w:t>
      </w:r>
    </w:p>
    <w:p>
      <w:r>
        <w:rPr>
          <w:b/>
        </w:rPr>
        <w:t xml:space="preserve">Evidence status · </w:t>
      </w:r>
      <w:r>
        <w:t>Source-verified. The original was read in full, and the ECDC pages and key later studies were read directly.</w:t>
      </w:r>
    </w:p>
    <w:p>
      <w:r>
        <w:rPr>
          <w:b/>
        </w:rPr>
        <w:t xml:space="preserve">Later sources · </w:t>
      </w:r>
      <w:r>
        <w:t>ECDC &amp; EFSA (1 July 2025). Aedes albopictus – current known distribution: June 2025. https://www.ecdc.europa.eu/en/publications-data/aedes-albopictus-current-known-distribution-june-2025 — established in 369 regions in 16 EU/EEA countries; Cyprus and Slovakia newly established. Web page; direct evidence (establishment). ECDC &amp; EFSA (3 June 2026). Aedes albopictus – current known distribution: April 2026. https://www.ecdc.europa.eu/en/publications-data/aedes-albopictus-current-known-distribution-april-2026 — established in 384 units; expansion of 14 units in Bulgaria, France, Greece, Portugal and Romania; Italy 107/107, Spain 33/59, Portugal 5/26, Greece 48/52. Web page; direct evidence. ECDC (22 June 2023). Increasing risk of mosquito-borne diseases in EU/EEA following spread of Aedes species; and ECDC (20 August 2025). World Mosquito Day 2025: Europe sets new records for mosquito-borne diseases. https://www.ecdc.europa.eu/en/news-events/world-mosquito-day-2025-europe-sets-new-records-mosquito-borne-diseases — 8 countries and 114 regions in 2013; 13 countries and 337 regions in 2023. Web pages; direct evidence on trend. ECDC. Local transmission of dengue virus in mainland EU/EEA and seasonal chikungunya surveillance (accessed October 2026). https://www.ecdc.europa.eu/en/all-topics-z/Dengue/surveillance-and-disease-data/autochthonous-transmission-Dengue-virus-eueea — 71 (2022), 130 (2023), 304 (2024) locally acquired dengue cases; about 1,170 locally acquired chikungunya cases in France and Italy in 2025. Web pages; explanatory evidence (consequences of establishment). Oliveira, S., Rocha, J., Sousa, C. A. &amp; Capinha, C. (2021). Wide and increasing suitability for Aedes albopictus in Europe is congruent across distribution models. Scientific Reports 11, 9916. https://doi.</w:t>
      </w:r>
    </w:p>
    <w:p>
      <w:pPr>
        <w:pStyle w:val="Heading2"/>
      </w:pPr>
      <w:r>
        <w:t>REVISED · Stocks versus increments: managing EU forest biomass to 2100 (2013)</w:t>
      </w:r>
    </w:p>
    <w:p>
      <w:r>
        <w:t>The paper’s diagnosis — ageing forests with stagnating increment — developed partly along the envisioned pathway, but the question has been reframed. Policy now prioritises the in-forest sink, which runs against the recommendation, while climate-driven disturbance after 2018 erodes both stocks and increments, so the trade-off no longer behaves as the 2013 model described. The 2100 horizon remains open.</w:t>
      </w:r>
    </w:p>
    <w:p>
      <w:r>
        <w:rPr>
          <w:b/>
        </w:rPr>
        <w:t xml:space="preserve">Original claim · </w:t>
      </w:r>
      <w:r>
        <w:t>Key phrase (abstract): forest management “should maximise increments, not stocks”. Paraphrase: simulating EU-27 forests to 2100 under four climate scenarios, the authors found that maximising standing stock would raise stem-wood carbon from about 30 to about 50 tC per hectare but halve increments by 2100 relative to increment-maximising management, which would lower stocks to about 20 tC per hectare while yielding more harvest; management choices mattered far more than climate. Counting harvested carbon as absorbed, they recommended avoiding incentives that raise standing biomass beyond the increment-optimal level. Natural disturbances were not modelled explicitly. Catalogue excerpt: HISTORICAL-CLAIMS record 452 (a research aim joined to the recommendation).</w:t>
      </w:r>
    </w:p>
    <w:p>
      <w:r>
        <w:rPr>
          <w:b/>
        </w:rPr>
        <w:t xml:space="preserve">Original publication · </w:t>
      </w:r>
      <w:r>
        <w:t>Kindermann, Georg E., Schörghuber, Stefan, Linkosalo, Tapio, Sánchez, Anabel, Rammer, Werner, Seidl, Rupert &amp; Lexer, Manfred J. (2013). Potential stocks and increments of woody biomass in the European Union under different management and climate scenarios. Carbon Balance and Management 8, 2 (IIASA, BOKU, Metla, CREAF). https://doi.org/10.1186/1750-0680-8-2 (open access; full text read).</w:t>
      </w:r>
    </w:p>
    <w:p>
      <w:r>
        <w:rPr>
          <w:b/>
        </w:rPr>
        <w:t xml:space="preserve">Evidence status · </w:t>
      </w:r>
      <w:r>
        <w:t>Provisional interpretation. The original and three key later studies were read in full; the 2026 study in abstract.</w:t>
      </w:r>
    </w:p>
    <w:p>
      <w:r>
        <w:rPr>
          <w:b/>
        </w:rPr>
        <w:t xml:space="preserve">Later sources · </w:t>
      </w:r>
      <w:r>
        <w:t>Korosuo, A. et al. (2023). The role of forests in the EU climate policy: are we on the right track? Carbon Balance and Management 18, 15. https://doi.org/10.1186/s13021-023-00234-0 — EU LULUCF sink from at least −300 Mt CO₂e/yr (1995–2016) to −230 Mt CO₂e (2021); drivers include decreased gross increment and increased mortality and harvest; −310 Mt target for 2030. Full text read; direct, explanatory and reframing evidence. Patacca, M. et al. (2023). Significant increase in natural disturbance impacts on European forests since 1950. Global Change Biology 29(5), 1359–1376. https://doi.org/10.1111/gcb.16531 — disturbance damage 42.6 Mm³/yr (1950–2000) to 78.5 Mm³/yr (2001–2019); growing stock 18.7 to 29.1 billion m³. Full text read; direct and explanatory evidence. Kowalski, K. et al. (2026). Accelerating biomass loss from forest disturbances across Europe. Nature Geoscience 19, 1132–1138. https://doi.org/10.1038/s41561-026-02032-y — gross aboveground biomass losses rose 46% from 2018 onward, coinciding with disturbances in biomass-rich temperate forests; harvest 82% of 1985–2023 losses. Abstract only; direct and explanatory evidence (also Scanner group member, kept at pair level). Seidl, R., Schelhaas, M.-J., Rammer, W. &amp; Verkerk, P. J. (2014). Increasing forest disturbances in Europe and their impact on carbon storage. Nature Climate Change 4, 806–810. https://doi.org/10.1038/nclimate2318 — carbon-oriented management with longer rotations raises damaged volume by 12.4%; disturbance can thwart management effects. Full text read (author manuscript); later foresight by overlapping authors.</w:t>
      </w:r>
    </w:p>
    <w:p>
      <w:pPr>
        <w:pStyle w:val="Heading2"/>
      </w:pPr>
      <w:r>
        <w:t>REVISED · Opening Finland–Russia rail transport to competition (2011)</w:t>
      </w:r>
    </w:p>
    <w:p>
      <w:r>
        <w:t>The recommendation was enacted about five years after publication, but the competitive cross-border market it aimed at did not visibly develop, and the war has since transformed the question: the issue is no longer how to open the Finland–Russia rail market but whether traffic across that border continues at all. The earlier account’s verdict that the deregulation “didn’t happen” conflated the policy change with its later outcomes.</w:t>
      </w:r>
    </w:p>
    <w:p>
      <w:r>
        <w:rPr>
          <w:b/>
        </w:rPr>
        <w:t xml:space="preserve">Original claim · </w:t>
      </w:r>
      <w:r>
        <w:t>Key phrase (abstract): deregulating third-country transport “would be advisable”. Paraphrase: EU rail freight had been opened to competition, but traffic between Finland and Russia remained reserved; drawing on three kinds of qualitative scenarios for EU–Russia rail competition, the author concluded that opening this traffic to other operators would increase border transport, lower prices and bring competition into Finland’s rail market. Catalogue excerpt: HISTORICAL-CLAIMS record 491, which matches the abstract’s concluding sentences.</w:t>
      </w:r>
    </w:p>
    <w:p>
      <w:r>
        <w:rPr>
          <w:b/>
        </w:rPr>
        <w:t xml:space="preserve">Original publication · </w:t>
      </w:r>
      <w:r>
        <w:t>Mäkitalo, Miika (2011). Finland–Russia rail transport deregulation: future scenarios of market development. International Journal of Shipping and Transport Logistics 3(2), 168–179 (Inderscience). https://doi.org/10.1504/IJSTL.2011.039377 (paywalled; abstract used). The author worked for the Finnish Transport Agency.</w:t>
      </w:r>
    </w:p>
    <w:p>
      <w:r>
        <w:rPr>
          <w:b/>
        </w:rPr>
        <w:t xml:space="preserve">Evidence status · </w:t>
      </w:r>
      <w:r>
        <w:t>Abstract-only assessment. Post-2023 border arrangements provisional.</w:t>
      </w:r>
    </w:p>
    <w:p>
      <w:r>
        <w:rPr>
          <w:b/>
        </w:rPr>
        <w:t xml:space="preserve">Later sources · </w:t>
      </w:r>
      <w:r>
        <w:t>Government of Finland (2016). Government Decree 1332/2016 bringing into force the Finland–Russia railway traffic agreement, and Government bill HE 181/2016 vp. https://www.finlex.fi — entry into force 22 December 2016; access for railway undertakings established in Finland or the EEA. Decree read in full; bill read as web page. Direct evidence. VR Group (2017). Annual Report 2016, “Operating environment”. https://www.vrgroup.fi — freight traffic between Finland and Russia opened to competition at the end of 2016; Russian traffic about 40% of freight on Finnish railways. Web page; direct evidence. Railway Gazette International (29 September 2016). Operator aims to benefit from Finland–Russia freight liberalisation. https://www.railwaygazette.com — planned market entry by a Nurminen Logistics joint venture. Web page; explanatory evidence (whether it ran cross-border trains not verified). Fintraffic, Digitraffic open railway data (queried 24 October 2026). https://rata.digitraffic.fi — sample of 21 days, 2016–2021: all timetabled trains at the border points operated by VR. Dataset; direct evidence (sample, not full scan). RailFreight.com (21 April 2022). Rail freight Finland–Russia: traffic to phase out gradually, private operators affected. https://www.railfreight.com — VR contracts ending; other operators depended on VR to cross the border. Trade press; direct evidence on events. Statistics Finland (updated 28 August 2026). Railway statistics, StatFin tables 12m5, 12m6 and 12m8, 2007–2025. https://stat.fi/en/statistics/rtie — international rail freight 15.9 Mt (2021), 7.1 Mt (2022), 2.5 Mt (2024), 3.3 Mt (2025); eastern-traffic wagons 630,241 (2021) and 101,174 (2025). Dataset; direct evidence.</w:t>
      </w:r>
    </w:p>
    <w:p>
      <w:pPr>
        <w:pStyle w:val="Heading2"/>
      </w:pPr>
      <w:r>
        <w:t>REVISED · Backcasting a low-emission Finland in 2050 (2012)</w:t>
      </w:r>
    </w:p>
    <w:p>
      <w:r>
        <w:t>Partly along the envisioned pathway, then reframed. Energy-system decarbonisation has progressed about as the 2050 target required, but the policy goal shifted from emission cuts to net neutrality, making the forest sink decisive at the moment it disappeared — a development the 2009–2012 framework under-examined. The 2050 horizon remains open.</w:t>
      </w:r>
    </w:p>
    <w:p>
      <w:r>
        <w:rPr>
          <w:b/>
        </w:rPr>
        <w:t xml:space="preserve">Original claim · </w:t>
      </w:r>
      <w:r>
        <w:t>The catalogued excerpt (HISTORICAL-CLAIMS record 465) is a methodological caveat from the abstract — future development could be viewed only through qualitative arguments — and the paper’s stated purpose of showing how backcasting can assist policy. The substantive future content is the target state from which the exercise backcast: the Finnish Government’s 2009 foresight report on climate and energy policy, which committed to cutting emissions by at least 80% from 1990 levels by 2050 and presented four illustrative scenarios built on large efficiency gains, lower energy use, low-carbon technology and more renewables (paraphrased from the government report and parliamentary committee statements, not from the 2012 paper itself).</w:t>
      </w:r>
    </w:p>
    <w:p>
      <w:r>
        <w:rPr>
          <w:b/>
        </w:rPr>
        <w:t xml:space="preserve">Original publication · </w:t>
      </w:r>
      <w:r>
        <w:t>Heinonen, Sirkka &amp; Lauttamäki, Ville (2012). Backcasting scenarios for Finland 2050 of low emissions. foresight 14(4), 304–315. Finland Futures Research Centre, University of Turku. https://doi.org/10.1108/14636681211256099 (paywalled; structured abstract and reference list used).</w:t>
      </w:r>
    </w:p>
    <w:p>
      <w:r>
        <w:rPr>
          <w:b/>
        </w:rPr>
        <w:t xml:space="preserve">Evidence status · </w:t>
      </w:r>
      <w:r>
        <w:t>Abstract-only assessment. Later statistical and official evidence verified.</w:t>
      </w:r>
    </w:p>
    <w:p>
      <w:r>
        <w:rPr>
          <w:b/>
        </w:rPr>
        <w:t xml:space="preserve">Later sources · </w:t>
      </w:r>
      <w:r>
        <w:t xml:space="preserve">Statistics Finland (updated 22 May 2026). Greenhouse gas emissions in Finland 1990–2025, StatFin table 138v (1990–2024 official data released 13 March 2026; 2025 instant preliminary). https://stat.fi/en/statistics/khki — emissions excluding LULUCF 71.8 Mt (1990), 39.3 Mt (2024), 36.5 Mt (2025); LULUCF net −32.2 Mt (2012), +9.8 Mt (2024), +9.4 Mt (2025); forest land −43.5 Mt (2012), −0.1 Mt (2024), +1.3 Mt (2025). Dataset; direct evidence. Statistics Finland (22 May 2026). Greenhouse gases 2025 (instant preliminary release). https://stat.fi/en/publication/cmg0dqrnn5sz007t73i2bqrnl — 2025 emissions 36.5 Mt, −7% on 2024 and −49% on 1990; LULUCF a net source of 9.4 Mt; forest land a net source of 1.3 Mt. Web page; direct evidence. Natural Resources Institute Finland (Luke) (15 January 2025). Preliminary greenhouse gas inventory results for 2023. https://www.luke.fi/en — about 90% of tree growth now lost to harvest and natural drain, against slightly over 70% in the early 2010s; rising forest-soil emissions; large methodological revisions. Web page; explanatory evidence. Finnish Government (27 June 2025). Annual Climate Report 2025 (K 16/2025 vp). https://www.eduskunta.fi — EU LULUCF obligations for 2021–2025 likely to be missed; deficit 110–115 Mt CO₂e (83–88 Mt with flexibilities). Web page; direct evidence (official assessment). Finnish Climate Change Panel (17 April 2025). Memorandum and Report 1/2025 press release. https://www.ilmastopaneeli.fi — increased logging the main cause of the lost forest sink; neutrality in 2035 still possible if harvests stay well below 70 million m³. Web page; explanatory evidence and later foresight. Ministry of Economic Affairs and Employment (2022). Carbon neutral Finland 2035 – national climate and energy strategy. Publications 2022:55. </w:t>
      </w:r>
    </w:p>
    <w:p>
      <w:pPr>
        <w:pStyle w:val="Heading2"/>
      </w:pPr>
      <w:r>
        <w:t>REVISED · Foresight Tackling Obesities: UK projections to 2050 (2011)</w:t>
      </w:r>
    </w:p>
    <w:p>
      <w:r>
        <w:t>The direction held — adult obesity did not reverse and remains high — but the pace did not: the 2015 milestone was missed by a wide margin and the latest measurements are far below the levels projected for 2025. The main reason is that the steep 1993–2004 trend flattened from the late 2000s, not that the policy-scenario logic failed. The 2050 horizon remains open, with GLP-1 drugs as a development the original framing did not seriously consider.</w:t>
      </w:r>
    </w:p>
    <w:p>
      <w:r>
        <w:rPr>
          <w:b/>
        </w:rPr>
        <w:t xml:space="preserve">Original claim · </w:t>
      </w:r>
      <w:r>
        <w:t>Key phrase (abstract): “Given these predictions up to 2050, we built a micro simulation”. Paraphrase: Health Survey for England BMI distributions were extrapolated and fed into a microsimulation of the UK population to 2050 under business-as-usual and policy options. The abstract gives no figures; the underlying Foresight reports (2007) projected that, on 1993–2004 trends, 36% of men and 28% of women aged 21–60 would be obese by 2015, 47% and 36% by 2025, and 60% and 50% by 2050, with about a quarter of under-20s obese by 2050; experts consulted expected obesity to keep rising in all four of the project’s societal scenarios without further action. Catalogue excerpt: HISTORICAL-CLAIMS record 498 (a methods passage).</w:t>
      </w:r>
    </w:p>
    <w:p>
      <w:r>
        <w:rPr>
          <w:b/>
        </w:rPr>
        <w:t xml:space="preserve">Original publication · </w:t>
      </w:r>
      <w:r>
        <w:t>McPherson, Klim (2011). O4-2.1 Foresight tackling obesities: future choices. Journal of Epidemiology &amp; Community Health 65(Suppl 1), A41 (conference abstract). University of Oxford. https://doi.org/10.1136/jech.2011.142976b.14 (abstract read in full via publisher-deposited metadata; the projections it summarises were read in the 2007 Foresight Project and Modelling Reports).</w:t>
      </w:r>
    </w:p>
    <w:p>
      <w:r>
        <w:rPr>
          <w:b/>
        </w:rPr>
        <w:t xml:space="preserve">Evidence status · </w:t>
      </w:r>
      <w:r>
        <w:t>Source-verified (the abstract was read in full; the projections it summarises and the key outcome sources were read in full).</w:t>
      </w:r>
    </w:p>
    <w:p>
      <w:r>
        <w:rPr>
          <w:b/>
        </w:rPr>
        <w:t xml:space="preserve">Later sources · </w:t>
      </w:r>
      <w:r>
        <w:t xml:space="preserve">Butland, B. et al. (2007). Tackling Obesities: Future Choices – Project Report (2nd ed.), and McPherson, K., Marsh, T. &amp; Brown, M. (2007). Tackling Obesities: Future Choices – Modelling Future Trends in Obesity and Their Impact on Health (2nd ed.). Government Office for Science. https://assets.publishing.service.gov.uk/government/uploads/system/uploads/attachment_data/file/287937/07-1184x-tackling-obesities-future-choices-report.pdf — projected obesity of 36%/28% (2015), 47%/36% (2025) and 60%/50% (2050) for men/women aged 21–60. Full text read; context for the 2011 abstract (published before it). NHS England Digital (27 January 2026). Health Survey for England 2024: Adults’ overweight and obesity. https://digital.nhs.uk/data-and-information/publications/statistical/health-survey-for-england/2024 — adult obesity 15% (1993), 25% (2008), 30% (2024); men 29%, women 31%. Web page (read via a mirror); direct evidence. Cobiac, L. J. &amp; Scarborough, P. (2021). Modelling future trajectories of obesity and body mass index in England. PLOS ONE 16(6), e0252072. https://doi.org/10.1371/journal.pone.0252072 — post-2000 data imply flatter trajectories; Foresight 2025 figures exceed both of the authors’ scenarios. Full text read; reframing and later foresight (source of the earlier account’s “flatter path” statement). NCD Risk Factor Collaboration (2026). Obesity rise plateaus in developed nations and accelerates in developing nations. Nature 653, 510–518. https://doi.org/10.1038/s41586-026-10383-0; estimates via WHO Global Health Observatory (indicator NCD_BMI_30A, accessed October 2026) — UK age-standardised adult obesity about 27% in 2024; plateau in high-income western countries. Abstract and dataset; direct (model-based) and explanatory evidence. Office for Health Improvement and </w:t>
      </w:r>
    </w:p>
    <w:p>
      <w:pPr>
        <w:pStyle w:val="Heading2"/>
      </w:pPr>
      <w:r>
        <w:t>NEW · Projected obesity and its costs in Ireland to 2030 (2013)</w:t>
      </w:r>
    </w:p>
    <w:p>
      <w:r>
        <w:t>Partly along the envisioned pathway — adult obesity in Ireland is high and still rising — but much more slowly than the extrapolation implied. The 2030 horizon has not arrived, yet the projected prevalence now looks very unlikely, mainly because the steep early trend fitted to few, partly self-reported data points did not continue. The cost projection remains open and unverified.</w:t>
      </w:r>
    </w:p>
    <w:p>
      <w:r>
        <w:rPr>
          <w:b/>
        </w:rPr>
        <w:t xml:space="preserve">Original claim · </w:t>
      </w:r>
      <w:r>
        <w:t>Key phrase (abstract): overweight and obesity “projected to reach levels of 89% and 85%” in men and women by 2030. Paraphrase: if trends continued unabated, 48% of men and 57% of women aged 20 and over would be obese by 2030, and obesity-related direct healthcare costs would rise from about €2.5 billion in 2010 to €5.4 billion a year by 2030; a 5% reduction in population BMI would lower 2030 costs by about €495 million. The abstract describes the €495 million as a saving over twenty years, but the paper’s own results table shows it as the difference in annual costs in 2030 — an internal inconsistency repeated in the catalogue excerpt (HISTORICAL-CLAIMS record 439).</w:t>
      </w:r>
    </w:p>
    <w:p>
      <w:r>
        <w:rPr>
          <w:b/>
        </w:rPr>
        <w:t xml:space="preserve">Original publication · </w:t>
      </w:r>
      <w:r>
        <w:t>Keaver, Laura, Webber, Laura, Dee, Anne, Shiely, Frances, Marsh, Tim, Balanda, Kevin P. &amp; Perry, Ivan J. (2013). Application of the UK Foresight Obesity Model in Ireland: The Health and Economic Consequences of Projected Obesity Trends in Ireland. PLoS ONE 8(11), e79827. https://doi.org/10.1371/journal.pone.0079827 (open access; full text read).</w:t>
      </w:r>
    </w:p>
    <w:p>
      <w:r>
        <w:rPr>
          <w:b/>
        </w:rPr>
        <w:t xml:space="preserve">Evidence status · </w:t>
      </w:r>
      <w:r>
        <w:t>Provisional interpretation. The original and the prevalence evidence were read; the cost side and the Irish policy context remain unverified.</w:t>
      </w:r>
    </w:p>
    <w:p>
      <w:r>
        <w:rPr>
          <w:b/>
        </w:rPr>
        <w:t xml:space="preserve">Later sources · </w:t>
      </w:r>
      <w:r>
        <w:t>NCD Risk Factor Collaboration estimates via WHO Global Health Observatory (indicators NCD_BMI_30C and NCD_BMI_25C, record date 27 May 2026); method in NCD-RisC (2026), Nature 653, 510–518, https://doi.org/10.1038/s41586-026-10383-0 — Ireland crude adult obesity 25.1% (2010), 30.6% (2024; men 31.9%, women 29.4%). Dataset; direct (model-based) evidence. Central Statistics Office Ireland. Irish Health Survey tables IH465 (2024) and IHS17 (2025); Department of Health indicator HSPAA51 (Healthy Ireland Survey). https://data.cso.ie — adult obesity 23.8% (2024); overweight or obese aged 15+: 60.7% (2015), 56.6% (2024). Datasets; direct evidence (measurement mode not verified). Department of Health Ireland, table KTA24 (WHO Childhood Obesity Surveillance Initiative, Ireland; updated 5 June 2026). https://data.cso.ie — overweight including obesity at age 7–8: 21.6% (2008), 15.8% (2018), 17.1% (2022). Dataset; explanatory evidence. Pineda, E. et al. (2018). Forecasting future trends in obesity across Europe: the value of improving surveillance. Obesity Facts 11(5), 360–371. https://doi.org/10.1159/000492115 — Ireland projected at 43% obesity by 2025 with particularly wide intervals. Full text read; later foresight. Cobiac, L. J. &amp; Scarborough, P. (2021). Modelling future trajectories of obesity and body mass index in England. PLOS ONE 16(6), e0252072. https://doi.org/10.1371/journal.pone.0252072 — Foresight-type projections are highly sensitive to the fitting period. Full text read; explanatory evidence.</w:t>
      </w:r>
    </w:p>
    <w:p>
      <w:pPr>
        <w:pStyle w:val="Heading2"/>
      </w:pPr>
      <w:r>
        <w:t>REVISED · Scenarios for the supply of NHS nurses in England to 2022 (2012)</w:t>
      </w:r>
    </w:p>
    <w:p>
      <w:r>
        <w:t>The study’s central message — that NHS nursing supply was fragile and highly sensitive to training, retention and retirement decisions — was borne out by a decade of shortages, but the workforce grew rather than shrank, because supply was rebuilt through a lever the scenarios did not vary: large-scale international recruitment, later supplemented by expanded training. Development followed a different pathway from those envisioned and created a new dependence on overseas inflows that are now falling.</w:t>
      </w:r>
    </w:p>
    <w:p>
      <w:r>
        <w:rPr>
          <w:b/>
        </w:rPr>
        <w:t xml:space="preserve">Original claim · </w:t>
      </w:r>
      <w:r>
        <w:t>Key phrase (conclusions): a “strong risk that current policy decisions could lead to a significant reduction” in NHS staffing in England to 2022. Paraphrase: starting from a headcount of 352,104 qualified nurses, midwives and health visitors (September 2010), eight scenarios for the ten years to 2021/22 varied training intakes, leaving and retirement rates, with international inflows held at the low level of 2009/10; most scenarios showed falling supply, about 12% in the “no change” case and 28% in the worst case. The authors explicitly declined to make predictions and argued that policy should not rest on a single projection. Catalogue excerpt: HISTORICAL-CLAIMS record 481 (a methodological passage).</w:t>
      </w:r>
    </w:p>
    <w:p>
      <w:r>
        <w:rPr>
          <w:b/>
        </w:rPr>
        <w:t xml:space="preserve">Original publication · </w:t>
      </w:r>
      <w:r>
        <w:t>Buchan, James &amp; Seccombe, Ian (2012). Using scenarios to assess the future supply of NHS nursing staff in England. Human Resources for Health 10, 16. https://doi.org/10.1186/1478-4491-10-16 (open access; full text and annex read).</w:t>
      </w:r>
    </w:p>
    <w:p>
      <w:r>
        <w:rPr>
          <w:b/>
        </w:rPr>
        <w:t xml:space="preserve">Evidence status · </w:t>
      </w:r>
      <w:r>
        <w:t>Source-verified, with comparability caveats.</w:t>
      </w:r>
    </w:p>
    <w:p>
      <w:r>
        <w:rPr>
          <w:b/>
        </w:rPr>
        <w:t xml:space="preserve">Later sources · </w:t>
      </w:r>
      <w:r>
        <w:t>National Audit Office (2020). The NHS nursing workforce, HC 109, 5 March 2020. https://www.nao.org.uk/wp-content/uploads/2020/03/The-NHS-nursing-workforce-Summary.pdf — FTE nurses and health visitors 5% higher in September 2019 than in September 2010; about 43,590 FTE vacancies in July–September 2019. Summary read; direct evidence. NHS England (quarterly). NHS Vacancy Statistics, England (experimental and official statistics). https://digital.nhs.uk/data-and-information/publications/statistical/nhs-vacancies-survey — registered-nursing vacancies 43,339 (June 2023), 34,709 (December 2023), 31,773 (September 2024), 23,046 (June 2026). Web pages; direct evidence (establishment-based; caution advised by the publisher). Department of Health and Social Care (30 November 2023). Over 50,000 extra nurses in NHS, hitting government target early. https://www.gov.uk/government/news — 352,149 FTE nurses in September 2023 against 300,904 in September 2019. Press release; direct evidence. Nuffield Trust (Palmer, B., 19 May 2023). Reliance on international nurse recruitment during a workforce crisis. https://www.nuffieldtrust.org.uk — overseas-trained staff 69% of the register’s net growth after September 2019. Web page; explanatory evidence. Nursing and Midwifery Council (2024–2025). Annual data reports to March 2024 and March 2025 and mid-year report to September 2025. https://www.nmc.org.uk/about-us/reports-and-accounts/registration-statistics — internationally educated joiners 49.4% of all joiners (year to March 2024); international joiners down 30.2% in the year to March 2025; 24.4% of the register internationally educated (September 2025). Reports; direct evidence. NHS England (June 2023). NHS Long Term Workforce Plan. https://www.england.nhs.uk/long-read/nhs-long-term-workforce-</w:t>
      </w:r>
    </w:p>
    <w:p>
      <w:pPr>
        <w:pStyle w:val="Heading2"/>
      </w:pPr>
      <w:r>
        <w:t>REVISED · Health impacts of waste incinerators and landfills to 2050 (2011)</w:t>
      </w:r>
    </w:p>
    <w:p>
      <w:r>
        <w:t>The study is best read as a conditional baseline rather than a testable forecast. Its 2050 horizon has not been reached, and its key condition — that the contribution of plants operating in 2001 ends around 2020 — was replaced by a large expansion of modern incineration in England. Later evidence reframes rather than refutes it: modern plants appear to add very small exposures, while legacy contamination questions the cessation assumption for persistent pollutants.</w:t>
      </w:r>
    </w:p>
    <w:p>
      <w:r>
        <w:rPr>
          <w:b/>
        </w:rPr>
        <w:t xml:space="preserve">Original claim · </w:t>
      </w:r>
      <w:r>
        <w:t>Paraphrase (the catalogue excerpt, HISTORICAL-CLAIMS record 496, reproduces the abstract sentence): assuming the incinerators operating in 2001 continue until 2020, the authors were moderately confident that annual cancer cases attributable to exposure in 2001–2020 would reach 11 (Italy), 0 (Slovakia) and 7 (England) in 2020 and then decline to zero by 2050; most of the attributable cancers expected over 2001–2050 (2,729, 24 and 1,125) stem from exposure to older plants before 2001. The decline to zero follows from the model’s accounting boundary — a fixed 2001 resident cohort, exposure counted only to 2020, and an assumed fall in excess risk after exposure ceases — rather than from a forecast that harm disappears. Key phrase (discussion): most health effects “will be seen over several decades”.</w:t>
      </w:r>
    </w:p>
    <w:p>
      <w:r>
        <w:rPr>
          <w:b/>
        </w:rPr>
        <w:t xml:space="preserve">Original publication · </w:t>
      </w:r>
      <w:r>
        <w:t>Forastiere, Francesco, Badaloni, Chiara, de Hoogh, Kees, von Kraus, Martin K., Martuzzi, Marco, Mitis, Francesco, Palkovicova, Lubica, Porta, Daniela, Preiss, Philipp, Ranzi, Andrea, Perucci, Carlo A. &amp; Briggs, David (2011). Health impact assessment of waste management facilities in three European countries. Environmental Health 10, 53 (EU FP6 INTARESE project). https://doi.org/10.1186/1476-069X-10-53 (open access; full text and appendix read).</w:t>
      </w:r>
    </w:p>
    <w:p>
      <w:r>
        <w:rPr>
          <w:b/>
        </w:rPr>
        <w:t xml:space="preserve">Evidence status · </w:t>
      </w:r>
      <w:r>
        <w:t>Provisional interpretation. The original and the waste statistics were verified; the later epidemiology is abstract-only.</w:t>
      </w:r>
    </w:p>
    <w:p>
      <w:r>
        <w:rPr>
          <w:b/>
        </w:rPr>
        <w:t xml:space="preserve">Later sources · </w:t>
      </w:r>
      <w:r>
        <w:t>OECD. Municipal waste: generation and treatment (dataflow DSD_MUNW@DF_MUNW), United Kingdom series (accessed October 2026). https://data-explorer.oecd.org — UK incineration 2,535 kt (2001), 5,040 kt (2011), 14,400 kt (2024); landfill 80.0% (2001) to 6.1% (2024). Dataset; direct evidence on the scenario’s conditions (UK, not England). Eurostat (updated 15 October 2026). Municipal waste by waste management operations (env_wasmun). Eurostat database, https://ec.europa.eu/eurostat/web/main/data/database — Italy incineration 2,516 kt (2001) and 5,484 kt (2024), landfill 67.7% to 15.0%; Slovakia landfill 81.6% to 38.1%. Dataset; direct evidence. Ghosh, R. E. et al. (2019). Fetal growth, stillbirth, infant mortality and other birth outcomes near UK municipal waste incinerators; retrospective population based cohort and case-control study. Environment International 122, 151–158. https://doi.org/10.1016/j.envint.2018.10.060 — 22 incinerators, about one million births 2003–2010: no excess risk. Abstract only; direct evidence (modern plants). Parkes, B. et al. (2020). Risk of congenital anomalies near municipal waste incinerators in England and Scotland. Environment International 134, 104845. https://doi.org/10.1016/j.envint.2019.05.039 — no association with modelled PM10; small excesses of heart and genital anomalies with proximity, possibly confounded. Abstract only; direct evidence. Douglas, P. et al. (2017). Estimating particulate exposure from modern municipal waste incinerators in Great Britain. Environmental Science &amp; Technology 51(13), 7511–7519. https://doi.org/10.1021/acs.est.6b06478 — modelled incinerator PM10 three to five orders of magnitude below background. Abstract only; explanatory evidence. García-Pérez, J. et al. (2013; online 2012). Cancer mortality in towns in</w:t>
      </w:r>
    </w:p>
    <w:p>
      <w:pPr>
        <w:pStyle w:val="Heading2"/>
      </w:pPr>
      <w:r>
        <w:t>NEW · Immigration and integration scenarios for Europe to 2050 (2013)</w:t>
      </w:r>
    </w:p>
    <w:p>
      <w:r>
        <w:t>The methodological recommendation developed broadly along the envisioned pathway: integration and labour-market scenarios became standard companions of EU population projections. The migration pathway itself was transformed by unexpected events — an asylum surge, a pandemic and a war — rather than shaped by planned recruitment, and the zero-immigration storyline survives as a counterfactual reference case in official projections. The 2050 horizon has not been reached.</w:t>
      </w:r>
    </w:p>
    <w:p>
      <w:r>
        <w:rPr>
          <w:b/>
        </w:rPr>
        <w:t xml:space="preserve">Original claim · </w:t>
      </w:r>
      <w:r>
        <w:t>Paraphrase from the abstract: the article compares EU population prospects to 2050 under several migration hypotheses — business as usual, replacement migration, and recruitment to fill gaps in labour supply — and builds a deliberate shock storyline of no immigration into the EU, setting out the social consequences of the zero immigration that, according to the abstract, some policy circles desired. Its closing recommendation is that assessments of future immigration needs should combine integration scenarios with demographic projections and labour-market needs. Key phrase (abstract): “No immigration into European Union” as a shock hypothesis. The catalogued excerpt (HISTORICAL-CLAIMS record 448) reproduces only the recommendation sentence, which is methodological; the substantive future content lies in the comparison of migration hypotheses and the zero-immigration warning.</w:t>
      </w:r>
    </w:p>
    <w:p>
      <w:r>
        <w:rPr>
          <w:b/>
        </w:rPr>
        <w:t xml:space="preserve">Original publication · </w:t>
      </w:r>
      <w:r>
        <w:t>Avramov, Dragana (2013). Immigration and integration scenarios in global Europe: Forward-looking up to 2050. Sociologija 55(2), 169–186. Population and Social Policy Consultants, Brussels. https://doi.org/10.2298/SOC1302169A (diamond open access; the full text could not be opened during this review, so the abstract was used).</w:t>
      </w:r>
    </w:p>
    <w:p>
      <w:r>
        <w:rPr>
          <w:b/>
        </w:rPr>
        <w:t xml:space="preserve">Evidence status · </w:t>
      </w:r>
      <w:r>
        <w:t>Abstract-only assessment. The original was read as an abstract; the Eurostat datasets and the two JRC reports were opened directly.</w:t>
      </w:r>
    </w:p>
    <w:p>
      <w:r>
        <w:rPr>
          <w:b/>
        </w:rPr>
        <w:t xml:space="preserve">Later sources · </w:t>
      </w:r>
      <w:r>
        <w:t>Eurostat (dataset updated 30 September 2026). Population change – demographic balance and crude rates at national level (demo_gind), EU27_2020, 2012–2025. Eurostat database, dataset code demo_gind, https://ec.europa.eu/eurostat/web/main/data/database — negative natural change every year since 2012; population 441.7 million (2013) to 452.0 million (2026); net migration about 3.16 million in 2022. Dataset; values partly provisional. Eurostat (2023; dataset updated 2026). EUROPOP2023 population projections (proj_23np), EU27_2020. Eurostat database, dataset code proj_23np, https://ec.europa.eu/eurostat/web/main/data/database — baseline peak in 2026 (about 453.3 million) and 447.9 million in 2050; no-migration variant 408.5 million in 2050; old-age dependency ratio 50.4 (baseline) versus 56.2 (no migration) in 2050. Later foresight. Eurostat (2019). EUROPOP2019 population projections (proj_19np). Eurostat database, dataset code proj_19np, https://ec.europa.eu/eurostat/web/main/data/database — baseline also peaking in 2026; no-migration variant about 401 million in 2050. Later foresight. Eurostat (datasets updated September–October 2026). Asylum applicants (migr_asyappctza) and Beneficiaries of temporary protection (migr_asytpsm). Eurostat database, dataset code migr_asyappctza, https://ec.europa.eu/eurostat/web/main/data/database — about 1.22 million first-time applicants in 2015; 4.35 million temporary-protection beneficiaries in December 2025. Explanatory evidence. Eurostat. First permits by reason (migr_resfirst) and Employment rates by country of birth (lfsa_ergacob). Eurostat database, dataset code lfsa_ergacob, https://ec.europa.eu/eurostat/web/main/data/database — employment permits about 0.43 million (2013) and 1.30 million (2025); employment rate of non-EU-born aged</w:t>
      </w:r>
    </w:p>
    <w:p>
      <w:pPr>
        <w:pStyle w:val="Heading2"/>
      </w:pPr>
      <w:r>
        <w:t>REVISED · Superconductivity and the environment: a roadmap (2013)</w:t>
      </w:r>
    </w:p>
    <w:p>
      <w:r>
        <w:t>Reframed and unresolved. The meaningful question for VV Futures is how far superconducting energy, transport and sensing technologies moved from demonstration to deployment, not whether global energy growth was met by non-carbon sources. That question cannot be answered from the evidence verified here, and the roadmap’s link to Europe is limited to a cited EU estimate and the European authors’ sections.</w:t>
      </w:r>
    </w:p>
    <w:p>
      <w:r>
        <w:rPr>
          <w:b/>
        </w:rPr>
        <w:t xml:space="preserve">Original claim · </w:t>
      </w:r>
      <w:r>
        <w:t>The catalogued excerpt (HISTORICAL-CLAIMS record 455) is a quotation from the 2011 Equinox Summit: to stabilise atmospheric CO₂ at 550 ppm, all growth in energy demand would have to be met by non-carbon sources. In the roadmap this is a motivating premise, not a forecast. The roadmap’s own future-oriented content, paraphrased from its abstract, is that superconducting technologies — low-loss DC transmission of renewable power, magnetic energy storage, maglev and ship propulsion, magnetic separation for water recycling, sensitive magnetometry for natural-hazard monitoring and very low-power computing — would have a significant environmental impact once adopted, with adoption expected to be gradual: the abstract cites an earlier estimate that a 50% transfer of relevant equipment to superconducting systems would take about 20 years at normal replacement rates.</w:t>
      </w:r>
    </w:p>
    <w:p>
      <w:r>
        <w:rPr>
          <w:b/>
        </w:rPr>
        <w:t xml:space="preserve">Original publication · </w:t>
      </w:r>
      <w:r>
        <w:t>Nishijima, S., Eckroad, S., Marian, A., Choi, K., Kim, W. S., Terai, M. et al. (18 authors) (2013). Superconductivity and the environment: a Roadmap. Superconductor Science and Technology 26(11), 113001. https://doi.org/10.1088/0953-2048/26/11/113001 (open access on the publisher site, but the full text could not be retrieved during this review; the detailed section-by-section abstract was used).</w:t>
      </w:r>
    </w:p>
    <w:p>
      <w:r>
        <w:rPr>
          <w:b/>
        </w:rPr>
        <w:t xml:space="preserve">Evidence status · </w:t>
      </w:r>
      <w:r>
        <w:t>Insufficient evidence. Earlier account to be corrected; claim flagged as of marginal European scope.</w:t>
      </w:r>
    </w:p>
    <w:p>
      <w:r>
        <w:rPr>
          <w:b/>
        </w:rPr>
        <w:t xml:space="preserve">Later sources · </w:t>
      </w:r>
      <w:r>
        <w:t>NOAA Global Monitoring Laboratory (2026). Monthly mean CO₂ at Mauna Loa (co2_mm_mlo.txt; file created 9 October 2026). https://gml.noaa.gov/webdata/ccgg/trends/co2/co2_mm_mlo.txt — 432.34 ppm in May 2026; 430.51 ppm in May 2025. Dataset; relevant only to the premise quoted by the roadmap, not to its technology claims.</w:t>
      </w:r>
    </w:p>
    <w:p>
      <w:pPr>
        <w:pStyle w:val="Heading2"/>
      </w:pPr>
      <w:r>
        <w:t>REVISED · Future roles for farmers’ markets in Alberta and British Columbia (2012)</w:t>
      </w:r>
    </w:p>
    <w:p>
      <w:r>
        <w:t>Partly developed along the envisioned pathway in British Columbia: markets expanded and kept a community-oriented, direct-sales role. The specific question the Delphi posed — the linkage with the social economy and the scale–authenticity tension — remains open. The record lies outside the observatory’s European scope and could serve at most as a non-European comparator.</w:t>
      </w:r>
    </w:p>
    <w:p>
      <w:r>
        <w:rPr>
          <w:b/>
        </w:rPr>
        <w:t xml:space="preserve">Original claim · </w:t>
      </w:r>
      <w:r>
        <w:t>Paraphrase from the abstract: a Delphi panel of vendors, market managers and policy and government representatives in each province explored whether farmers’ markets could act as catalysts linking local food systems to the social economy. Participants sought ways to scale up local food systems beyond their current limits while keeping the markets’ “authentic experience” (abstract), and the authors concluded that the relationship between the social economy, infrastructure and authenticity required further study. No quantitative forecast and no time horizon are stated in the abstract. Catalogue excerpt: HISTORICAL-CLAIMS record 471.</w:t>
      </w:r>
    </w:p>
    <w:p>
      <w:r>
        <w:rPr>
          <w:b/>
        </w:rPr>
        <w:t xml:space="preserve">Original publication · </w:t>
      </w:r>
      <w:r>
        <w:t>Wittman, Hannah, Beckie, Mary Anne &amp; Hergesheimer, Chris (2012). Linking Local Food Systems and the Social Economy? Future Roles for Farmers’ Markets in Alberta and British Columbia. Rural Sociology 77(1), 36–61. https://doi.org/10.1111/j.1549-0831.2011.00068.x (publisher full text not accessible during this review; abstract used).</w:t>
      </w:r>
    </w:p>
    <w:p>
      <w:r>
        <w:rPr>
          <w:b/>
        </w:rPr>
        <w:t xml:space="preserve">Evidence status · </w:t>
      </w:r>
      <w:r>
        <w:t>Abstract-only assessment. Flagged as outside the European scope of VV Futures.</w:t>
      </w:r>
    </w:p>
    <w:p>
      <w:r>
        <w:rPr>
          <w:b/>
        </w:rPr>
        <w:t xml:space="preserve">Later sources · </w:t>
      </w:r>
      <w:r>
        <w:t>BC Association of Farmers’ Markets &amp; Connell, D. (University of Northern British Columbia) (2024). 2023 BC Farmers’ Market Economic Impact Study – Provincial Report (Final), 18 January 2024. https://bcfarmersmarket.org/app/uploads/2024/02/Provincial_2023-BC-Farmers-Market-Economic-Impact-Study-Jan-18-2024.pdf — direct sales $155.28 million at member markets in 2023; economic impact $232.92 million; 28% above inflation-adjusted 2012 sales, mainly through more markets and market days. Full text read (pp. 1–3); fieldwork May–September 2023.</w:t>
      </w:r>
    </w:p>
    <w:p>
      <w:r>
        <w:br w:type="page"/>
      </w:r>
    </w:p>
    <w:p>
      <w:pPr>
        <w:pStyle w:val="Heading1"/>
      </w:pPr>
      <w:r>
        <w:t>Earlier accounts not revised in this batch</w:t>
      </w:r>
    </w:p>
    <w:p>
      <w:pPr>
        <w:pStyle w:val="Heading2"/>
      </w:pPr>
      <w:r>
        <w:t>Strategic energy technology policy to 2050 (2013)</w:t>
      </w:r>
    </w:p>
    <w:p>
      <w:r>
        <w:t>Held. The shift toward supply security it planned for happened: the JRC’s 2023 sustainability framework for EU energy technologies ranks energy security first.</w:t>
      </w:r>
    </w:p>
    <w:p>
      <w:r>
        <w:rPr>
          <w:b/>
        </w:rPr>
        <w:t xml:space="preserve">Original source · </w:t>
      </w:r>
      <w:r>
        <w:t>A strategic energy technology policy towards 2050: no-regret strategies for European technology push — https://doi.org/10.1504/ijetp.2013.058143</w:t>
      </w:r>
    </w:p>
    <w:p>
      <w:r>
        <w:rPr>
          <w:b/>
        </w:rPr>
        <w:t xml:space="preserve">Later sources · </w:t>
      </w:r>
      <w:r>
        <w:t>Proposal for a sustainability framework for energy technologies (2023) — https://doi.org/10.2760/11063</w:t>
      </w:r>
    </w:p>
    <w:p>
      <w:r>
        <w:rPr>
          <w:b/>
        </w:rPr>
        <w:t xml:space="preserve">Status · </w:t>
      </w:r>
      <w:r>
        <w:t>Earlier LLM review; not rechecked in 24 October batch</w:t>
      </w:r>
    </w:p>
    <w:p>
      <w:pPr>
        <w:pStyle w:val="Heading2"/>
      </w:pPr>
      <w:r>
        <w:t>Animal health and parasites in a warming Europe (2013)</w:t>
      </w:r>
    </w:p>
    <w:p>
      <w:r>
        <w:t>Held. Climatic suitability for liver fluke rose through the 2000s in central and north-western Europe, matching a rise in livestock infections (2015). Climate change has also been a key driver of West Nile virus spread in Europe (2024).</w:t>
      </w:r>
    </w:p>
    <w:p>
      <w:r>
        <w:rPr>
          <w:b/>
        </w:rPr>
        <w:t xml:space="preserve">Original source · </w:t>
      </w:r>
      <w:r>
        <w:t>Animal health aspects of adaptation to climate change: beating the heat and parasites in a warming Europe — https://doi.org/10.1017/s175173111300075x</w:t>
      </w:r>
    </w:p>
    <w:p>
      <w:r>
        <w:rPr>
          <w:b/>
        </w:rPr>
        <w:t xml:space="preserve">Later sources · </w:t>
      </w:r>
      <w:r>
        <w:t>Modelling recent and future climatic suitability for fasciolosis in Europe (2015) — https://doi.org/10.4081/gh.2015.352 | Contribution of climate change to the spatial expansion of West Nile virus in Europe (2024) — https://doi.org/10.1038/s41467-024-45290-3</w:t>
      </w:r>
    </w:p>
    <w:p>
      <w:r>
        <w:rPr>
          <w:b/>
        </w:rPr>
        <w:t xml:space="preserve">Status · </w:t>
      </w:r>
      <w:r>
        <w:t>Earlier LLM review; not rechecked in 24 October batch</w:t>
      </w:r>
    </w:p>
    <w:p>
      <w:pPr>
        <w:pStyle w:val="Heading2"/>
      </w:pPr>
      <w:r>
        <w:t>Climate, air pollution and respiratory health (2013)</w:t>
      </w:r>
    </w:p>
    <w:p>
      <w:r>
        <w:t>Partly. Pollution patterns did change, but mostly for the better through regulation. It still caused about 300,000 premature EU deaths in 2020 (2023), and observed 2000–2019 declines track emission cuts (2024).</w:t>
      </w:r>
    </w:p>
    <w:p>
      <w:r>
        <w:rPr>
          <w:b/>
        </w:rPr>
        <w:t xml:space="preserve">Original source · </w:t>
      </w:r>
      <w:r>
        <w:t>Climate change, extreme weather events, air pollution and respiratory health in Europe — https://doi.org/10.1183/09031936.00074712</w:t>
      </w:r>
    </w:p>
    <w:p>
      <w:r>
        <w:rPr>
          <w:b/>
        </w:rPr>
        <w:t xml:space="preserve">Later sources · </w:t>
      </w:r>
      <w:r>
        <w:t>Clean air in Europe for all (2023) — https://doi.org/10.1097/ee9.0000000000000245 | Trends in Air Pollution in Europe, 2000–2019 (2024) — https://doi.org/10.4209/aaqr.230237</w:t>
      </w:r>
    </w:p>
    <w:p>
      <w:r>
        <w:rPr>
          <w:b/>
        </w:rPr>
        <w:t xml:space="preserve">Status · </w:t>
      </w:r>
      <w:r>
        <w:t>Earlier LLM review; not rechecked in 24 October batch</w:t>
      </w:r>
    </w:p>
    <w:p>
      <w:pPr>
        <w:pStyle w:val="Heading2"/>
      </w:pPr>
      <w:r>
        <w:t>ExxonMobil long-term energy outlook (2013)</w:t>
      </w:r>
    </w:p>
    <w:p>
      <w:r>
        <w:t>Held so far. Global energy demand rose 2% to a record in 2024, with China and India behind almost half the growth, and it rose another 1.7% in 2025 with every major source at a record high.</w:t>
      </w:r>
    </w:p>
    <w:p>
      <w:r>
        <w:rPr>
          <w:b/>
        </w:rPr>
        <w:t xml:space="preserve">Original source · </w:t>
      </w:r>
      <w:r>
        <w:t>Comments: The Long-Term Outlook — https://doi.org/10.2118/0113-0018-jpt</w:t>
      </w:r>
    </w:p>
    <w:p>
      <w:r>
        <w:rPr>
          <w:b/>
        </w:rPr>
        <w:t xml:space="preserve">Status · </w:t>
      </w:r>
      <w:r>
        <w:t>Earlier LLM review; not rechecked in 24 October batch</w:t>
      </w:r>
    </w:p>
    <w:p>
      <w:pPr>
        <w:pStyle w:val="Heading2"/>
      </w:pPr>
      <w:r>
        <w:t>Resilient futures, UK (2013)</w:t>
      </w:r>
    </w:p>
    <w:p>
      <w:r>
        <w:t>Held. The Covid Inquiry concluded the UK lacked resilience in 2020 and found the system had grown bureaucratic and needlessly complex. It called for radical simplification and a single independent statutory body. This evidence is about pandemics, not transport or energy.</w:t>
      </w:r>
    </w:p>
    <w:p>
      <w:r>
        <w:rPr>
          <w:b/>
        </w:rPr>
        <w:t xml:space="preserve">Original source · </w:t>
      </w:r>
      <w:r>
        <w:t>Constructing Resilient Futures: Integrating UK multi-stakeholder transport and energy resilience for 2050 — https://doi.org/10.1016/j.futures.2013.04.003</w:t>
      </w:r>
    </w:p>
    <w:p>
      <w:r>
        <w:rPr>
          <w:b/>
        </w:rPr>
        <w:t xml:space="preserve">Status · </w:t>
      </w:r>
      <w:r>
        <w:t>Earlier LLM review; not rechecked in 24 October batch</w:t>
      </w:r>
    </w:p>
    <w:p>
      <w:pPr>
        <w:pStyle w:val="Heading2"/>
      </w:pPr>
      <w:r>
        <w:t>Foresight and grand challenges, Ireland (2013)</w:t>
      </w:r>
    </w:p>
    <w:p>
      <w:r>
        <w:t>Held. Research Prioritisation, introduced in 2012, steers most competitive public research funding into 14 priority areas and was refreshed for 2018–2023. The 2022 Impact 2030 strategy added a National Grand Challenges Programme for mission-oriented challenges, backed by a €65m National Challenge Fund.</w:t>
      </w:r>
    </w:p>
    <w:p>
      <w:r>
        <w:rPr>
          <w:b/>
        </w:rPr>
        <w:t xml:space="preserve">Original source · </w:t>
      </w:r>
      <w:r>
        <w:t>Foresight and “grand challenges” within research and innovation policies — https://doi.org/10.1108/14636681311310123</w:t>
      </w:r>
    </w:p>
    <w:p>
      <w:r>
        <w:rPr>
          <w:b/>
        </w:rPr>
        <w:t xml:space="preserve">Status · </w:t>
      </w:r>
      <w:r>
        <w:t>Earlier LLM review; not rechecked in 24 October batch</w:t>
      </w:r>
    </w:p>
    <w:p>
      <w:pPr>
        <w:pStyle w:val="Heading2"/>
      </w:pPr>
      <w:r>
        <w:t>Foresight Future Flooding, UK (2013)</w:t>
      </w:r>
    </w:p>
    <w:p>
      <w:r>
        <w:t>Held. The Environment Agency’s 2024 assessment puts 6.3 million properties in England at flood risk, with the 43% jump mostly due to better data. It expects climate change to push that to about 8 million, one in four, by mid-century. River and sea risk alone is 2.4 million, slightly below the previous 2.6 million.</w:t>
      </w:r>
    </w:p>
    <w:p>
      <w:r>
        <w:rPr>
          <w:b/>
        </w:rPr>
        <w:t xml:space="preserve">Original source · </w:t>
      </w:r>
      <w:r>
        <w:t>From flood science to flood policy: the Foresight Future Flooding project seven years on — https://doi.org/10.1108/fs-06-2012-0046</w:t>
      </w:r>
    </w:p>
    <w:p>
      <w:r>
        <w:rPr>
          <w:b/>
        </w:rPr>
        <w:t xml:space="preserve">Status · </w:t>
      </w:r>
      <w:r>
        <w:t>Earlier LLM review; not rechecked in 24 October batch</w:t>
      </w:r>
    </w:p>
    <w:p>
      <w:pPr>
        <w:pStyle w:val="Heading2"/>
      </w:pPr>
      <w:r>
        <w:t>European eel larvae models (2013)</w:t>
      </w:r>
    </w:p>
    <w:p>
      <w:r>
        <w:t>Partly. A later Kiel ocean-model study simulated 45 years of larval drift and reproduced the recruitment swings seen in Europe, tying them to Sargasso Sea currents, though larval fate remains hard to predict.</w:t>
      </w:r>
    </w:p>
    <w:p>
      <w:r>
        <w:rPr>
          <w:b/>
        </w:rPr>
        <w:t xml:space="preserve">Original source · </w:t>
      </w:r>
      <w:r>
        <w:t>Integrating field data into individual-based models of the migration of European eel larvae — https://doi.org/10.3354/meps10368</w:t>
      </w:r>
    </w:p>
    <w:p>
      <w:r>
        <w:rPr>
          <w:b/>
        </w:rPr>
        <w:t xml:space="preserve">Status · </w:t>
      </w:r>
      <w:r>
        <w:t>Earlier LLM review; not rechecked in 24 October batch</w:t>
      </w:r>
    </w:p>
    <w:p>
      <w:pPr>
        <w:pStyle w:val="Heading2"/>
      </w:pPr>
      <w:r>
        <w:t>Blue Growth maritime scenarios (2013)</w:t>
      </w:r>
    </w:p>
    <w:p>
      <w:r>
        <w:t>Open. Sectors grew unevenly: there were 447 algae producers, with macroalgae still mostly wild-harvested (2021), and critics say blue growth still leans on offshore oil, gas and big aquaculture (2020). No one has evaluated the scenarios themselves.</w:t>
      </w:r>
    </w:p>
    <w:p>
      <w:r>
        <w:rPr>
          <w:b/>
        </w:rPr>
        <w:t xml:space="preserve">Original source · </w:t>
      </w:r>
      <w:r>
        <w:t>Scenarios for selected maritime economic functions — https://doi.org/10.1007/s40309-013-0011-8</w:t>
      </w:r>
    </w:p>
    <w:p>
      <w:r>
        <w:rPr>
          <w:b/>
        </w:rPr>
        <w:t xml:space="preserve">Later sources · </w:t>
      </w:r>
      <w:r>
        <w:t>Current Status of the Algae Production Industry in Europe: An Emerging Sector of the Blue Bioeconomy (2021) — https://doi.org/10.3389/fmars.2020.626389 | The Blue Fix: What's driving blue growth? (2020) — https://doi.org/10.1007/s11625-019-00777-7</w:t>
      </w:r>
    </w:p>
    <w:p>
      <w:r>
        <w:rPr>
          <w:b/>
        </w:rPr>
        <w:t xml:space="preserve">Status · </w:t>
      </w:r>
      <w:r>
        <w:t>Earlier LLM review; not rechecked in 24 October batch</w:t>
      </w:r>
    </w:p>
    <w:p>
      <w:pPr>
        <w:pStyle w:val="Heading2"/>
      </w:pPr>
      <w:r>
        <w:t>EU Decarbonisation Roadmap 2050 (2013)</w:t>
      </w:r>
    </w:p>
    <w:p>
      <w:r>
        <w:t>Partly. Net EU emissions were about 37% below 1990 in 2024, and adopted plus planned measures only reach 78% below by 2050. Member states expect 54% by 2030, just under the 55% target. The CDM route stayed marginal, with few, uneven projects in Eastern Europe (2022).</w:t>
      </w:r>
    </w:p>
    <w:p>
      <w:r>
        <w:rPr>
          <w:b/>
        </w:rPr>
        <w:t xml:space="preserve">Original source · </w:t>
      </w:r>
      <w:r>
        <w:t>The EU Decarbonisation Roadmap 2050—What way to walk? — https://doi.org/10.1016/j.enpol.2012.11.054</w:t>
      </w:r>
    </w:p>
    <w:p>
      <w:r>
        <w:rPr>
          <w:b/>
        </w:rPr>
        <w:t xml:space="preserve">Later sources · </w:t>
      </w:r>
      <w:r>
        <w:t>The clean development mechanism in Eastern Europe: an in-depth exploration (2022) — https://doi.org/10.1007/s11356-022-20988-3</w:t>
      </w:r>
    </w:p>
    <w:p>
      <w:r>
        <w:rPr>
          <w:b/>
        </w:rPr>
        <w:t xml:space="preserve">Status · </w:t>
      </w:r>
      <w:r>
        <w:t>Earlier LLM review; not rechecked in 24 October batch</w:t>
      </w:r>
    </w:p>
    <w:p>
      <w:pPr>
        <w:pStyle w:val="Heading2"/>
      </w:pPr>
      <w:r>
        <w:t>NT for Podlaskie 2020 (2013)</w:t>
      </w:r>
    </w:p>
    <w:p>
      <w:r>
        <w:t>Open. The project lived on in methods work: a wild-card method built on it (2015) and Podlaskie tourism foresight (2016). Nothing shows whether its nanotech priorities were funded.</w:t>
      </w:r>
    </w:p>
    <w:p>
      <w:r>
        <w:rPr>
          <w:b/>
        </w:rPr>
        <w:t xml:space="preserve">Original source · </w:t>
      </w:r>
      <w:r>
        <w:t>Toward Identification of the Priority Lines of Research in Nanotechnology on the Basis of the Technology Foresight NT for Podlaskie 2020 — https://doi.org/10.7763/ijiet.2013.v3.293</w:t>
      </w:r>
    </w:p>
    <w:p>
      <w:r>
        <w:rPr>
          <w:b/>
        </w:rPr>
        <w:t xml:space="preserve">Later sources · </w:t>
      </w:r>
      <w:r>
        <w:t>Wild Cards in Polish Foresight Practice (2015) — https://doi.org/10.1016/j.sbspro.2015.11.510 | NCRR - New Foresight Research Method (2016) — https://openalex.org/W2555381373</w:t>
      </w:r>
    </w:p>
    <w:p>
      <w:r>
        <w:rPr>
          <w:b/>
        </w:rPr>
        <w:t xml:space="preserve">Status · </w:t>
      </w:r>
      <w:r>
        <w:t>Earlier LLM review; not rechecked in 24 October batch</w:t>
      </w:r>
    </w:p>
    <w:p>
      <w:pPr>
        <w:pStyle w:val="Heading2"/>
      </w:pPr>
      <w:r>
        <w:t>Warming and wetland plants (2013)</w:t>
      </w:r>
    </w:p>
    <w:p>
      <w:r>
        <w:t>Mostly held. In an Alaskan coastal wetland, warming raised graminoid biomass by 20% in the second summer. A grassland meta-analysis found warming cut species richness by about 13% while raising biomass about 11%. However, a six-year Yellow River Delta experiment found warming reshaped the wetland community and weakened its resilience to flooding.</w:t>
      </w:r>
    </w:p>
    <w:p>
      <w:r>
        <w:rPr>
          <w:b/>
        </w:rPr>
        <w:t xml:space="preserve">Original source · </w:t>
      </w:r>
      <w:r>
        <w:t>Warming increases plant biomass and reduces diversity across continents, latitudes, and species migration scenarios in experimental wetland communities — https://doi.org/10.1111/gcb.12378</w:t>
      </w:r>
    </w:p>
    <w:p>
      <w:r>
        <w:rPr>
          <w:b/>
        </w:rPr>
        <w:t xml:space="preserve">Status · </w:t>
      </w:r>
      <w:r>
        <w:t>Earlier LLM review; not rechecked in 24 October batch</w:t>
      </w:r>
    </w:p>
    <w:p>
      <w:pPr>
        <w:pStyle w:val="Heading2"/>
      </w:pPr>
      <w:r>
        <w:t>History of futures, Dutch water scenarios (2012)</w:t>
      </w:r>
    </w:p>
    <w:p>
      <w:r>
        <w:t>Partly. A 2016 review still found scenarios, robustness and adaptive strategies mostly handled separately, so “not yet fully exploited” still applied then.</w:t>
      </w:r>
    </w:p>
    <w:p>
      <w:r>
        <w:rPr>
          <w:b/>
        </w:rPr>
        <w:t xml:space="preserve">Original source · </w:t>
      </w:r>
      <w:r>
        <w:t>A history of futures: A review of scenario use in water policy studies in the Netherlands — https://doi.org/10.1016/j.envsci.2012.03.002</w:t>
      </w:r>
    </w:p>
    <w:p>
      <w:r>
        <w:rPr>
          <w:b/>
        </w:rPr>
        <w:t xml:space="preserve">Later sources · </w:t>
      </w:r>
      <w:r>
        <w:t>An uncertain future, deep uncertainty, scenarios, robustness and adaptation: How do they fit together? (2016) — https://doi.org/10.1016/j.envsoft.2016.03.014</w:t>
      </w:r>
    </w:p>
    <w:p>
      <w:r>
        <w:rPr>
          <w:b/>
        </w:rPr>
        <w:t xml:space="preserve">Status · </w:t>
      </w:r>
      <w:r>
        <w:t>Earlier LLM review; not rechecked in 24 October batch</w:t>
      </w:r>
    </w:p>
    <w:p>
      <w:pPr>
        <w:pStyle w:val="Heading2"/>
      </w:pPr>
      <w:r>
        <w:t>After-crisis scenarios for European regions (2012)</w:t>
      </w:r>
    </w:p>
    <w:p>
      <w:r>
        <w:t>The reference scenario held. Regions diverged, and policies stopped spreading prosperity effectively (2018).</w:t>
      </w:r>
    </w:p>
    <w:p>
      <w:r>
        <w:rPr>
          <w:b/>
        </w:rPr>
        <w:t xml:space="preserve">Original source · </w:t>
      </w:r>
      <w:r>
        <w:t>After-crisis Scenarios for the European Regions — https://doi.org/10.2457/srs.42.3</w:t>
      </w:r>
    </w:p>
    <w:p>
      <w:r>
        <w:rPr>
          <w:b/>
        </w:rPr>
        <w:t xml:space="preserve">Later sources · </w:t>
      </w:r>
      <w:r>
        <w:t>Regional inequality in Europe: evidence, theory and policy implications (2018) — https://doi.org/10.1093/jeg/lby021</w:t>
      </w:r>
    </w:p>
    <w:p>
      <w:r>
        <w:rPr>
          <w:b/>
        </w:rPr>
        <w:t xml:space="preserve">Status · </w:t>
      </w:r>
      <w:r>
        <w:t>Earlier LLM review; not rechecked in 24 October batch</w:t>
      </w:r>
    </w:p>
    <w:p>
      <w:pPr>
        <w:pStyle w:val="Heading2"/>
      </w:pPr>
      <w:r>
        <w:t>Flood adaptation and ecosystem services (2012)</w:t>
      </w:r>
    </w:p>
    <w:p>
      <w:r>
        <w:t>Held. Three European case studies found nature-based measures cheaper than grey ones for the same risk reduction, with co-benefits rather than avoided damage making up most of their value. A 2024 review warns that flood-only measures can harm people and ecosystems and that trade-offs are rarely managed jointly.</w:t>
      </w:r>
    </w:p>
    <w:p>
      <w:r>
        <w:rPr>
          <w:b/>
        </w:rPr>
        <w:t xml:space="preserve">Original source · </w:t>
      </w:r>
      <w:r>
        <w:t>An assessment of the impact of climate adaptation measures to reduce flood risk on ecosystem services — https://doi.org/10.1007/s10980-012-9715-6</w:t>
      </w:r>
    </w:p>
    <w:p>
      <w:r>
        <w:rPr>
          <w:b/>
        </w:rPr>
        <w:t xml:space="preserve">Status · </w:t>
      </w:r>
      <w:r>
        <w:t>Earlier LLM review; not rechecked in 24 October batch</w:t>
      </w:r>
    </w:p>
    <w:p>
      <w:pPr>
        <w:pStyle w:val="Heading2"/>
      </w:pPr>
      <w:r>
        <w:t>Vegetation in European Russia (2012)</w:t>
      </w:r>
    </w:p>
    <w:p>
      <w:r>
        <w:t>Held, early signs. Spruce’s share in a study region on the East European Plain fell from about 50% to 35%, with climate-linked bark-beetle damage (2022).</w:t>
      </w:r>
    </w:p>
    <w:p>
      <w:r>
        <w:rPr>
          <w:b/>
        </w:rPr>
        <w:t xml:space="preserve">Original source · </w:t>
      </w:r>
      <w:r>
        <w:t>FORECASTED TRENDS IN CHANGES OF VEGETATION IN THE EUROPEAN PART OF RUSSIA IN CONNECTION WITH GLOBAL WARMING — https://doi.org/10.24057/2071-9388-2012-5-4-4-16</w:t>
      </w:r>
    </w:p>
    <w:p>
      <w:r>
        <w:rPr>
          <w:b/>
        </w:rPr>
        <w:t xml:space="preserve">Later sources · </w:t>
      </w:r>
      <w:r>
        <w:t>The State of Dark Coniferous Forests on the East European Plain Due to Climate Change (2022) — https://doi.org/10.3390/life12111874</w:t>
      </w:r>
    </w:p>
    <w:p>
      <w:r>
        <w:rPr>
          <w:b/>
        </w:rPr>
        <w:t xml:space="preserve">Status · </w:t>
      </w:r>
      <w:r>
        <w:t>Earlier LLM review; not rechecked in 24 October batch</w:t>
      </w:r>
    </w:p>
    <w:p>
      <w:pPr>
        <w:pStyle w:val="Heading2"/>
      </w:pPr>
      <w:r>
        <w:t>Horizon scanning and sense-making (BEPA, 2012)</w:t>
      </w:r>
    </w:p>
    <w:p>
      <w:r>
        <w:t>Held. EU agencies now scan jointly with WHO and the JRC (2022). A check of a 2013 scan found 12 of its top 20 invasive species arrived within ten years (2025). Scanning and sense-making were still often confused in 2019.</w:t>
      </w:r>
    </w:p>
    <w:p>
      <w:r>
        <w:rPr>
          <w:b/>
        </w:rPr>
        <w:t xml:space="preserve">Original source · </w:t>
      </w:r>
      <w:r>
        <w:t>Facing the future: Scanning, synthesizing and sense-making in horizon scanning — https://doi.org/10.1093/scipol/scs021</w:t>
      </w:r>
    </w:p>
    <w:p>
      <w:r>
        <w:rPr>
          <w:b/>
        </w:rPr>
        <w:t xml:space="preserve">Later sources · </w:t>
      </w:r>
      <w:r>
        <w:t>Health horizons: Future trends and technologies from the European Medicines Agency’s horizon scanning collaborations (2022) — https://doi.org/10.3389/fmed.2022.1064003 | Assessing the success of a horizon scanning approach in predicting invasive non‐native species arrival (2025) — https://doi.org/10.1111/1365-2664.70217 | Horizon Scanning in Foresight – Why Horizon Scanning is only a part of the game (2019) — https://doi.org/10.1002/ffo2.23</w:t>
      </w:r>
    </w:p>
    <w:p>
      <w:r>
        <w:rPr>
          <w:b/>
        </w:rPr>
        <w:t xml:space="preserve">Status · </w:t>
      </w:r>
      <w:r>
        <w:t>Earlier LLM review; not rechecked in 24 October batch</w:t>
      </w:r>
    </w:p>
    <w:p>
      <w:pPr>
        <w:pStyle w:val="Heading2"/>
      </w:pPr>
      <w:r>
        <w:t>UK bioenergy sustainability constraints (2012)</w:t>
      </w:r>
    </w:p>
    <w:p>
      <w:r>
        <w:t>Held. The UK’s 2023 Biomass Strategy reviewed sustainability rules and set out ways to tighten them while keeping bioenergy central (11% of electricity in 2022) and prioritising BECCS long-term. Precaution added rules rather than changing the mix.</w:t>
      </w:r>
    </w:p>
    <w:p>
      <w:r>
        <w:rPr>
          <w:b/>
        </w:rPr>
        <w:t xml:space="preserve">Original source · </w:t>
      </w:r>
      <w:r>
        <w:t>Implications of sustainability constraints on UK bioenergy development: Assessing optimistic and precautionary approaches with UK MARKAL — https://doi.org/10.1016/j.enpol.2012.05.015</w:t>
      </w:r>
    </w:p>
    <w:p>
      <w:r>
        <w:rPr>
          <w:b/>
        </w:rPr>
        <w:t xml:space="preserve">Status · </w:t>
      </w:r>
      <w:r>
        <w:t>Earlier LLM review; not rechecked in 24 October batch</w:t>
      </w:r>
    </w:p>
    <w:p>
      <w:pPr>
        <w:pStyle w:val="Heading2"/>
      </w:pPr>
      <w:r>
        <w:t>New emerging issues and wild cards (2012)</w:t>
      </w:r>
    </w:p>
    <w:p>
      <w:r>
        <w:t>Partly. Wild-card methods were taken up in Polish regional foresight (2015), but the scanning-to-policy link was still muddled in 2019.</w:t>
      </w:r>
    </w:p>
    <w:p>
      <w:r>
        <w:rPr>
          <w:b/>
        </w:rPr>
        <w:t xml:space="preserve">Original source · </w:t>
      </w:r>
      <w:r>
        <w:t>New Emerging Issues and Wild Cards as Future Shakers and Shapers — https://doi.org/10.17323/1995-459x.2012.1.60.73</w:t>
      </w:r>
    </w:p>
    <w:p>
      <w:r>
        <w:rPr>
          <w:b/>
        </w:rPr>
        <w:t xml:space="preserve">Later sources · </w:t>
      </w:r>
      <w:r>
        <w:t>Wild Cards in Polish Foresight Practice (2015) — https://doi.org/10.1016/j.sbspro.2015.11.510 | Horizon Scanning in Foresight – Why Horizon Scanning is only a part of the game (2019) — https://doi.org/10.1002/ffo2.23</w:t>
      </w:r>
    </w:p>
    <w:p>
      <w:r>
        <w:rPr>
          <w:b/>
        </w:rPr>
        <w:t xml:space="preserve">Status · </w:t>
      </w:r>
      <w:r>
        <w:t>Earlier LLM review; not rechecked in 24 October batch</w:t>
      </w:r>
    </w:p>
    <w:p>
      <w:pPr>
        <w:pStyle w:val="Heading2"/>
      </w:pPr>
      <w:r>
        <w:t>REMIND-D, Germany (2012)</w:t>
      </w:r>
    </w:p>
    <w:p>
      <w:r>
        <w:t>Partly. Germany’s emissions fell 48% between 1990 and 2025 but barely moved in 2025. The Federal Environment Agency (UBA) projects only about 83% by 2045 under current policies, short of neutrality.</w:t>
      </w:r>
    </w:p>
    <w:p>
      <w:r>
        <w:rPr>
          <w:b/>
        </w:rPr>
        <w:t xml:space="preserve">Original source · </w:t>
      </w:r>
      <w:r>
        <w:t>REMIND-D: A Hybrid Energy-Economy Model of Germany — https://doi.org/10.22004/ag.econ.121911</w:t>
      </w:r>
    </w:p>
    <w:p>
      <w:r>
        <w:rPr>
          <w:b/>
        </w:rPr>
        <w:t xml:space="preserve">Status · </w:t>
      </w:r>
      <w:r>
        <w:t>Earlier LLM review; not rechecked in 24 October batch</w:t>
      </w:r>
    </w:p>
    <w:p>
      <w:pPr>
        <w:pStyle w:val="Heading2"/>
      </w:pPr>
      <w:r>
        <w:t>Organic food market scenarios (2012)</w:t>
      </w:r>
    </w:p>
    <w:p>
      <w:r>
        <w:t>Held. European organic sales hit a record €58.7bn in 2024, up 4.1%, though farmland stayed flat at 19.6 million hectares.</w:t>
      </w:r>
    </w:p>
    <w:p>
      <w:r>
        <w:rPr>
          <w:b/>
        </w:rPr>
        <w:t xml:space="preserve">Original source · </w:t>
      </w:r>
      <w:r>
        <w:t>Scenarios of the organic food market in Europe — https://doi.org/10.1016/j.foodpol.2011.10.003</w:t>
      </w:r>
    </w:p>
    <w:p>
      <w:r>
        <w:rPr>
          <w:b/>
        </w:rPr>
        <w:t xml:space="preserve">Status · </w:t>
      </w:r>
      <w:r>
        <w:t>Earlier LLM review; not rechecked in 24 October batch</w:t>
      </w:r>
    </w:p>
    <w:p>
      <w:pPr>
        <w:pStyle w:val="Heading2"/>
      </w:pPr>
      <w:r>
        <w:t>Dutch GP workforce planning (2012)</w:t>
      </w:r>
    </w:p>
    <w:p>
      <w:r>
        <w:t>No. About 60% of GP practices stopped accepting new patients in 2024, and the shortage is expected to grow, mainly because of ageing. The planning body itself estimated an 8% shortfall in 2022.</w:t>
      </w:r>
    </w:p>
    <w:p>
      <w:r>
        <w:rPr>
          <w:b/>
        </w:rPr>
        <w:t xml:space="preserve">Original source · </w:t>
      </w:r>
      <w:r>
        <w:t>Ten years of health workforce planning in the Netherlands: a tentative evaluation of GP planning as an example — https://doi.org/10.1186/1478-4491-10-21</w:t>
      </w:r>
    </w:p>
    <w:p>
      <w:r>
        <w:rPr>
          <w:b/>
        </w:rPr>
        <w:t xml:space="preserve">Status · </w:t>
      </w:r>
      <w:r>
        <w:t>Earlier LLM review; not rechecked in 24 October batch</w:t>
      </w:r>
    </w:p>
    <w:p>
      <w:pPr>
        <w:pStyle w:val="Heading2"/>
      </w:pPr>
      <w:r>
        <w:t>CIRCE Mediterranean projections (2012)</w:t>
      </w:r>
    </w:p>
    <w:p>
      <w:r>
        <w:t>Held so far. In the 2022 drought, central and southern Europe had their largest water deficit since 2002, with warming adding over 30% (2024).</w:t>
      </w:r>
    </w:p>
    <w:p>
      <w:r>
        <w:rPr>
          <w:b/>
        </w:rPr>
        <w:t xml:space="preserve">Original source · </w:t>
      </w:r>
      <w:r>
        <w:t>The CIRCE Simulations: Regional Climate Change Projections with Realistic Representation of the Mediterranean Sea — https://doi.org/10.1175/bams-d-11-00136.1</w:t>
      </w:r>
    </w:p>
    <w:p>
      <w:r>
        <w:rPr>
          <w:b/>
        </w:rPr>
        <w:t xml:space="preserve">Later sources · </w:t>
      </w:r>
      <w:r>
        <w:t>Direct and lagged climate change effects intensified the 2022 European drought (2024) — https://doi.org/10.1038/s41561-024-01559-2</w:t>
      </w:r>
    </w:p>
    <w:p>
      <w:r>
        <w:rPr>
          <w:b/>
        </w:rPr>
        <w:t xml:space="preserve">Status · </w:t>
      </w:r>
      <w:r>
        <w:t>Earlier LLM review; not rechecked in 24 October batch</w:t>
      </w:r>
    </w:p>
    <w:p>
      <w:pPr>
        <w:pStyle w:val="Heading2"/>
      </w:pPr>
      <w:r>
        <w:t>The Great Future Debate (2012)</w:t>
      </w:r>
    </w:p>
    <w:p>
      <w:r>
        <w:t>Held. The FUTUREPOL project led to Andersson’s 2018 Oxford book. It shows futurists split between a closed, probability-bound science and an open future, with rival claims about how far the future could be known and controlled.</w:t>
      </w:r>
    </w:p>
    <w:p>
      <w:r>
        <w:rPr>
          <w:b/>
        </w:rPr>
        <w:t xml:space="preserve">Original source · </w:t>
      </w:r>
      <w:r>
        <w:t>The Great Future Debate and the Struggle for the World — https://doi.org/10.1093/ahr/117.5.1411</w:t>
      </w:r>
    </w:p>
    <w:p>
      <w:r>
        <w:rPr>
          <w:b/>
        </w:rPr>
        <w:t xml:space="preserve">Status · </w:t>
      </w:r>
      <w:r>
        <w:t>Earlier LLM review; not rechecked in 24 October batch</w:t>
      </w:r>
    </w:p>
    <w:p>
      <w:pPr>
        <w:pStyle w:val="Heading2"/>
      </w:pPr>
      <w:r>
        <w:t>EU direct payments (2012)</w:t>
      </w:r>
    </w:p>
    <w:p>
      <w:r>
        <w:t>Partly. The 2013 reform tied 30% of direct payments to greening, with little evidence of environmental gains. The current CAP earmarks at least 25% of direct payments for eco-schemes, but after the 2024 farmer protests the EU lowered some environmental conditions and proposed more simplification in 2025.</w:t>
      </w:r>
    </w:p>
    <w:p>
      <w:r>
        <w:rPr>
          <w:b/>
        </w:rPr>
        <w:t xml:space="preserve">Original source · </w:t>
      </w:r>
      <w:r>
        <w:t>The future of direct payments system in the EU agriculture; European Commission scenarios — https://doi.org/10.22630/prs.2012.12.3.38</w:t>
      </w:r>
    </w:p>
    <w:p>
      <w:r>
        <w:rPr>
          <w:b/>
        </w:rPr>
        <w:t xml:space="preserve">Status · </w:t>
      </w:r>
      <w:r>
        <w:t>Earlier LLM review; not rechecked in 24 October batch</w:t>
      </w:r>
    </w:p>
    <w:p>
      <w:pPr>
        <w:pStyle w:val="Heading2"/>
      </w:pPr>
      <w:r>
        <w:t>UK water adaptation with weather generators (2012)</w:t>
      </w:r>
    </w:p>
    <w:p>
      <w:r>
        <w:t>Partly. The same 2016 review as in 18 shows robust, adaptive planning was still being joined up.</w:t>
      </w:r>
    </w:p>
    <w:p>
      <w:r>
        <w:rPr>
          <w:b/>
        </w:rPr>
        <w:t xml:space="preserve">Original source · </w:t>
      </w:r>
      <w:r>
        <w:t>The use of probabilistic weather generator information for climate change adaptation in the UK water sector — https://doi.org/10.1002/met.1335</w:t>
      </w:r>
    </w:p>
    <w:p>
      <w:r>
        <w:rPr>
          <w:b/>
        </w:rPr>
        <w:t xml:space="preserve">Later sources · </w:t>
      </w:r>
      <w:r>
        <w:t>An uncertain future, deep uncertainty, scenarios, robustness and adaptation: How do they fit together? (2016) — https://doi.org/10.1016/j.envsoft.2016.03.014</w:t>
      </w:r>
    </w:p>
    <w:p>
      <w:r>
        <w:rPr>
          <w:b/>
        </w:rPr>
        <w:t xml:space="preserve">Status · </w:t>
      </w:r>
      <w:r>
        <w:t>Earlier LLM review; not rechecked in 24 October batch</w:t>
      </w:r>
    </w:p>
    <w:p>
      <w:pPr>
        <w:pStyle w:val="Heading2"/>
      </w:pPr>
      <w:r>
        <w:t>Eurozone scenarios (2012)</w:t>
      </w:r>
    </w:p>
    <w:p>
      <w:r>
        <w:t>Partly. The euro held through successive reforms, but analysts still argue a real economic government is missing (2018, 2017).</w:t>
      </w:r>
    </w:p>
    <w:p>
      <w:r>
        <w:rPr>
          <w:b/>
        </w:rPr>
        <w:t xml:space="preserve">Original source · </w:t>
      </w:r>
      <w:r>
        <w:t>What We Hope, What We Fear, What We Expect: Possible Scenarios for the Future of the Eurozone — https://doi.org/10.1007/s12290-012-0210-x</w:t>
      </w:r>
    </w:p>
    <w:p>
      <w:r>
        <w:rPr>
          <w:b/>
        </w:rPr>
        <w:t xml:space="preserve">Later sources · </w:t>
      </w:r>
      <w:r>
        <w:t>The Crisis of Functionalism and the Reform of European Economic Governance (2018) — https://doi.org/10.12797/politeja.12.2015.37.15 | The reform of the European economic governance: critical aspects (2017) — https://openalex.org/W2786315619</w:t>
      </w:r>
    </w:p>
    <w:p>
      <w:r>
        <w:rPr>
          <w:b/>
        </w:rPr>
        <w:t xml:space="preserve">Status · </w:t>
      </w:r>
      <w:r>
        <w:t>Earlier LLM review; not rechecked in 24 October batch</w:t>
      </w:r>
    </w:p>
    <w:p>
      <w:pPr>
        <w:pStyle w:val="Heading2"/>
      </w:pPr>
      <w:r>
        <w:t>Climate change and power-sector water use (2012)</w:t>
      </w:r>
    </w:p>
    <w:p>
      <w:r>
        <w:t>Tracking the low scenarios. Cooling-water abstraction for electricity fell about 30% between the 2000s and 2020–2023. It was the only sector to fall since 2010, though 65% of Europe’s electricity still relies on water cooling.</w:t>
      </w:r>
    </w:p>
    <w:p>
      <w:r>
        <w:rPr>
          <w:b/>
        </w:rPr>
        <w:t xml:space="preserve">Original source · </w:t>
      </w:r>
      <w:r>
        <w:t>Will climate change affect the electricity production sector? A European study — https://doi.org/10.2166/wcc.2012.066</w:t>
      </w:r>
    </w:p>
    <w:p>
      <w:r>
        <w:rPr>
          <w:b/>
        </w:rPr>
        <w:t xml:space="preserve">Status · </w:t>
      </w:r>
      <w:r>
        <w:t>Earlier LLM review; not rechecked in 24 October batch</w:t>
      </w:r>
    </w:p>
    <w:p>
      <w:pPr>
        <w:pStyle w:val="Heading2"/>
      </w:pPr>
      <w:r>
        <w:t>Energy landscapes (2012)</w:t>
      </w:r>
    </w:p>
    <w:p>
      <w:r>
        <w:t>Held. A 37-country review (2019) shows “energy landscapes” became an established research field.</w:t>
      </w:r>
    </w:p>
    <w:p>
      <w:r>
        <w:rPr>
          <w:b/>
        </w:rPr>
        <w:t xml:space="preserve">Original source · </w:t>
      </w:r>
      <w:r>
        <w:t>‘Energy landscapes’: Meeting energy demands and human aspirations — https://doi.org/10.1016/j.biombioe.2012.11.022</w:t>
      </w:r>
    </w:p>
    <w:p>
      <w:r>
        <w:rPr>
          <w:b/>
        </w:rPr>
        <w:t xml:space="preserve">Later sources · </w:t>
      </w:r>
      <w:r>
        <w:t>Effects of renewable energy on landscape in Europe: Comparison of hydro, wind, solar, bio-, geothermal and infrastructure energy landscapes (2019) — https://doi.org/10.15201/hungeobull.68.4.1</w:t>
      </w:r>
    </w:p>
    <w:p>
      <w:r>
        <w:rPr>
          <w:b/>
        </w:rPr>
        <w:t xml:space="preserve">Status · </w:t>
      </w:r>
      <w:r>
        <w:t>Earlier LLM review; not rechecked in 24 October batch</w:t>
      </w:r>
    </w:p>
    <w:p>
      <w:pPr>
        <w:pStyle w:val="Heading2"/>
      </w:pPr>
      <w:r>
        <w:t>Organic food demand (2011)</w:t>
      </w:r>
    </w:p>
    <w:p>
      <w:r>
        <w:t>Held. Growth continued (see 30), apart from a 2.2% drop in 2022.</w:t>
      </w:r>
    </w:p>
    <w:p>
      <w:r>
        <w:rPr>
          <w:b/>
        </w:rPr>
        <w:t xml:space="preserve">Original source · </w:t>
      </w:r>
      <w:r>
        <w:t>Actual and potential development of consumer demand on the organic food market in Europe — https://doi.org/10.1016/j.njas.2011.01.005</w:t>
      </w:r>
    </w:p>
    <w:p>
      <w:r>
        <w:rPr>
          <w:b/>
        </w:rPr>
        <w:t xml:space="preserve">Status · </w:t>
      </w:r>
      <w:r>
        <w:t>Earlier LLM review; not rechecked in 24 October batch</w:t>
      </w:r>
    </w:p>
    <w:p>
      <w:pPr>
        <w:pStyle w:val="Heading2"/>
      </w:pPr>
      <w:r>
        <w:t>Ageing and productivity, Bulgaria (2011)</w:t>
      </w:r>
    </w:p>
    <w:p>
      <w:r>
        <w:t>Open. Eastern Europe’s population decline deepened into a major problem (2020), but there’s no productivity evidence.</w:t>
      </w:r>
    </w:p>
    <w:p>
      <w:r>
        <w:rPr>
          <w:b/>
        </w:rPr>
        <w:t xml:space="preserve">Original source · </w:t>
      </w:r>
      <w:r>
        <w:t>Ageing population and labour productivity in Bulgaria — https://doi.org/10.5771/1435-2869-2011-4-521</w:t>
      </w:r>
    </w:p>
    <w:p>
      <w:r>
        <w:rPr>
          <w:b/>
        </w:rPr>
        <w:t xml:space="preserve">Later sources · </w:t>
      </w:r>
      <w:r>
        <w:t>The demographic challenge of Eastern Europe and potential policy options (2020) — https://doi.org/10.4337/9781839109508.00028</w:t>
      </w:r>
    </w:p>
    <w:p>
      <w:r>
        <w:rPr>
          <w:b/>
        </w:rPr>
        <w:t xml:space="preserve">Status · </w:t>
      </w:r>
      <w:r>
        <w:t>Earlier LLM review; not rechecked in 24 October batch</w:t>
      </w:r>
    </w:p>
    <w:p>
      <w:pPr>
        <w:pStyle w:val="Heading2"/>
      </w:pPr>
      <w:r>
        <w:t>European trees’ future ranges (2011)</w:t>
      </w:r>
    </w:p>
    <w:p>
      <w:r>
        <w:t>Open. There are only newer projections (boreal forests could lose up to 75% of their potential area, 2023) and early local losses (spruce, 2022).</w:t>
      </w:r>
    </w:p>
    <w:p>
      <w:r>
        <w:rPr>
          <w:b/>
        </w:rPr>
        <w:t xml:space="preserve">Original source · </w:t>
      </w:r>
      <w:r>
        <w:t>Climate, competition and connectivity affect future migration and ranges of European trees — https://doi.org/10.1111/j.1466-8238.2011.00669.x</w:t>
      </w:r>
    </w:p>
    <w:p>
      <w:r>
        <w:rPr>
          <w:b/>
        </w:rPr>
        <w:t xml:space="preserve">Later sources · </w:t>
      </w:r>
      <w:r>
        <w:t>Climate-Adapted Potential Vegetation—A European Multiclass Model Estimating the Future Potential of Natural Vegetation (2023) — https://doi.org/10.3390/f14020239 | The State of Dark Coniferous Forests on the East European Plain Due to Climate Change (2022) — https://doi.org/10.3390/life12111874</w:t>
      </w:r>
    </w:p>
    <w:p>
      <w:r>
        <w:rPr>
          <w:b/>
        </w:rPr>
        <w:t xml:space="preserve">Status · </w:t>
      </w:r>
      <w:r>
        <w:t>Earlier LLM review; not rechecked in 24 October batch</w:t>
      </w:r>
    </w:p>
    <w:p>
      <w:pPr>
        <w:pStyle w:val="Heading2"/>
      </w:pPr>
      <w:r>
        <w:t>BPM research issues (2011)</w:t>
      </w:r>
    </w:p>
    <w:p>
      <w:r>
        <w:t>Held. The culture–performance link the workshop flagged was studied and confirmed (2022).</w:t>
      </w:r>
    </w:p>
    <w:p>
      <w:r>
        <w:rPr>
          <w:b/>
        </w:rPr>
        <w:t xml:space="preserve">Original source · </w:t>
      </w:r>
      <w:r>
        <w:t>Current and Future Issues in BPM Research: A European Perspective from the ERCIS Meeting 2010 — https://doi.org/10.17705/1cais.02825</w:t>
      </w:r>
    </w:p>
    <w:p>
      <w:r>
        <w:rPr>
          <w:b/>
        </w:rPr>
        <w:t xml:space="preserve">Later sources · </w:t>
      </w:r>
      <w:r>
        <w:t>The influence of BPM-supportive culture and individual process orientation on process conformance (2022) — https://doi.org/10.1108/bpmj-08-2020-0363</w:t>
      </w:r>
    </w:p>
    <w:p>
      <w:r>
        <w:rPr>
          <w:b/>
        </w:rPr>
        <w:t xml:space="preserve">Status · </w:t>
      </w:r>
      <w:r>
        <w:t>Earlier LLM review; not rechecked in 24 October batch</w:t>
      </w:r>
    </w:p>
    <w:p>
      <w:pPr>
        <w:pStyle w:val="Heading2"/>
      </w:pPr>
      <w:r>
        <w:t>Pharmaceutical consumption, Netherlands (2011)</w:t>
      </w:r>
    </w:p>
    <w:p>
      <w:r>
        <w:t>Held. RIVM expects ageing to raise emissions and estimates at least 140 tonnes of drugs reach Dutch surface water each year. In 2017–2018, 19 substances exceeded risk limits, and a national chain approach was set up to cut residues.</w:t>
      </w:r>
    </w:p>
    <w:p>
      <w:r>
        <w:rPr>
          <w:b/>
        </w:rPr>
        <w:t xml:space="preserve">Original source · </w:t>
      </w:r>
      <w:r>
        <w:t>Demographic projections of future pharmaceutical consumption in the Netherlands — https://doi.org/10.2166/wst.2011.120</w:t>
      </w:r>
    </w:p>
    <w:p>
      <w:r>
        <w:rPr>
          <w:b/>
        </w:rPr>
        <w:t xml:space="preserve">Status · </w:t>
      </w:r>
      <w:r>
        <w:t>Earlier LLM review; not rechecked in 24 October batch</w:t>
      </w:r>
    </w:p>
    <w:p>
      <w:pPr>
        <w:pStyle w:val="Heading2"/>
      </w:pPr>
      <w:r>
        <w:t>EU transport energy to 2030 (2011)</w:t>
      </w:r>
    </w:p>
    <w:p>
      <w:r>
        <w:t>No, off track so far. The European Environment Agency says transport emissions have only trended weakly down since 2005 and rose 0.7% in 2024, with national projections only getting back to 1990 levels by 2030.</w:t>
      </w:r>
    </w:p>
    <w:p>
      <w:r>
        <w:rPr>
          <w:b/>
        </w:rPr>
        <w:t xml:space="preserve">Original source · </w:t>
      </w:r>
      <w:r>
        <w:t>Developments in Energy use for Transport in 27 European Union Countries through 2030 — https://doi.org/10.3141/2252-05</w:t>
      </w:r>
    </w:p>
    <w:p>
      <w:r>
        <w:rPr>
          <w:b/>
        </w:rPr>
        <w:t xml:space="preserve">Status · </w:t>
      </w:r>
      <w:r>
        <w:t>Earlier LLM review; not rechecked in 24 October batch</w:t>
      </w:r>
    </w:p>
    <w:p>
      <w:pPr>
        <w:pStyle w:val="Heading2"/>
      </w:pPr>
      <w:r>
        <w:t>Fiscal sustainability and forecast accuracy (2011)</w:t>
      </w:r>
    </w:p>
    <w:p>
      <w:r>
        <w:t>Held. The EU’s budgetary frameworks directive requires national forecasts to be compared with the Commission’s and large gaps explained. Later work finds optimistic growth forecasts still drive optimistic budgets, with high-profile fiscal councils helping, and that the Commission’s own fiscal forecasts turn more optimistic when a deficit threatens to breach 3%.</w:t>
      </w:r>
    </w:p>
    <w:p>
      <w:r>
        <w:rPr>
          <w:b/>
        </w:rPr>
        <w:t xml:space="preserve">Original source · </w:t>
      </w:r>
      <w:r>
        <w:t>Fiscal sustainability and the accuracy of macroeconomic forecasts: Do supranational forecasts rather than government forecasts make a difference? — https://doi.org/10.1504/ijse.2011.039440</w:t>
      </w:r>
    </w:p>
    <w:p>
      <w:r>
        <w:rPr>
          <w:b/>
        </w:rPr>
        <w:t xml:space="preserve">Status · </w:t>
      </w:r>
      <w:r>
        <w:t>Earlier LLM review; not rechecked in 24 October batch</w:t>
      </w:r>
    </w:p>
    <w:p>
      <w:pPr>
        <w:pStyle w:val="Heading2"/>
      </w:pPr>
      <w:r>
        <w:t>UK food futures (2011)</w:t>
      </w:r>
    </w:p>
    <w:p>
      <w:r>
        <w:t>Partly. Shocks hit hard, with food inflation peaking at 19.1% in March 2023, the highest since 1977, yet overall UK production and trade stayed broadly stable. The Department for Environment, Food and Rural Affairs (DEFRA) calls the long-term decline of natural capital a pressing risk.</w:t>
      </w:r>
    </w:p>
    <w:p>
      <w:r>
        <w:rPr>
          <w:b/>
        </w:rPr>
        <w:t xml:space="preserve">Original source · </w:t>
      </w:r>
      <w:r>
        <w:t>Food futures: system transitions towards UK food security — https://doi.org/10.4337/jhre.2011.02.04</w:t>
      </w:r>
    </w:p>
    <w:p>
      <w:r>
        <w:rPr>
          <w:b/>
        </w:rPr>
        <w:t xml:space="preserve">Status · </w:t>
      </w:r>
      <w:r>
        <w:t>Earlier LLM review; not rechecked in 24 October batch</w:t>
      </w:r>
    </w:p>
    <w:p>
      <w:pPr>
        <w:pStyle w:val="Heading2"/>
      </w:pPr>
      <w:r>
        <w:t>Metrology research foresight (2011)</w:t>
      </w:r>
    </w:p>
    <w:p>
      <w:r>
        <w:t>Held. The European Metrology Programme for Innovation and Research (EMPIR) ran from 2014 with €600m and 240 projects, closing in 2026. Its successor, the European Partnership on Metrology, has €740m aimed at climate, digital and health challenges, including self-sustaining European metrology networks.</w:t>
      </w:r>
    </w:p>
    <w:p>
      <w:r>
        <w:rPr>
          <w:b/>
        </w:rPr>
        <w:t xml:space="preserve">Original source · </w:t>
      </w:r>
      <w:r>
        <w:t>Foresight on the future of public research metrology in Europe — https://doi.org/10.1108/14636681111109660</w:t>
      </w:r>
    </w:p>
    <w:p>
      <w:r>
        <w:rPr>
          <w:b/>
        </w:rPr>
        <w:t xml:space="preserve">Status · </w:t>
      </w:r>
      <w:r>
        <w:t>Earlier LLM review; not rechecked in 24 October batch</w:t>
      </w:r>
    </w:p>
    <w:p>
      <w:pPr>
        <w:pStyle w:val="Heading2"/>
      </w:pPr>
      <w:r>
        <w:t>Depressed English region and education (2011)</w:t>
      </w:r>
    </w:p>
    <w:p>
      <w:r>
        <w:t>Partly. England raised the participation age to 17 in 2013 and 18 in 2015, but a University of Bath evaluation found only small, short-lived participation gains and rising dropout.</w:t>
      </w:r>
    </w:p>
    <w:p>
      <w:r>
        <w:rPr>
          <w:b/>
        </w:rPr>
        <w:t xml:space="preserve">Original source · </w:t>
      </w:r>
      <w:r>
        <w:t>Future scenarios for a depressed region of England: the role of education in creating alternative futures — https://doi.org/10.1108/14636681111179564</w:t>
      </w:r>
    </w:p>
    <w:p>
      <w:r>
        <w:rPr>
          <w:b/>
        </w:rPr>
        <w:t xml:space="preserve">Status · </w:t>
      </w:r>
      <w:r>
        <w:t>Earlier LLM review; not rechecked in 24 October batch</w:t>
      </w:r>
    </w:p>
    <w:p>
      <w:pPr>
        <w:pStyle w:val="Heading2"/>
      </w:pPr>
      <w:r>
        <w:t>Integrating foresight into government (2011)</w:t>
      </w:r>
    </w:p>
    <w:p>
      <w:r>
        <w:t>Partly. It’s spreading sector by sector; for example, six countries ran national drug-policy foresight with policymaker dialogues (2024). See also 8 and 23.</w:t>
      </w:r>
    </w:p>
    <w:p>
      <w:r>
        <w:rPr>
          <w:b/>
        </w:rPr>
        <w:t xml:space="preserve">Original source · </w:t>
      </w:r>
      <w:r>
        <w:t>Integrating foresight into government. Is it possible? Is it likely? — https://doi.org/10.1108/14636681111126229</w:t>
      </w:r>
    </w:p>
    <w:p>
      <w:r>
        <w:rPr>
          <w:b/>
        </w:rPr>
        <w:t xml:space="preserve">Later sources · </w:t>
      </w:r>
      <w:r>
        <w:t>Applying foresight methods at the national level in the field of substance use: Experience from the DRUG-PREP project (2024) — https://doi.org/10.1093/eurpub/ckae144.540</w:t>
      </w:r>
    </w:p>
    <w:p>
      <w:r>
        <w:rPr>
          <w:b/>
        </w:rPr>
        <w:t xml:space="preserve">Status · </w:t>
      </w:r>
      <w:r>
        <w:t>Earlier LLM review; not rechecked in 24 October batch</w:t>
      </w:r>
    </w:p>
    <w:p>
      <w:pPr>
        <w:pStyle w:val="Heading2"/>
      </w:pPr>
      <w:r>
        <w:t>Operational earthquake forecasting (2011)</w:t>
      </w:r>
    </w:p>
    <w:p>
      <w:r>
        <w:t>Held. Italy built OEF-Italy following the international commission’s (ICEF) guidelines. It runs around the clock issuing weekly forecasts, though it isn’t yet public, and it was validated after its first 10 years in 2023.</w:t>
      </w:r>
    </w:p>
    <w:p>
      <w:r>
        <w:rPr>
          <w:b/>
        </w:rPr>
        <w:t xml:space="preserve">Original source · </w:t>
      </w:r>
      <w:r>
        <w:t>OPERATIONAL EARTHQUAKE FORECASTING. State of Knowledge and Guidelines for Utilization — https://doi.org/10.4401/ag-5350</w:t>
      </w:r>
    </w:p>
    <w:p>
      <w:r>
        <w:rPr>
          <w:b/>
        </w:rPr>
        <w:t xml:space="preserve">Status · </w:t>
      </w:r>
      <w:r>
        <w:t>Earlier LLM review; not rechecked in 24 October batch</w:t>
      </w:r>
    </w:p>
    <w:p>
      <w:pPr>
        <w:pStyle w:val="Heading2"/>
      </w:pPr>
      <w:r>
        <w:t>POPs under climate change (2011)</w:t>
      </w:r>
    </w:p>
    <w:p>
      <w:r>
        <w:t>Partly. The Arctic Monitoring and Assessment Programme (AMAP) found persistent organic pollutant levels tracking temperature, precipitation and sea ice, but the mechanisms remain unclear. Hexachlorobenzene (HCB) has been rising in the air at stations on Svalbard and Iceland. The evidence is mostly Arctic.</w:t>
      </w:r>
    </w:p>
    <w:p>
      <w:r>
        <w:rPr>
          <w:b/>
        </w:rPr>
        <w:t xml:space="preserve">Original source · </w:t>
      </w:r>
      <w:r>
        <w:t>Potential implications of future climate and land‐cover changes for the fate and distribution of persistent organic pollutants in Europe — https://doi.org/10.1111/j.1466-8238.2010.00547.x</w:t>
      </w:r>
    </w:p>
    <w:p>
      <w:r>
        <w:rPr>
          <w:b/>
        </w:rPr>
        <w:t xml:space="preserve">Status · </w:t>
      </w:r>
      <w:r>
        <w:t>Earlier LLM review; not rechecked in 24 October batch</w:t>
      </w:r>
    </w:p>
    <w:p>
      <w:pPr>
        <w:pStyle w:val="Heading2"/>
      </w:pPr>
      <w:r>
        <w:t>Swedish forest products (2011)</w:t>
      </w:r>
    </w:p>
    <w:p>
      <w:r>
        <w:t>Partly. Wood building materials are gaining strong interest as a way to decarbonise buildings (2026), but there’s no Swedish market data.</w:t>
      </w:r>
    </w:p>
    <w:p>
      <w:r>
        <w:rPr>
          <w:b/>
        </w:rPr>
        <w:t xml:space="preserve">Original source · </w:t>
      </w:r>
      <w:r>
        <w:t>Trends and Possible Future Developments in Global Forest-Product Markets—Implications for the Swedish Forest Sector — https://doi.org/10.3390/f2010147</w:t>
      </w:r>
    </w:p>
    <w:p>
      <w:r>
        <w:rPr>
          <w:b/>
        </w:rPr>
        <w:t xml:space="preserve">Later sources · </w:t>
      </w:r>
      <w:r>
        <w:t>The New European Bauhaus Academy: a novel skills, knowledge and innovation platform to boost sustainable construction within the built environment (2026) — https://doi.org/10.5281/zenodo.20586709</w:t>
      </w:r>
    </w:p>
    <w:p>
      <w:r>
        <w:rPr>
          <w:b/>
        </w:rPr>
        <w:t xml:space="preserve">Status · </w:t>
      </w:r>
      <w:r>
        <w:t>Earlier LLM review; not rechecked in 24 October batch</w:t>
      </w:r>
    </w:p>
    <w:p>
      <w:r>
        <w:br w:type="page"/>
      </w:r>
    </w:p>
    <w:p>
      <w:pPr>
        <w:pStyle w:val="Heading1"/>
      </w:pPr>
      <w:r>
        <w:t>Developments since — re-examined research accounts</w:t>
      </w:r>
    </w:p>
    <w:p>
      <w:r>
        <w:t>Research integration · 25 October 2026. These contextual notes connect earlier research to later developments. The separate LLM investigation was used as a research guide; descriptions below are condensed and reworded. Its quantitative and source-specific claims are not independently reverified in this update. This section does not classify earlier studies as right or wrong.</w:t>
      </w:r>
    </w:p>
    <w:p>
      <w:pPr>
        <w:pStyle w:val="Heading2"/>
      </w:pPr>
      <w:r>
        <w:t>Strategic energy technology policy to 2050 (2013)</w:t>
      </w:r>
    </w:p>
    <w:p>
      <w:r>
        <w:t>Earlier perspective. - What the study claimed (full text read): Ruester, Schwenen, Finger &amp; Glachant, Int. J. Energy Technology and Policy 9(2):160–174 (2013); the same work also appeared as EUI RSCAS working paper 2013/40. The study is not a forecast. It asks how post-2020 EU energy technology policy can stay effective under three uncertainties:   - carbon prices   - technological shocks   - policy "paradigm shifts" away from decarbonisation, toward either competitiveness or supply security.</w:t>
      </w:r>
    </w:p>
    <w:p>
      <w:r>
        <w:t>Developments and interpretation. - Inference: The study's forward-looking content was a robustness claim. The contingency it hedged against, a turn to supply security, did occur in 2022. The EU's security-driven response also leaned on the study's no-regret choices: REPowerEU lists "save energy" first among its actions and calls for an extra EUR 29bn of power-grid investment by 2030 (COM(2022) 230, printed pp.1 and 14). So "Held" is defensible in the sense that the scenario it planned for came about and its no-regret options stayed central. Two problems remain:</w:t>
      </w:r>
    </w:p>
    <w:p>
      <w:r>
        <w:t>Research source trail (starting point): https://infoscience.epfl.ch/bitstreams/4289270b-a0dc-4bff-8fbf-31aaaf695ac9/download</w:t>
      </w:r>
    </w:p>
    <w:p>
      <w:pPr>
        <w:pStyle w:val="Heading2"/>
      </w:pPr>
      <w:r>
        <w:t>REMIND-D, Germany (2012)</w:t>
      </w:r>
    </w:p>
    <w:p>
      <w:r>
        <w:t>Earlier perspective. - What the study claimed (full text read): Schmid, Knopf &amp; Bauer (PIK), FEEM Nota di Lavoro 9.2012, dated January 2012. The paper documents a hybrid model of Germany that joins a Ramsey growth model to a bottom-up energy-system module. The model is calibrated to 2007, and its analysis window is 2005–2050. It is a tool for exploring domestic CO2-reduction scenarios, and the paper says its optimal pathways "are not expert forecasts or simulations". What it does contain:   - It cites the government's target of an 80–95% cut by 2050.   - It defines a "baseline" as roughly a 40% CO2 reduction by 2050.   - Its validation section shows two illustrative runs: about 40% and 88% CO2 cuts by 2050 vs 1990. It notes that 2009 emissions sat on the 88% path but attributes this to the financial crisis.</w:t>
      </w:r>
    </w:p>
    <w:p>
      <w:r>
        <w:t>Developments and interpretation. - Inference: Every number in the account is right. But "Partly" scores a prediction REMIND-D never made, against a yardstick (neutrality by 2045) that the paper does not contain. The model's runs are scenario settings bracketing 40–88% CO2 cuts by 2050, not forecasts.</w:t>
      </w:r>
    </w:p>
    <w:p>
      <w:r>
        <w:t>Research source trail (starting point): https://www.umweltbundesamt.de/en/indicator-greenhouse-gas-emissions</w:t>
      </w:r>
    </w:p>
    <w:p>
      <w:pPr>
        <w:pStyle w:val="Heading2"/>
      </w:pPr>
      <w:r>
        <w:t>UK water adaptation with weather generators (2012)</w:t>
      </w:r>
    </w:p>
    <w:p>
      <w:r>
        <w:t>Earlier perspective. - What the study claimed (abstract only for the paper itself; the journal full text is blocked): Harris, Quinn &amp; Bridgeman (University of Birmingham), a paper labelled "Review" in Meteorological Applications 21(2):129–140, published online 19 Jun 2012. It is a methods review. It argues that water-resource planning must drop two assumptions: that the instrumental record represents the future (stationarity), and that climate models can give precise predictions. In their place it recommends probabilistic projections, stochastic weather generators such as the UKCP09 weather generator, ranges of plausible futures and robust decision-making. It sets out a best-practice impact assessment illustrated by a hypothetical example. It makes no dated forecast. Its implied expectation is a normative one: UK water planning should, and could, move to prob</w:t>
      </w:r>
    </w:p>
    <w:p>
      <w:r>
        <w:t>Developments and interpretation. - Inference: The account scores a methods recommendation as a partial forecast. It supports the score with a non-UK conceptual paper that cannot show whether UK planning changed. The primary record shows the paper's core recommendation was largely realised in England, with robust and adaptive integration still incomplete. A corrected verdict would therefore be more positive than "Partly", but framed as uptake of a recommendation, not as a forecast.</w:t>
      </w:r>
    </w:p>
    <w:p>
      <w:r>
        <w:t>Research source trail (starting point): https://ojs.unbc.ca/index.php/design/article/download/1723/1324</w:t>
      </w:r>
    </w:p>
    <w:p>
      <w:pPr>
        <w:pStyle w:val="Heading2"/>
      </w:pPr>
      <w:r>
        <w:t>Resilient futures, UK (2013)</w:t>
      </w:r>
    </w:p>
    <w:p>
      <w:r>
        <w:t>Earlier perspective. - What the study claimed (full text read): Sircar, Sage, Goodier, Fussey &amp; Dainty, Futures 49:49–63 (2013), CC BY. A methods paper. It builds 2050 "scenario-episodes": four scenarios, each stress-tested by a flood episode and a terror episode. They are used with stakeholders to examine the resilience of interdependent UK energy and transport infrastructure. It opens with a diagnosis of the UK's "governing through resilience" regime under the Civil Contingencies Act 2004 and the Civil Contingencies Secretariat. The 2005 London bombings and the 2007 floods had exposed low stakeholder co-ordination, poor understanding of infrastructure interdependencies and little attention to long-term adaptation. The paper also observes that spreading resilience duties across ever more actors creates new co-ordination problems. It claims that the scenario-</w:t>
      </w:r>
    </w:p>
    <w:p>
      <w:r>
        <w:t>Developments and interpretation. - Inference: The account's "Held" rests on evidence it admits is off-topic, so as written it is overstated. Better evidence exists: two later outages showed exactly the cross-sector energy–transport interdependency gaps the study diagnosed, and as of 2025 government was still mapping them. That supports the study's diagnosis having persisted. It still says nothing about the scenario method or any 2050 outcome.</w:t>
      </w:r>
    </w:p>
    <w:p>
      <w:r>
        <w:t>Research source trail (starting point): https://covid19.public-inquiry.uk/chair-statements/chairs-statement-module-1-report-resilience-and-preparedness-of-the-united-kingdom/;</w:t>
      </w:r>
    </w:p>
    <w:p>
      <w:pPr>
        <w:pStyle w:val="Heading2"/>
      </w:pPr>
      <w:r>
        <w:t>Foresight and grand challenges, Ireland (2013)</w:t>
      </w:r>
    </w:p>
    <w:p>
      <w:r>
        <w:t xml:space="preserve">Earlier perspective. - What the study claimed (abstract only): Martin Rhisiart (sole author, University of South Wales), foresight 15(1):29–39, 2013. Sources: Crossref (https://api.crossref.org/works/10.1108/14636681311310123); OpenAlex, which records it as closed access with no repository copy; the Emerald Insight page, which showed only the structured abstract and no body text (https://www.emeraldinsight.com/insight/content/doi/10.1108/14636681311310123/full/html); and the University of South Wales Pure record, which has no manuscript file (https://pure.southwales.ac.uk/en/publications/foresight-and-grand-challenges-within-research-and-innovation-pol/). The emerald.com article page returned 403, and WebFetch refused the DOI link. The paper describes an Irish foresight project that identified national "grand challenges" and fed "a broader, national research </w:t>
      </w:r>
    </w:p>
    <w:p>
      <w:r>
        <w:t>Developments and interpretation. - Inference: The facts check out. The only footnote is that Impact 2030 had budgeted the Programme at EUR 71m before the EUR 65m EU-funded Fund was launched. The paper made no prediction. Its practical message, to address grand challenges while still funding other priorities, matches what Ireland went on to do. But the account presents this as a forecast that "held", and it shows no causal link from the paper.</w:t>
      </w:r>
    </w:p>
    <w:p>
      <w:r>
        <w:t>Research source trail (starting point): https://api.crossref.org/works/10.1108/14636681311310123</w:t>
      </w:r>
    </w:p>
    <w:p>
      <w:pPr>
        <w:pStyle w:val="Heading2"/>
      </w:pPr>
      <w:r>
        <w:t>Flood adaptation and ecosystem services (2012)</w:t>
      </w:r>
    </w:p>
    <w:p>
      <w:r>
        <w:t>Earlier perspective. - What the study claimed (full text read): Verburg, Koomen, Hilferink, Pérez-Soba &amp; Lesschen, Landscape Ecology 27(4):473–486 (2012), CC BY. Full text from Europe PMC (PMC4426887). It is an EU-wide integrated land-use modelling study (LEITAP/IMAGE feeding Dyna-CLUE at 1 km resolution) covering 2000–2030. It compares a business-as-usual reference scenario (IPCC B1-based) with a policy alternative of spatial adaptation measures:   - no new building in flood-prone areas   - extensification and afforestation upstream   - protection of pasture and peat</w:t>
      </w:r>
    </w:p>
    <w:p>
      <w:r>
        <w:t>Developments and interpretation. - Inference: The account mixes in another study's findings (Le Coent et al. 2021 on costs and co-benefits) and scores "Held" on them. The 2012 paper never made those claims. Its genuine forward-looking message, that adaptation measures produce off-site trade-offs needing spatially explicit, joined-up planning, is echoed by Zhou et al. (2024), whose finding of limited collaborative management of trade-offs is consistent with it. That supports at most a "consistent" judgement on the paper's methodological argument.</w:t>
      </w:r>
    </w:p>
    <w:p>
      <w:r>
        <w:t>Research source trail (starting point): https://doaj.org/api/search/articles/doi:10.1016%2Fj.nbsj.2021.100002</w:t>
      </w:r>
    </w:p>
    <w:p>
      <w:pPr>
        <w:pStyle w:val="Heading2"/>
      </w:pPr>
      <w:r>
        <w:t>The Great Future Debate (2012)</w:t>
      </w:r>
    </w:p>
    <w:p>
      <w:r>
        <w:t>Earlier perspective. - What the study claimed (full text read):   - The essay: Andersson, "The Great Future Debate and the Struggle for the World", AHR 117(5): 1411–1430, Dec 2012 (AHR Forum). It is a history of post-war futurology. It runs from RAND's Delphi work and Helmer and Gordon's 1964 claim to a general theory of prediction, through Flechtheim's utopian futurology, Jungk, de Jouvenel and Mankind 2000, to the founding of the World Futures Studies Federation (Bucharest 1972; statutes adopted at UNESCO in 1973).   - Thesis: futurology was a contested, world-making field. In it, the future as an is (an object of science with predetermined traces) clashed with the future as a becoming (an object of imagination and will).   - No forecast: it makes no forecast about the world.</w:t>
      </w:r>
    </w:p>
    <w:p>
      <w:r>
        <w:t>Developments and interpretation. - Inference:</w:t>
      </w:r>
    </w:p>
    <w:p>
      <w:r>
        <w:t>Research source trail (starting point): https://lib.f0.am/_media/future_of_the_world_jenny_andersson_9780198814337_print.pdf</w:t>
      </w:r>
    </w:p>
    <w:p>
      <w:pPr>
        <w:pStyle w:val="Heading2"/>
      </w:pPr>
      <w:r>
        <w:t>EU direct payments (2012)</w:t>
      </w:r>
    </w:p>
    <w:p>
      <w:r>
        <w:t>Earlier perspective. - What the study claimed (full text read):   - The paper: Julian T. Krzyżanowski (Warsaw University of Life Sciences), "The future of direct payments system in the EU agriculture; European Commission scenarios", Zeszyty Naukowe SGGW – Problemy Rolnictwa Światowego 12(3): 54–58, published 30 Sep 2012.   - Content: it summarises the Commission's options for redistributing direct-payment envelopes between Member States after 2013, with the Commission's redistribution figures:</w:t>
      </w:r>
    </w:p>
    <w:p>
      <w:r>
        <w:t>Developments and interpretation. - Inference: the account tests greening and eco-schemes, a topic the paper never addressed. On the paper's real question, the outcome sits inside its "pragmatic approach" family: a one-third gap closure, but towards 90% rather than 80% of the EU average, and not the flat rate. Its preference was therefore partly met, and its view that objective criteria were politically unrealistic held. "Partly" is defensible only on that evidence, which the account does not cite.</w:t>
      </w:r>
    </w:p>
    <w:p>
      <w:r>
        <w:t>Research source trail (starting point): https://www.legislation.gov.uk/eur/2013/1307/article/47/adopted</w:t>
      </w:r>
    </w:p>
    <w:p>
      <w:pPr>
        <w:pStyle w:val="Heading2"/>
      </w:pPr>
      <w:r>
        <w:t>Energy landscapes (2012)</w:t>
      </w:r>
    </w:p>
    <w:p>
      <w:r>
        <w:t>Earlier perspective. - What the study claimed (full text read):   - The paper: Blaschke, Biberacher, Gadocha and Schardinger, "'Energy landscapes': Meeting energy demands and human aspirations", Biomass and Bioenergy 55: 3–16 (online 29 Dec 2012).   - Content:     - It proposes "energy landscapes" as a bridge between energy modelling and spatial planning using GIS.</w:t>
      </w:r>
    </w:p>
    <w:p>
      <w:r>
        <w:t>Developments and interpretation. - Inference:</w:t>
      </w:r>
    </w:p>
    <w:p>
      <w:r>
        <w:t>Research source trail (starting point): https://www.dora.lib4ri.ch/wsl/dload/wsl:22957/PDF/view</w:t>
      </w:r>
    </w:p>
    <w:p>
      <w:pPr>
        <w:pStyle w:val="Heading2"/>
      </w:pPr>
      <w:r>
        <w:t>BPM research issues (2011)</w:t>
      </w:r>
    </w:p>
    <w:p>
      <w:r>
        <w:t>Earlier perspective. - What the study claimed (full text read via the AISeL PDF, through the fetch tool's summary):   - The paper: vom Brocke, Becker, Braccini and 14 co-authors (17 in all), "Current and Future Issues in BPM Research: A European Perspective from the ERCIS Meeting 2010", CAIS 28, Article 25, pp. 393–414, May 2011.   - Content: it reports a workshop of 17 information systems researchers from eight countries and proposes a research agenda of ten areas, with research questions and methods (Table 1). In the "Organizational and managerial issues" area it asks, among others, how culture affects process performance. It notes that little research had looked at culture in BPM.   - No forecast: it gives no hypothesis or expected direction for the culture–performance link and makes no forecast about the field. It frames the agenda as a proposal from a no</w:t>
      </w:r>
    </w:p>
    <w:p>
      <w:r>
        <w:t>Developments and interpretation. - Inference:</w:t>
      </w:r>
    </w:p>
    <w:p>
      <w:r>
        <w:t>Research source trail (starting point): https://aisel.aisnet.org/cais/vol28/iss1/25</w:t>
      </w:r>
    </w:p>
    <w:p>
      <w:pPr>
        <w:pStyle w:val="Heading2"/>
      </w:pPr>
      <w:r>
        <w:t>Fiscal sustainability and forecast accuracy (2011)</w:t>
      </w:r>
    </w:p>
    <w:p>
      <w:r>
        <w:t>Earlier perspective. - What the study claimed (full text read, accepted working-paper version; the publisher's page was blocked):   - The paper: Carlos Fonseca Marinheiro, Int. J. Sustainable Economy 3(2): 185– (2011) (https://api.crossref.org/works/10.1504/ijse.2011.039440). I read the March 2010 GEMF working paper no. 7, marked "accepted for publication in the International Journal of Sustainable Economy": https://estudogeral.uc.pt/bitstream/10316/13331/1/Fiscal%20sustainability%20and%20the%20accuracy%20of%20macroeconomic%20forecasts.pdf   - Content: it compares EU-15 governments' growth (and budget-balance) forecasts in the 1998–2008 Stability and Growth Programmes with forecasts by the Commission and the IMF.   - Findings:</w:t>
      </w:r>
    </w:p>
    <w:p>
      <w:r>
        <w:t>Developments and interpretation. - Inference: "Held" is the wrong verb for a recommendation. The substance, though, became EU law in Directive 2011/85/EU of 8 Nov 2011 (Art. 4(1)), the same year as the journal version (working paper March 2010). The account's three evidence claims are supported by primary sources. The weak point is the word "still" for optimism: after 2013, year-ahead bias turned pessimistic outside excessive-deficit countries, and council effects are mixed.</w:t>
      </w:r>
    </w:p>
    <w:p>
      <w:r>
        <w:t>Research source trail (starting point): https://api.crossref.org/works/10.1504/ijse.2011.039440</w:t>
      </w:r>
    </w:p>
    <w:p>
      <w:pPr>
        <w:pStyle w:val="Heading2"/>
      </w:pPr>
      <w:r>
        <w:t>Metrology research foresight (2011)</w:t>
      </w:r>
    </w:p>
    <w:p>
      <w:r>
        <w:t>Earlier perspective. - What the study claimed (abstract only; Emerald blocked both curl and WebFetch, and I found no open copy):   - The paper: Barker, Cox and Sveinsdottir, "Foresight on the future of public research metrology in Europe", Foresight 13(1): 5–18 (22 Feb 2011): https://api.crossref.org/works/10.1108/14636681111109660   - Content: per the structured abstract, it describes and evaluates a five-step foresight process using scenario workshops. The scenarios gave a basis for policy recommendations for European metrology institutes and helped stakeholders build a shared vision. The work was part of a wider study of public research institutes and the European Research Area.   - Findings: the case shows a need for proactive strategic management beyond institutional boundaries, into national and EU decision-making. Limitations: few experts, short worksh</w:t>
      </w:r>
    </w:p>
    <w:p>
      <w:r>
        <w:t>Developments and interpretation. - Inference:</w:t>
      </w:r>
    </w:p>
    <w:p>
      <w:r>
        <w:t>Research source trail (starting point): https://api.crossref.org/works/10.1108/14636681111109660</w:t>
      </w:r>
    </w:p>
    <w:p>
      <w:pPr>
        <w:pStyle w:val="Heading2"/>
      </w:pPr>
      <w:r>
        <w:t>POPs under climate change (2011)</w:t>
      </w:r>
    </w:p>
    <w:p>
      <w:r>
        <w:t>Earlier perspective. - What the study claimed (abstract only). The full text is closed access: Unpaywall lists no open copy, and Lancaster EPrints says "Full text not available". I read the abstract through the Crossref API. Citation: Paul A.G., Hammen V.C., Hickler T., Karlson U.G., Jones K.C., Sweetman A.J., Global Ecology and Biogeography 21(1):64–74, online 12 Dec 2011, issue Jan 2012.   - This is a scenario-modelling exercise, not an observational forecast. ALARM climate and land-cover scenarios were fed into a European multimedia chemical fate model (steady state, 30-year steps, 1990–2100). It covered four POPs: two PCB and two PBDE congeners.   - Projections for PCB153, the compound that changed most, under the worst case:     - burden down by up to 40% in some Mediterranean compartments (soil, fresh water);</w:t>
      </w:r>
    </w:p>
    <w:p>
      <w:r>
        <w:t>Developments and interpretation. - Inference.</w:t>
      </w:r>
    </w:p>
    <w:p>
      <w:r>
        <w:t>Research source trail (starting point): https://amap.no/documents/download/6757/inline</w:t>
      </w:r>
    </w:p>
    <w:p>
      <w:pPr>
        <w:pStyle w:val="Heading2"/>
      </w:pPr>
      <w:r>
        <w:t>Pharmaceutical consumption, Netherlands (2011)</w:t>
      </w:r>
    </w:p>
    <w:p>
      <w:r>
        <w:t>Earlier perspective. - What the study claimed (abstract only, plus the authors' full RIVM report). The journal article is paywalled: IWA returned HTTP 403 and Unpaywall reports it closed. I read the abstract through Crossref. Citation: van der Aa N.G.F.M., Kommer G.J., van Montfoort J.E., Versteegh J.F.M., Water Sci Technol 63(4):825–831, Feb 2011.   - It is a conditional demographic projection. Consumption per person is held at 2007 levels, and only population size and age structure change.   - It covers 354 prescribed drugs in 40 therapeutic groups, given as "1.251 metric tonnes" (98% of Dutch prescribed use in 2007; European notation for 1,251 t).   - Projected use is 1,504 t in 2020 (+17%) and 1,851 t by 2050 (+37%). The largest rises are in drugs for diseases of old age. The only falls are antivirals, addiction treatments and ethinylestradiol.</w:t>
      </w:r>
    </w:p>
    <w:p>
      <w:r>
        <w:t>Developments and interpretation. - Inference.</w:t>
      </w:r>
    </w:p>
    <w:p>
      <w:r>
        <w:t>Research source trail (starting point): https://www.rivm.nl/bibliotheek/rapporten/2016-0111.html</w:t>
      </w:r>
    </w:p>
    <w:p>
      <w:pPr>
        <w:pStyle w:val="Heading2"/>
      </w:pPr>
      <w:r>
        <w:t>Vegetation in European Russia (2012)</w:t>
      </w:r>
    </w:p>
    <w:p>
      <w:r>
        <w:t>Earlier perspective. - What the study claimed (full text read). Malkhazova S.M., Rumyantsev V.Yu., Soldatov M.S., Leonova N.B., Kislov A.V., Geography, Environment, Sustainability 5(4):4–16 (2012). https://ges.rgo.ru/jour/article/viewFile/157/155   - Method: static regression models link vegetation sub-zone boundaries and timber growth to the sum of effective temperatures above 10 °C. These are applied to CMIP3 A2 climate projections for 2046–2065.   - Forecasts:     1. The temperature conditions for vegetation sub-zones shift north across almost all of European Russia (EPR). Negative shifts appear only in north-west Kazakhstan and the southern Urals.</w:t>
      </w:r>
    </w:p>
    <w:p>
      <w:r>
        <w:t>Developments and interpretation. - Inference.</w:t>
      </w:r>
    </w:p>
    <w:p>
      <w:r>
        <w:t>Research source trail (starting point): https://ges.rgo.ru/jour/article/viewFile/157/155</w:t>
      </w:r>
    </w:p>
    <w:p>
      <w:pPr>
        <w:pStyle w:val="Heading2"/>
      </w:pPr>
      <w:r>
        <w:t>Climate, air pollution and respiratory health (2013)</w:t>
      </w:r>
    </w:p>
    <w:p>
      <w:r>
        <w:t>Earlier perspective. - What the study claimed (abstract only). De Sario M., Katsouyanni K., Michelozzi P., Eur Respir J 42(3):826–843 (online 11 Jan 2013). The full text could not be retrieved: the ERJ PDF and article page returned HTTP 403 to curl, the paper is not in PMC, and the KCL Pure record has no file.   - It is a narrative review, not a forecast. Climate change and other factors are changing air-pollution patterns in many urban areas, with effects on respiratory health both independently and in synergy with weather.   - Climate scenarios show Europe as one of the most vulnerable regions.   - European heatwave studies consistently find heat and pollution act synergistically. Interactions during wildfires and dust storms are unknown.</w:t>
      </w:r>
    </w:p>
    <w:p>
      <w:r>
        <w:t>Developments and interpretation. - Inference.</w:t>
      </w:r>
    </w:p>
    <w:p>
      <w:r>
        <w:t>Research source trail (starting point): https://eutils.ncbi.nlm.nih.gov/entrez/eutils/efetch.fcgi?db=pubmed&amp;id=23314896&amp;rettype=abstract&amp;retmode=text</w:t>
      </w:r>
    </w:p>
    <w:p>
      <w:pPr>
        <w:pStyle w:val="Heading2"/>
      </w:pPr>
      <w:r>
        <w:t>UK food futures (2011)</w:t>
      </w:r>
    </w:p>
    <w:p>
      <w:r>
        <w:t>Earlier perspective. - What the study claimed (abstract only). Lee R. and Marsden T., "Food futures: system transitions towards UK food security", Journal of Human Rights and the Environment 2(2):201–216 (Sept 2011). It is closed access: Unpaywall reports closed, Cardiff ORCA gave HTTP 403 behind a verification wall, and the Birmingham Pure record has no file. I read the abstract through the Crossref and OpenAlex APIs.   - It is a qualitative argument and scenario-method paper, not a forecast.   - It argues that the UK food system is unsustainable: it is beset by vulnerabilities and lacks the resilience to overcome them, within a global, carbon-dependent agro-food system.   - It reuses earlier stakeholder scenarios for the dairy and wheat supply chains. Through transition theory, it argues that landscape pressures could open room for niche alternatives, while</w:t>
      </w:r>
    </w:p>
    <w:p>
      <w:r>
        <w:t>Developments and interpretation. - Inference.</w:t>
      </w:r>
    </w:p>
    <w:p>
      <w:r>
        <w:t>Research source trail (starting point): https://www.ons.gov.uk/economy/inflationandpriceindices/timeseries/d7g8/mm23/data</w:t>
      </w:r>
    </w:p>
    <w:p>
      <w:pPr>
        <w:pStyle w:val="Heading2"/>
      </w:pPr>
      <w:r>
        <w:t>ExxonMobil long-term energy outlook (2013)</w:t>
      </w:r>
    </w:p>
    <w:p>
      <w:r>
        <w:t>Earlier perspective. - What the study claimed (full text read). The cited item is a one-page editor's column, Donnelly J., "Comments: The Long-Term Outlook", Journal of Petroleum Technology 65(1):18 (Jan 2013). Its full text is in the Crossref record. It summarises ExxonMobil's Outlook for Energy: A View to 2040 (released Dec 2012), which is a projection. Points as reported:   1. Global energy consumption rises 35% by 2040, mainly in China and India. The column does not state the base year; it uses 2010 for its GDP comparison.   2. Energy demand in developing nations rises 65% by 2040.   3. Demand in developed regions (US, Canada, Europe) stays largely flat or declines. Developed economies produce 80% more output by 2040 than in 2010 with the same energy.</w:t>
      </w:r>
    </w:p>
    <w:p>
      <w:r>
        <w:t>Developments and interpretation. - Inference.</w:t>
      </w:r>
    </w:p>
    <w:p>
      <w:r>
        <w:t>Research source trail (starting point): https://api.crossref.org/works/10.2118/0113-0018-jpt</w:t>
      </w:r>
    </w:p>
    <w:p>
      <w:pPr>
        <w:pStyle w:val="Heading2"/>
      </w:pPr>
      <w:r>
        <w:t>Animal health and parasites in a warming Europe (2013)</w:t>
      </w:r>
    </w:p>
    <w:p>
      <w:r>
        <w:t>Research source trail (starting point): https://geospatialhealth.net/gh/article/view/352</w:t>
      </w:r>
    </w:p>
    <w:p>
      <w:pPr>
        <w:pStyle w:val="Heading2"/>
      </w:pPr>
      <w:r>
        <w:t>Warming and wetland plants (2013)</w:t>
      </w:r>
    </w:p>
    <w:p>
      <w:r>
        <w:t>Research source trail (starting point): https://par.nsf.gov/biblio/10543878-projected-nearfuture-flooding-warming-increase-graminoid-biomass-highlatitude-coastal-wetland</w:t>
      </w:r>
    </w:p>
    <w:p>
      <w:pPr>
        <w:pStyle w:val="Heading2"/>
      </w:pPr>
      <w:r>
        <w:t>Organic food market scenarios (2012)</w:t>
      </w:r>
    </w:p>
    <w:p>
      <w:r>
        <w:t>Research source trail (starting point): https://www.fibl.org/en/info-centre/news/europes-organic-market-sets-another-record-in-2024-farmland-stable</w:t>
      </w:r>
    </w:p>
    <w:p>
      <w:pPr>
        <w:pStyle w:val="Heading2"/>
      </w:pPr>
      <w:r>
        <w:t>Ageing and productivity, Bulgaria (2011)</w:t>
      </w:r>
    </w:p>
    <w:p>
      <w:r>
        <w:t>Research source trail (starting point): https://www.e-elgar.com/shop/usd/30-years-of-transition-in-europe-9781839109492.html</w:t>
      </w:r>
    </w:p>
    <w:p>
      <w:pPr>
        <w:pStyle w:val="Heading2"/>
      </w:pPr>
      <w:r>
        <w:t>Swedish forest products (2011)</w:t>
      </w:r>
    </w:p>
    <w:p>
      <w:r>
        <w:t>Research source trail (starting point): https://zenodo.org/api/records/20586710</w:t>
      </w:r>
    </w:p>
    <w:p>
      <w:pPr>
        <w:pStyle w:val="Heading2"/>
      </w:pPr>
      <w:r>
        <w:t>Health impacts of waste incinerators and landfills to 2050 (2011)</w:t>
      </w:r>
    </w:p>
    <w:p>
      <w:r>
        <w:t>Research source trail (starting point): https://www.ebi.ac.uk/europepmc/webservices/rest/PMC3129292/fullTextXML</w:t>
      </w:r>
    </w:p>
    <w:p>
      <w:pPr>
        <w:pStyle w:val="Heading2"/>
      </w:pPr>
      <w:r>
        <w:t>Foresight Future Flooding, UK (2013)</w:t>
      </w:r>
    </w:p>
    <w:p>
      <w:r>
        <w:t>Earlier perspective. - What the study claimed (abstract only; no open full text found, publisher and Plymouth repository pages give the abstract only): Penning-Rowsell, Evans, Hall &amp; Borthwick (2013), Foresight 15(3), 190–210. This is a retrospective impact evaluation of the 2004 Foresight Future Flooding (FFF) project, which looked at UK flood risk to 2100 using scenarios, a national risk model and input from about 45 senior scientists. The method was web searches, document analysis and a survey of policy actors. The finding is that FFF reached unusually wide audiences and had substantial immediate and continuing policy influence. It did not create policy change but legitimated and added impetus to change already under way, in a "part-catalytic, part-incremental" process. The 2013 paper makes no forecast. Its only forward-looking content is lessons for futur</w:t>
      </w:r>
    </w:p>
    <w:p>
      <w:r>
        <w:t>Developments and interpretation. - Inference: The 2013 paper's thesis is about how FFF influenced policy. A 2024 EA risk count does not test that. If the account means FFF's 2004 scenario projections, the 2024 data do not confirm those either. The 2024 numbers come from a new methodology, cover England only (FFF was UK-wide), and the rise is mainly a data artefact. River and sea risk actually fell slightly. The 8m mid-century figure is another projection, not an outcome. Nothing here supports "Held".</w:t>
      </w:r>
    </w:p>
    <w:p>
      <w:r>
        <w:t>Research source trail (starting point): https://assets.publishing.service.gov.uk/media/6797a4e6e0edc3fbb060633c/E03253099_EA_Flood_Coastal_Erosion_Risk_Assessment_accessible_v2.pdf</w:t>
      </w:r>
    </w:p>
    <w:p>
      <w:pPr>
        <w:pStyle w:val="Heading2"/>
      </w:pPr>
      <w:r>
        <w:t>History of futures, Dutch water scenarios (2012)</w:t>
      </w:r>
    </w:p>
    <w:p>
      <w:r>
        <w:t>Earlier perspective. - What the study claimed (full text read, Europe PMC open-access XML, CC BY): Haasnoot, M. &amp; Middelkoop, H. (2012), Environmental Science &amp; Policy 19–20, 108–120, doi:10.1016/j.envsci.2012.03.002. It reviews six decades of scenario use in Dutch water policy against two criteria, "decision robustness" and "learning success". It concludes that robust decision-making became more possible as practice shifted from predicting the future to exploring it, but that the scenario method is "not yet fully exploited", especially in policymaking. Its specific diagnoses: a single design scenario was usually chosen, scenarios were snapshots at 2–3 horizons with no pathways, all were surprise-free, and social uncertainty was ignored. It makes no forecast. Its forward-looking content is the observation that new scenario approaches are emerging for deep unc</w:t>
      </w:r>
    </w:p>
    <w:p>
      <w:r>
        <w:t>Developments and interpretation. - Inference: "Partly" is a reasonable label for a diagnosis-plus-recommendations paper. Some of the recommended approaches entered Dutch policy practice (adaptive delta management, adaptation pathways), while the general literature in 2016 still lacked integration. The account's single piece of evidence is mislabelled as a review and is co-authored by the original's lead author. It also leaves out the Dutch policy uptake that points the other way.</w:t>
      </w:r>
    </w:p>
    <w:p>
      <w:r>
        <w:t>Research source trail (starting point): https://www.deepuncertainty.org/2016/04/18/an-uncertain-future-deep-uncertainty-scenarios-robustness-and-adaptation-how-do-they-fit-together-2016-2/</w:t>
      </w:r>
    </w:p>
    <w:p>
      <w:pPr>
        <w:pStyle w:val="Heading2"/>
      </w:pPr>
      <w:r>
        <w:t>Dutch GP workforce planning (2012)</w:t>
      </w:r>
    </w:p>
    <w:p>
      <w:r>
        <w:t>Earlier perspective. - What the study claimed (full text read, Europe PMC open-access XML, CC BY): Van Greuningen, Batenburg &amp; Van der Velden (2012), Human Resources for Health 10:21, a case study. It explains the Dutch health-workforce simulation model in use since 2000, using GPs as the example. Its evaluation is retrospective. On four indicators it finds that GP planning appears to have sustained a balance between 2000 and 2010: unmet demand fell from 5% to about 0%, vacancies were low at 1.7 per 100 GPs, the share of GPs seeking a practice fell from 7.2% to 6.5%, and inhabitants per FTE GP went from 2,483 to 2,350. It concludes the model has significant policy value and "has been successful in stabilizing" the physician labour market. There is no numeric forecast. The forward-looking content is the model's "basic proposition" that planning controls cyclic</w:t>
      </w:r>
    </w:p>
    <w:p>
      <w:r>
        <w:t>Developments and interpretation. - Inference: All three of the account's figures are correct. The headline "No" fairly answers whether the model's proposition, that planning prevents cyclic shortages, held: a shortage of about 8% returned within a decade. Two qualifications are missing, and both come from the paper itself. First, the Court of Audit finds GP training intake has been below the Capaciteitsorgaan's advice since 2021 (for example, 921 advised against 820 funded for 2021). That is exactly the implementation condition the paper flagged. Second, the shortage is regionally concentrated, which the paper also warned national planning might miss. It is also fair to note that the paper's retrospective finding about 2000–2010 is not refuted by later events, and that the planning body detecting the shortfall shows the model working as a monitor.</w:t>
      </w:r>
    </w:p>
    <w:p>
      <w:r>
        <w:t>Research source trail (starting point): https://english.rekenkamer.nl/latest/news/2025/04/02/1-in-20-people-in-the-netherlands-seeking-a-gp</w:t>
      </w:r>
    </w:p>
    <w:p>
      <w:pPr>
        <w:pStyle w:val="Heading2"/>
      </w:pPr>
      <w:r>
        <w:t>European trees' future ranges (2011)</w:t>
      </w:r>
    </w:p>
    <w:p>
      <w:r>
        <w:t>Earlier perspective. - What the study claimed (abstract only: the full structured abstract was read via the Crossref/OpenAlex metadata. A green OA copy is listed at Zenodo record 3436759 and WSL DORA, but the Zenodo API returned no files, so the full text was not read): Meier, Lischke, Schmatz &amp; Zimmermann, Global Ecology and Biogeography 21(2), 164–178 (online 5 May 2011). The study fitted species distribution models (SDMs) for 14 European tree species on 5,768 ICP Forest plots. It constrained 21st-century projections under the A1fi/GRAS and B1/SEDG scenarios with migration rates from the TreeMig process model, and compared no, unlimited and realistic migration. It is a conditional, scenario-based projection about migration rates, not a forecast of specific range areas. Its claims: early-successional species track climate almost instantly (about 157–164 m/yr</w:t>
      </w:r>
    </w:p>
    <w:p>
      <w:r>
        <w:t>Developments and interpretation. - Inference: "Open" is right. The projections run to the end of the century and are conditional on scenarios. But the account describes the study as if it were about range outcomes. Its real claim is that late-successional trees will lag far behind their shifting climate niches while pioneers keep pace. The 2023 potential-vegetation projection assumes equilibrium, the unlimited-migration view Meier et al. argued against, so it is a contrasting projection, not support. The Udmurtia spruce decline is rear-edge die-back from bark beetles, not a migration signal. Neither is wrong as stated, but both are tangential.</w:t>
      </w:r>
    </w:p>
    <w:p>
      <w:r>
        <w:t>Research source trail (starting point): https://api.openalex.org/works/doi:10.3390/f14020239</w:t>
      </w:r>
    </w:p>
    <w:p>
      <w:pPr>
        <w:pStyle w:val="Heading2"/>
      </w:pPr>
      <w:r>
        <w:t>Constructivist forecasting and the EU as a military power (2011)</w:t>
      </w:r>
    </w:p>
    <w:p>
      <w:r>
        <w:t>Earlier perspective. - What the study claimed (abstract only: OpenAlex marks the article closed with no repository copy, the KCL Pure page for Meyer lists no file, and no preprint was found. The only Meyer working paper found is a different 2004 CEPS paper): Meyer, C. O. (2011), International Studies Quarterly 55(3), 669–690. A position and methods paper. Constructivist forecasting raises epistemological and normative problems but is scientifically rewarding and normatively desirable. Constructivism is strong at treating forecasting as a social act that can shape the future, and weak at substantive mid-range theory. The paper uses the debate on the EU as an evolving military power as its example. It argues that strategic culture research suits outlining "trajectories of the likely" when combined with internal and external drivers of ideational and material ch</w:t>
      </w:r>
    </w:p>
    <w:p>
      <w:r>
        <w:t>Developments and interpretation. - Inference: The original's forecasting content cannot be checked from the abstract, so "cannot be scored" is the correct verdict, and flagging it for full-text checking is the right next step. The context statements are accurate. Two minor issues: the "shifted unevenly" evidence (Mi 2023) is from before 2022, while the sentence order implies it came after; and the EDA citation is truncated with an unverified cut-off date.</w:t>
      </w:r>
    </w:p>
    <w:p>
      <w:r>
        <w:t>Research source trail (starting point): https://api.openalex.org/works/doi:10.1111/j.1468-2478.2011.00648.x</w:t>
      </w:r>
    </w:p>
    <w:p>
      <w:pPr>
        <w:pStyle w:val="Heading2"/>
      </w:pPr>
      <w:r>
        <w:t>Immigration and integration scenarios for Europe to 2050 (2013)</w:t>
      </w:r>
    </w:p>
    <w:p>
      <w:r>
        <w:t>Earlier perspective. - What the study claimed (abstract only: read via the Crossref and OpenAlex records. The diamond-OA full text at doiSerbia could not be opened because the connection was reset and WebFetch's allowlist refused it): Avramov, D. (2013), Sociologija 55(2), 169–186. The paper takes a forward-looking approach to immigration and integration. It discusses EU population prospects under several migration hypotheses ("business as usual", replacement migration, recruitment to fill labour-supply gaps). It builds "No immigration into European Union" as a shock storyline and sets out the social consequences of the zero immigration that it says some policy circles desired. It closes by proposing that integration scenarios be assessed alongside demographic projections and labour-market needs. This is scenario work plus a methodological recommendation. The</w:t>
      </w:r>
    </w:p>
    <w:p>
      <w:r>
        <w:t>Developments and interpretation. - Inference: Treating the paper as scenarios plus a recommendation is correct, and so is declining to score a 2050 outcome. Every figure checked is right. Two interpretive sentences go beyond the evidence. One says recruitment did not shape the migration pathway, but employment permits tripled. The other says integration scenarios became standard companions of EU projections, when they were developed in separate JRC research and are not part of Eurostat's projection variants.</w:t>
      </w:r>
    </w:p>
    <w:p>
      <w:r>
        <w:t>Research source trail (starting point): https://ec.europa.eu/eurostat/api/dissemination/statistics/1.0/data/demo_gind?geo=EU27_2020&amp;indic_de=JAN&amp;indic_de=NATGROW&amp;indic_de=CNMIGRAT</w:t>
      </w:r>
    </w:p>
    <w:p>
      <w:pPr>
        <w:pStyle w:val="Heading2"/>
      </w:pPr>
      <w:r>
        <w:t>European eel larvae models (2013)</w:t>
      </w:r>
    </w:p>
    <w:p>
      <w:r>
        <w:t>Research source trail (starting point): https://www.geomar.de/en/news/article/the-fate-of-the-eels</w:t>
      </w:r>
    </w:p>
    <w:p>
      <w:pPr>
        <w:pStyle w:val="Heading2"/>
      </w:pPr>
      <w:r>
        <w:t>After-crisis scenarios for European regions (2012)</w:t>
      </w:r>
    </w:p>
    <w:p>
      <w:r>
        <w:t>Research source trail (starting point): https://eprints.lse.ac.uk/87491/1/Iammarino_Regional%20Inequality%20in%20Europe.pdf</w:t>
      </w:r>
    </w:p>
    <w:p>
      <w:pPr>
        <w:pStyle w:val="Heading2"/>
      </w:pPr>
      <w:r>
        <w:t>CIRCE Mediterranean projections (2012)</w:t>
      </w:r>
    </w:p>
    <w:p>
      <w:r>
        <w:t>Research source trail (starting point): https://meetingorganizer.copernicus.org/EGU24/EGU24-3100.html</w:t>
      </w:r>
    </w:p>
    <w:p>
      <w:pPr>
        <w:pStyle w:val="Heading2"/>
      </w:pPr>
      <w:r>
        <w:t>EU transport energy to 2030 (2011)</w:t>
      </w:r>
    </w:p>
    <w:p>
      <w:r>
        <w:t>Research source trail (starting point): https://www.eea.europa.eu/en/analysis/indicators/greenhouse-gas-emissions-from-transport</w:t>
      </w:r>
    </w:p>
    <w:p>
      <w:pPr>
        <w:pStyle w:val="Heading2"/>
      </w:pPr>
      <w:r>
        <w:t>European air quality and climate in 2050 (2013)</w:t>
      </w:r>
    </w:p>
    <w:p>
      <w:r>
        <w:t>Research source trail (starting point): https://acp.copernicus.org/articles/13/7451/2013/</w:t>
      </w:r>
    </w:p>
    <w:p>
      <w:pPr>
        <w:pStyle w:val="Heading2"/>
      </w:pPr>
      <w:r>
        <w:t>Future roles for farmers' markets in Alberta and British Columbia (2012)</w:t>
      </w:r>
    </w:p>
    <w:p>
      <w:r>
        <w:t>Research source trail (starting point): https://eric.ed.gov/?id=EJ974607</w:t>
      </w:r>
    </w:p>
    <w:p>
      <w:pPr>
        <w:pStyle w:val="Heading2"/>
      </w:pPr>
      <w:r>
        <w:t>Blue Growth maritime scenarios (2013)</w:t>
      </w:r>
    </w:p>
    <w:p>
      <w:r>
        <w:t>Research source trail (starting point): https://www.frontiersin.org/articles/10.3389/fmars.2020.626389/full</w:t>
      </w:r>
    </w:p>
    <w:p>
      <w:pPr>
        <w:pStyle w:val="Heading2"/>
      </w:pPr>
      <w:r>
        <w:t>Horizon scanning and sense-making (BEPA, 2012)</w:t>
      </w:r>
    </w:p>
    <w:p>
      <w:r>
        <w:t>Research source trail (starting point): https://srv-clst-301-data66.zhaw.ch/bitstream/11475/8386/1/scs021.pdf</w:t>
      </w:r>
    </w:p>
    <w:p>
      <w:pPr>
        <w:pStyle w:val="Heading2"/>
      </w:pPr>
      <w:r>
        <w:t>Eurozone scenarios (2012)</w:t>
      </w:r>
    </w:p>
    <w:p>
      <w:r>
        <w:t>Research source trail (starting point): https://link.springer.com/article/10.1007/s12290-012-0210-x</w:t>
      </w:r>
    </w:p>
    <w:p>
      <w:pPr>
        <w:pStyle w:val="Heading2"/>
      </w:pPr>
      <w:r>
        <w:t>Depressed English region and education (2011)</w:t>
      </w:r>
    </w:p>
    <w:p>
      <w:r>
        <w:t>Research source trail (starting point): https://emeraldinsight.com/insight/content/doi/10.1108/14636681111179564/full/html</w:t>
      </w:r>
    </w:p>
    <w:p>
      <w:pPr>
        <w:pStyle w:val="Heading2"/>
      </w:pPr>
      <w:r>
        <w:t>Projected ozone exposure in Europe by 2030 (2012)</w:t>
      </w:r>
    </w:p>
    <w:p>
      <w:r>
        <w:t>Research source trail (starting point): https://acp.copernicus.org/articles/12/10613/2012/</w:t>
      </w:r>
    </w:p>
    <w:p>
      <w:pPr>
        <w:pStyle w:val="Heading2"/>
      </w:pPr>
      <w:r>
        <w:t>EU Decarbonisation Roadmap 2050 (2013)</w:t>
      </w:r>
    </w:p>
    <w:p>
      <w:r>
        <w:t>Research source trail (starting point): https://www.eea.europa.eu/en/analysis/indicators/total-greenhouse-gas-emission-trends/</w:t>
      </w:r>
    </w:p>
    <w:p>
      <w:pPr>
        <w:pStyle w:val="Heading2"/>
      </w:pPr>
      <w:r>
        <w:t>UK bioenergy sustainability constraints (2012)</w:t>
      </w:r>
    </w:p>
    <w:p>
      <w:r>
        <w:t>Research source trail (starting point): https://assets.publishing.service.gov.uk/media/64dc8d3960d123000d32c602/biomass-strategy-2023.pdf</w:t>
      </w:r>
    </w:p>
    <w:p>
      <w:pPr>
        <w:pStyle w:val="Heading2"/>
      </w:pPr>
      <w:r>
        <w:t>Climate change and power-sector water use (2012)</w:t>
      </w:r>
    </w:p>
    <w:p>
      <w:r>
        <w:t>Research source trail (starting point): https://www.eea.europa.eu/en/analysis/indicators/water-abstraction-by-source-and</w:t>
      </w:r>
    </w:p>
    <w:p>
      <w:pPr>
        <w:pStyle w:val="Heading2"/>
      </w:pPr>
      <w:r>
        <w:t>Integrating foresight into government (2011)</w:t>
      </w:r>
    </w:p>
    <w:p>
      <w:r>
        <w:t>Research source trail (starting point): https://repository.sciensano.be/items/05e935a0-5ffe-42e6-ad74-29f14e86877f</w:t>
      </w:r>
    </w:p>
    <w:p>
      <w:pPr>
        <w:pStyle w:val="Heading2"/>
      </w:pPr>
      <w:r>
        <w:t>Climate change and ozone-related mortality in Europe (2012)</w:t>
      </w:r>
    </w:p>
    <w:p>
      <w:r>
        <w:t>Research source trail (starting point): https://www.ebi.ac.uk/europepmc/webservices/rest/search?query=DOI:10.1183/09031936.00210411&amp;resultType=core&amp;format=json</w:t>
      </w:r>
    </w:p>
    <w:p>
      <w:pPr>
        <w:pStyle w:val="Heading2"/>
      </w:pPr>
      <w:r>
        <w:t>NT for Podlaskie 2020 (2013)</w:t>
      </w:r>
    </w:p>
    <w:p>
      <w:r>
        <w:t>Earlier perspective. - What the study claimed (publisher page blocked: doi.org and ijiet.org not on the allowlist. I read the ResearchGate record, which gives the abstract and the text extracted from it): Ejdys &amp; Glinska, IJIET 3(3):337–342 (2013). The paper presents a method for picking priority nanotechnology research lines at regional level, using the NT FOR Podlaskie 2020 foresight project (2009–2013, horizon 2020, funded by the EU Innovative Economy OP). It names priority lines. Basic research: magnetic nanoparticles for separation, nanostructured materials for regenerative medicine, micro-biocides and fungicides, antibacterial nanotechnology, smart-material implants. Applied research: implant nanomodification, resorbable implants, scaffolds for tissue and bone regeneration. It makes no quantitative forecast. It contains a normative recommendation that r</w:t>
      </w:r>
    </w:p>
    <w:p>
      <w:r>
        <w:t>Developments and interpretation. - Inference: The study is a priority-setting method paper with a normative regional recommendation, not a forecast. "Open" is a defensible status. But the account's two supporting claims are half right: the 2015 link holds and the 2016 link does not. Its "nothing shows" sentence ignores direct same-group evidence that the region's smart-specialisation choice bypassed the project.</w:t>
      </w:r>
    </w:p>
    <w:p>
      <w:r>
        <w:t>Research source trail (starting point): https://www.researchgate.net/publication/290465496</w:t>
      </w:r>
    </w:p>
    <w:p>
      <w:pPr>
        <w:pStyle w:val="Heading2"/>
      </w:pPr>
      <w:r>
        <w:t>New emerging issues and wild cards (2012)</w:t>
      </w:r>
    </w:p>
    <w:p>
      <w:r>
        <w:t>Earlier perspective. - What the study claimed (abstract and journal metadata only; the PDF viewer page returned no text): Victor van Rij (Advisory Council for Science and Technology Policy, NL), "New Emerging Issues and Wild Cards as Future Shakers and Shapers", Foresight-Russia 6(1):60–73, 2012, CC BY. It reviews two EU projects from 2007–2010, SESTI and FAR Horizon, on horizon-scanning methods and how to link scanning to policy. It treats emerging issues and wild cards as future narratives. Policymakers take these up when they fit an existing strategy. Their persuasive force depends more on the messenger's authority, audience interests, emotional appeal and historical context than on evidence. The paper concludes that imagined wild cards can shape the dominant view of the future. This is an argument plus a method framing, not a forecast, and it says nothing</w:t>
      </w:r>
    </w:p>
    <w:p>
      <w:r>
        <w:t>Developments and interpretation. - Inference: The account scores the paper as if it had predicted that wild-card or scanning methods would spread. It made no such prediction. Its testable claim is that persuasive future narratives, including imagined wild cards, shape policy agendas. The account offers no evidence for or against that. Its uptake evidence is also weaker than stated, since the source stresses rarity. "Partly" therefore lacks a basis.</w:t>
      </w:r>
    </w:p>
    <w:p>
      <w:r>
        <w:t>Research source trail (starting point): https://foresight-journal.hse.ru/article/view/19675</w:t>
      </w:r>
    </w:p>
    <w:p>
      <w:pPr>
        <w:pStyle w:val="Heading2"/>
      </w:pPr>
      <w:r>
        <w:t>Organic food demand (2011)</w:t>
      </w:r>
    </w:p>
    <w:p>
      <w:r>
        <w:t xml:space="preserve">Earlier perspective. - What the study claimed (abstract only, through the KU Pure record; the publisher page was not tried because doi.org is blocked): O'Doherty Jensen, Denver &amp; Zanoli, NJAS Wageningen J. Life Sci. 58(3–4):79–84 (2011). It studies Denmark, Italy and the UK, using household panel data, consumer life stories and expert-led scenario analysis. Rising national demand hides large and fluctuating differences between households. Stated intentions did not turn into purchases. Availability limits regular buyers, while low knowledge and trust limit occasional buyers. The future claim is that the likely scenario is continued stable expansion, not rapid growth. That expansion depends on four conditions: input costs, the organic–conventional price gap, wider distribution, and public support for research and conversion. So it is a conditional, qualitative </w:t>
      </w:r>
    </w:p>
    <w:p>
      <w:r>
        <w:t>Developments and interpretation. - Inference: Moderate, stable expansion, briefly interrupted in 2022 and resumed in 2023, matches the paper's "stable expansion, not rapid" scenario well. Two caveats: the evidence is Europe-wide, while the paper studied three countries, and the series is nominal.</w:t>
      </w:r>
    </w:p>
    <w:p>
      <w:r>
        <w:t>Research source trail (starting point): https://test01.ku.dk/:obvius/pureproxy/3974268/en/publications/actual-and-potential-development-of-consumer-demand-on-the-organi</w:t>
      </w:r>
    </w:p>
    <w:p>
      <w:pPr>
        <w:pStyle w:val="Heading2"/>
      </w:pPr>
      <w:r>
        <w:t>Operational earthquake forecasting (2011)</w:t>
      </w:r>
    </w:p>
    <w:p>
      <w:r>
        <w:t>Earlier perspective. - What the study claimed (full text read through a mirrored PDF, the first ~100k of ~105k characters, missing only the end notes): Jordan et al. (ICEF, chair T. H. Jordan), Annals of Geophysics 54(4), 2011, DOI 10.4401/ag-5350. It is a state-of-knowledge review plus recommendations to Italy's Civil Protection (DPC). It explicitly makes no forecast that OEF would be implemented. It finds that no deterministic prediction scheme is qualified for operational use and that probabilistic forecasting is improving. Its recommendations:   - open, authoritative, timely public information on short-term probabilities;   - operationally qualified, regularly updated forecasting systems;   - retrospective and continuous prospective testing;</w:t>
      </w:r>
    </w:p>
    <w:p>
      <w:r>
        <w:t>Developments and interpretation. - Inference: The facts are right, but "Held" misframes a recommendations document as a prediction. Implementation is partial: the forecasting system, continuous updates and prospective testing exist, while public dissemination does not.</w:t>
      </w:r>
    </w:p>
    <w:p>
      <w:r>
        <w:t>Research source trail (starting point): https://biotech.law.lsu.edu/blog/5350-7957-1-PB.pdf</w:t>
      </w:r>
    </w:p>
    <w:p>
      <w:pPr>
        <w:pStyle w:val="Heading2"/>
      </w:pPr>
      <w:r>
        <w:t>Climatic suitability of Europe for the Asian tiger mosquito (2012)</w:t>
      </w:r>
    </w:p>
    <w:p>
      <w:r>
        <w:t>Earlier perspective. - What the study claimed (full text read, Liverpool repository PDF; PMC was blocked by a reCAPTCHA): Caminade et al. 2012, J. R. Soc. Interface, DOI 10.1098/rsif.2012.0138. It uses three climatic-suitability models, after Kobayashi, after ECDC (multi-criteria) and after Medlock (seasonal activity), run on ten RCMs under SRES A1B for 2030–2050 against 1990–2009. Model by model, it projects:   - increases in the southern UK, Benelux, western Germany and the Balkans (Slovenia, Croatia, Bosnia), plus northern Switzerland in Model 1 and northern France in Model 2;   - decreases in southern Spain, southern Portugal and Sardinia in Model 1, and a slight Mediterranean decrease in Model 2 that is statistically significant over southern Spain (beyond twice the ensemble spread).</w:t>
      </w:r>
    </w:p>
    <w:p>
      <w:r>
        <w:t>Developments and interpretation. - Inference: The account is careful. It treats "risk" as conditional suitability and keeps the southern decline open, which is right because the 2030–2050 window has not arrived. Its northern and eastern claim holds for Europe as a whole, but two of the named northern hotspots (the Netherlands and the southern UK) still have no established populations, and Benelux and western Germany are only partly covered. It also leaves out that the paper had already found a recent suitability decline in southern Spain (1990–2009). Southern establishment has nonetheless kept spreading, which bears on whether that trend matters for distribution.</w:t>
      </w:r>
    </w:p>
    <w:p>
      <w:r>
        <w:t>Research source trail (starting point): https://livrepository.liverpool.ac.uk/3000269/1/Suitability%20of%20European%20climate%20for%20the%20Asian%20tiger%20mosquito%20Aedes%20albopictus%3A%20recent%20trends%20and%20future%20scenarios.pdf</w:t>
      </w:r>
    </w:p>
    <w:sectPr w:rsidR="00FC693F" w:rsidRPr="0006063C" w:rsidSect="00034616">
      <w:headerReference w:type="default" r:id="rId9"/>
      <w:pgSz w:w="12240" w:h="15840"/>
      <w:pgMar w:top="1123"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VV FUTURES  /  EUROPEAN FORESIGHT OBSERVATORY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65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6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365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