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EU R&amp;I in Geopolitical Context — Relevant papers, round XIV</w:t>
      </w:r>
    </w:p>
    <w:p>
      <w:pPr>
        <w:spacing w:after="200"/>
      </w:pPr>
      <w:r>
        <w:rPr>
          <w:i/>
          <w:iCs/>
          <w:sz w:val="20"/>
          <w:szCs w:val="20"/>
        </w:rPr>
        <w:t xml:space="preserve">The 17 papers from round XIV: citation, link, and what each says. Grouped by the Sovereignty Frontier rows: Knowledge &amp; people; Infrastructure &amp; inputs; Conversion; Rules &amp; institutions; plus weak signals. Excludes the original Key Papers list. Items possibly outside the 25 April – 25 August window are marked. Compiled 25 August 2026.</w:t>
      </w:r>
    </w:p>
    <w:p>
      <w:pPr>
        <w:pStyle w:val="Heading1"/>
        <w:spacing w:after="120" w:before="300"/>
      </w:pPr>
      <w:r>
        <w:t xml:space="preserve">Knowledge &amp; people</w:t>
      </w:r>
    </w:p>
    <w:p>
      <w:pPr>
        <w:spacing w:after="30" w:before="130"/>
      </w:pPr>
      <w:r>
        <w:rPr>
          <w:b/>
          <w:bCs/>
          <w:sz w:val="20"/>
          <w:szCs w:val="20"/>
        </w:rPr>
        <w:t xml:space="preserve">K42  </w:t>
      </w:r>
      <w:r>
        <w:rPr>
          <w:sz w:val="20"/>
          <w:szCs w:val="20"/>
        </w:rPr>
        <w:t xml:space="preserve">Minerva (1 July 2026). Academic Craftsmanship: Reclaiming Values, Practices, and Sovereignty in the University.</w:t>
      </w:r>
    </w:p>
    <w:p>
      <w:pPr>
        <w:spacing w:after="30"/>
      </w:pPr>
      <w:hyperlink w:history="1" r:id="rId9qwrmmp8so8dgoblk8ys4">
        <w:r>
          <w:rPr>
            <w:rStyle w:val="Hyperlink"/>
            <w:sz w:val="17"/>
            <w:szCs w:val="17"/>
          </w:rPr>
          <w:t xml:space="preserve">https://doi.org/10.1007/s11024-026-09654-x</w:t>
        </w:r>
      </w:hyperlink>
    </w:p>
    <w:p>
      <w:pPr>
        <w:spacing w:after="100"/>
      </w:pPr>
      <w:r>
        <w:rPr>
          <w:sz w:val="19"/>
          <w:szCs w:val="19"/>
        </w:rPr>
        <w:t xml:space="preserve">Argues for reclaiming academic sovereignty — over values and practices — inside the university, against managerial and geopolitical capture. The K row's internal counterpart to the external sovereignty debate: what the securitisation described in R16 and K19 costs the institution from within.</w:t>
      </w:r>
    </w:p>
    <w:p>
      <w:pPr>
        <w:spacing w:after="30" w:before="130"/>
      </w:pPr>
      <w:r>
        <w:rPr>
          <w:b/>
          <w:bCs/>
          <w:sz w:val="20"/>
          <w:szCs w:val="20"/>
        </w:rPr>
        <w:t xml:space="preserve">K43  </w:t>
      </w:r>
      <w:r>
        <w:rPr>
          <w:sz w:val="20"/>
          <w:szCs w:val="20"/>
        </w:rPr>
        <w:t xml:space="preserve">Scientometrics (25 May 2026). Beyond openness: inclusiveness and usability of Chinese scholarly data in OpenAlex.</w:t>
      </w:r>
    </w:p>
    <w:p>
      <w:pPr>
        <w:spacing w:after="30"/>
      </w:pPr>
      <w:hyperlink w:history="1" r:id="rIdjudituvzqhnukqpfeytw6">
        <w:r>
          <w:rPr>
            <w:rStyle w:val="Hyperlink"/>
            <w:sz w:val="17"/>
            <w:szCs w:val="17"/>
          </w:rPr>
          <w:t xml:space="preserve">https://doi.org/10.1007/s11192-026-05664-4</w:t>
        </w:r>
      </w:hyperlink>
    </w:p>
    <w:p>
      <w:pPr>
        <w:spacing w:after="100"/>
      </w:pPr>
      <w:r>
        <w:rPr>
          <w:sz w:val="19"/>
          <w:szCs w:val="19"/>
        </w:rPr>
        <w:t xml:space="preserve">Assesses how well the open bibliometric infrastructure the West increasingly relies on (OpenAlex) covers Chinese scholarship. Matters for the grid twice over: every K-row measurement in these lists (K8, K12, K13, K21–K23) runs through databases whose coverage of China is uneven; and bibliometric infrastructure is itself an I-row dependency — Scopus and Web of Science are commercial, OpenAlex is US-based, and the EU's monitoring of its own research system runs on all three.</w:t>
      </w:r>
    </w:p>
    <w:p>
      <w:pPr>
        <w:spacing w:after="30" w:before="130"/>
      </w:pPr>
      <w:r>
        <w:rPr>
          <w:b/>
          <w:bCs/>
          <w:sz w:val="20"/>
          <w:szCs w:val="20"/>
        </w:rPr>
        <w:t xml:space="preserve">K44  </w:t>
      </w:r>
      <w:r>
        <w:rPr>
          <w:sz w:val="20"/>
          <w:szCs w:val="20"/>
        </w:rPr>
        <w:t xml:space="preserve">Higher Education (13 August 2026). Outsiders within: exploring integration strategies of international faculty in Chinese higher education institutions. And: Higher Education (18 August 2026), Network embeddedness of knowledge creation among international migrant academics in China's Sino-Foreign Cooperative Universities.</w:t>
      </w:r>
    </w:p>
    <w:p>
      <w:pPr>
        <w:spacing w:after="30"/>
      </w:pPr>
      <w:hyperlink w:history="1" r:id="rIdnciplsoxdctrvuouhj8td">
        <w:r>
          <w:rPr>
            <w:rStyle w:val="Hyperlink"/>
            <w:sz w:val="17"/>
            <w:szCs w:val="17"/>
          </w:rPr>
          <w:t xml:space="preserve">https://doi.org/10.1007/s10734-026-01724-z</w:t>
        </w:r>
      </w:hyperlink>
    </w:p>
    <w:p>
      <w:pPr>
        <w:spacing w:after="100"/>
      </w:pPr>
      <w:r>
        <w:rPr>
          <w:sz w:val="19"/>
          <w:szCs w:val="19"/>
        </w:rPr>
        <w:t xml:space="preserve">The lived-experience evidence behind K17 and K18: how international academics actually integrate, or fail to, inside Chinese universities and Sino-foreign joint ventures. If China is becoming a destination for internationally mobile researchers, the retention question is the one these papers answer.</w:t>
      </w:r>
    </w:p>
    <w:p>
      <w:pPr>
        <w:pStyle w:val="Heading1"/>
        <w:spacing w:after="120" w:before="300"/>
      </w:pPr>
      <w:r>
        <w:t xml:space="preserve">Infrastructure &amp; inputs</w:t>
      </w:r>
    </w:p>
    <w:p>
      <w:pPr>
        <w:spacing w:after="30" w:before="130"/>
      </w:pPr>
      <w:r>
        <w:rPr>
          <w:b/>
          <w:bCs/>
          <w:sz w:val="20"/>
          <w:szCs w:val="20"/>
        </w:rPr>
        <w:t xml:space="preserve">I58  </w:t>
      </w:r>
      <w:r>
        <w:rPr>
          <w:sz w:val="20"/>
          <w:szCs w:val="20"/>
        </w:rPr>
        <w:t xml:space="preserve">International Affairs 102(4) (8 July 2026). Mining is dead. Long live geopolitical mining: why critical minerals and strategic power will define the next global order.</w:t>
      </w:r>
    </w:p>
    <w:p>
      <w:pPr>
        <w:spacing w:after="30"/>
      </w:pPr>
      <w:hyperlink w:history="1" r:id="rIdon8qxe7jvyjupyhgo0x5a">
        <w:r>
          <w:rPr>
            <w:rStyle w:val="Hyperlink"/>
            <w:sz w:val="17"/>
            <w:szCs w:val="17"/>
          </w:rPr>
          <w:t xml:space="preserve">https://doi.org/10.1093/ia/iiag102</w:t>
        </w:r>
      </w:hyperlink>
    </w:p>
    <w:p>
      <w:pPr>
        <w:spacing w:after="100"/>
      </w:pPr>
      <w:r>
        <w:rPr>
          <w:sz w:val="19"/>
          <w:szCs w:val="19"/>
        </w:rPr>
        <w:t xml:space="preserve">The international-relations statement of the minerals turn, in the field's flagship journal, published two weeks before the July MOFCOM listings (W1). Reads mining as strategic power rather than commodity supply — which is the premise the I-row's D column has been operating on since W2, here given its theoretical grounding.</w:t>
      </w:r>
    </w:p>
    <w:p>
      <w:pPr>
        <w:spacing w:after="30" w:before="130"/>
      </w:pPr>
      <w:r>
        <w:rPr>
          <w:b/>
          <w:bCs/>
          <w:sz w:val="20"/>
          <w:szCs w:val="20"/>
        </w:rPr>
        <w:t xml:space="preserve">I59  </w:t>
      </w:r>
      <w:r>
        <w:rPr>
          <w:sz w:val="20"/>
          <w:szCs w:val="20"/>
        </w:rPr>
        <w:t xml:space="preserve">Telecommunications Policy 50 (2026). Engineering the digital technology sphere: China's new technology diplomacy and telecom ecosystem niche construction. And: Assessing the 6G readiness across the European Union: a multi-criteria decision-making approach under incomplete information (art. 103250).</w:t>
      </w:r>
    </w:p>
    <w:p>
      <w:pPr>
        <w:spacing w:after="30"/>
      </w:pPr>
      <w:hyperlink w:history="1" r:id="rIdwoeancmxkmtmuktmfduob">
        <w:r>
          <w:rPr>
            <w:rStyle w:val="Hyperlink"/>
            <w:sz w:val="17"/>
            <w:szCs w:val="17"/>
          </w:rPr>
          <w:t xml:space="preserve">https://doi.org/10.1016/j.telpol.2026.103243</w:t>
        </w:r>
      </w:hyperlink>
    </w:p>
    <w:p>
      <w:pPr>
        <w:spacing w:after="100"/>
      </w:pPr>
      <w:r>
        <w:rPr>
          <w:sz w:val="19"/>
          <w:szCs w:val="19"/>
        </w:rPr>
        <w:t xml:space="preserve">The first maps how China builds telecom ecosystem niches abroad through technology diplomacy — the rival's version of the science-diplomacy instrument in R1. The second scores Member State 6G readiness, which is where I19's finding (Europe's SEP advantage decays across generations, and it sits in Helsinki and Stockholm) gets tested next: whether the 6G cycle keeps the standards asset in the Nordics.</w:t>
      </w:r>
    </w:p>
    <w:p>
      <w:pPr>
        <w:spacing w:after="30" w:before="130"/>
      </w:pPr>
      <w:r>
        <w:rPr>
          <w:b/>
          <w:bCs/>
          <w:sz w:val="20"/>
          <w:szCs w:val="20"/>
        </w:rPr>
        <w:t xml:space="preserve">I60  </w:t>
      </w:r>
      <w:r>
        <w:rPr>
          <w:sz w:val="20"/>
          <w:szCs w:val="20"/>
        </w:rPr>
        <w:t xml:space="preserve">Space Policy (2026). Recommendations for remaining competitive in the face of pandemics and climate change for the European space sector (art. 101783). And: The EU's dual policy dilemma: orbital sustainability and digital autonomy policies intertwined (art. 101731).</w:t>
      </w:r>
    </w:p>
    <w:p>
      <w:pPr>
        <w:spacing w:after="30"/>
      </w:pPr>
      <w:hyperlink w:history="1" r:id="rIdxkal9az2aunnke_vko8bs">
        <w:r>
          <w:rPr>
            <w:rStyle w:val="Hyperlink"/>
            <w:sz w:val="17"/>
            <w:szCs w:val="17"/>
          </w:rPr>
          <w:t xml:space="preserve">https://doi.org/10.1016/j.spacepol.2026.101783</w:t>
        </w:r>
      </w:hyperlink>
    </w:p>
    <w:p>
      <w:pPr>
        <w:spacing w:after="100"/>
      </w:pPr>
      <w:r>
        <w:rPr>
          <w:sz w:val="19"/>
          <w:szCs w:val="19"/>
        </w:rPr>
        <w:t xml:space="preserve">The space-policy journal's in-window pair on the sector I34 and I35 legislate for: competitiveness recommendations for European space, and the finding that the EU's sustainability and autonomy objectives for orbit pull against each other — the same B-column internal tension the Space Act progress report (I35) records politically.</w:t>
      </w:r>
    </w:p>
    <w:p>
      <w:pPr>
        <w:pStyle w:val="Heading1"/>
        <w:spacing w:after="120" w:before="300"/>
      </w:pPr>
      <w:r>
        <w:t xml:space="preserve">Conversion</w:t>
      </w:r>
    </w:p>
    <w:p>
      <w:pPr>
        <w:spacing w:after="30" w:before="130"/>
      </w:pPr>
      <w:r>
        <w:rPr>
          <w:b/>
          <w:bCs/>
          <w:sz w:val="20"/>
          <w:szCs w:val="20"/>
        </w:rPr>
        <w:t xml:space="preserve">C50  </w:t>
      </w:r>
      <w:r>
        <w:rPr>
          <w:sz w:val="20"/>
          <w:szCs w:val="20"/>
        </w:rPr>
        <w:t xml:space="preserve">Journal of International Economics 160 (2026). Europe falling behind: structural transformation and labor productivity growth differences between Europe and the U.S. (art. 104262). And: The US–China trade war creates jobs (elsewhere) (art. 104249).</w:t>
      </w:r>
    </w:p>
    <w:p>
      <w:pPr>
        <w:spacing w:after="30"/>
      </w:pPr>
      <w:hyperlink w:history="1" r:id="rIdtl9wb71yqzsey1rpv5n7n">
        <w:r>
          <w:rPr>
            <w:rStyle w:val="Hyperlink"/>
            <w:sz w:val="17"/>
            <w:szCs w:val="17"/>
          </w:rPr>
          <w:t xml:space="preserve">https://doi.org/10.1016/j.jinteco.2026.104262</w:t>
        </w:r>
      </w:hyperlink>
    </w:p>
    <w:p>
      <w:pPr>
        <w:spacing w:after="100"/>
      </w:pPr>
      <w:r>
        <w:rPr>
          <w:sz w:val="19"/>
          <w:szCs w:val="19"/>
        </w:rPr>
        <w:t xml:space="preserve">The first decomposes the Europe–US labour-productivity divergence through structural transformation — the macro floor under C46's USD 34 trillion valuation gap. The second measures where trade-war production actually went, which is the displacement evidence behind any C-D claim that European capacity loses to third countries, not only to the two principals.</w:t>
      </w:r>
    </w:p>
    <w:p>
      <w:pPr>
        <w:spacing w:after="30" w:before="130"/>
      </w:pPr>
      <w:r>
        <w:rPr>
          <w:b/>
          <w:bCs/>
          <w:sz w:val="20"/>
          <w:szCs w:val="20"/>
        </w:rPr>
        <w:t xml:space="preserve">C51  </w:t>
      </w:r>
      <w:r>
        <w:rPr>
          <w:sz w:val="20"/>
          <w:szCs w:val="20"/>
        </w:rPr>
        <w:t xml:space="preserve">Droff, J.; et al. (18 May 2026). Assessing the importance of the European armament sector: a multiregional approach. Defence and Peace Economics. With: The whole is not the sum of its parts: demand for defense spending in the EU and NATO (16 July 2026); and The effects of the 2024 U.S. presidential election and the 2025 Trump–Zelenskyy meeting on European defence stocks: an event study (30 April 2026).</w:t>
      </w:r>
    </w:p>
    <w:p>
      <w:pPr>
        <w:spacing w:after="30"/>
      </w:pPr>
      <w:hyperlink w:history="1" r:id="rIdggbjw1s8qvrrxfsqpdnly">
        <w:r>
          <w:rPr>
            <w:rStyle w:val="Hyperlink"/>
            <w:sz w:val="17"/>
            <w:szCs w:val="17"/>
          </w:rPr>
          <w:t xml:space="preserve">https://doi.org/10.1080/10242694.2026.2673058</w:t>
        </w:r>
      </w:hyperlink>
    </w:p>
    <w:p>
      <w:pPr>
        <w:spacing w:after="100"/>
      </w:pPr>
      <w:r>
        <w:rPr>
          <w:sz w:val="19"/>
          <w:szCs w:val="19"/>
        </w:rPr>
        <w:t xml:space="preserve">The defence-economics cluster around C17 (new defence firms): a multiregional input-output measurement of what the European armament sector is worth and where; econometric evidence that EU and NATO members free-ride on each other's spending (the R-D mechanism inside the defence surge); and an event study showing European defence valuations repricing on US political events — the market's version of W17's cap-table finding that the sector's capital is transatlantic.</w:t>
      </w:r>
    </w:p>
    <w:p>
      <w:pPr>
        <w:spacing w:after="30" w:before="130"/>
      </w:pPr>
      <w:r>
        <w:rPr>
          <w:b/>
          <w:bCs/>
          <w:sz w:val="20"/>
          <w:szCs w:val="20"/>
        </w:rPr>
        <w:t xml:space="preserve">C52  </w:t>
      </w:r>
      <w:r>
        <w:rPr>
          <w:sz w:val="20"/>
          <w:szCs w:val="20"/>
        </w:rPr>
        <w:t xml:space="preserve">Politics and Governance 14 (30 April 2026). Laggards or Mavericks? Czechia and Hungary's Divergent Responses to the EU's Changing Industrial Policy Regime.</w:t>
      </w:r>
    </w:p>
    <w:p>
      <w:pPr>
        <w:spacing w:after="30"/>
      </w:pPr>
      <w:hyperlink w:history="1" r:id="rIdyzlgr8slpya7w6y9wbzla">
        <w:r>
          <w:rPr>
            <w:rStyle w:val="Hyperlink"/>
            <w:sz w:val="17"/>
            <w:szCs w:val="17"/>
          </w:rPr>
          <w:t xml:space="preserve">https://doi.org/10.17645/pag.11379</w:t>
        </w:r>
      </w:hyperlink>
    </w:p>
    <w:p>
      <w:pPr>
        <w:spacing w:after="100"/>
      </w:pPr>
      <w:r>
        <w:rPr>
          <w:sz w:val="19"/>
          <w:szCs w:val="19"/>
        </w:rPr>
        <w:t xml:space="preserve">Two Central European states responding to the same EU industrial-policy turn in opposite ways. With C18 (IPCEI geography), C44 (EUROPEUM) and R57 below, the distributional-politics cluster: the C row's instruments are used unevenly, and the unevenness feeds the R row's budget conflict (W23).</w:t>
      </w:r>
    </w:p>
    <w:p>
      <w:pPr>
        <w:spacing w:after="30" w:before="130"/>
      </w:pPr>
      <w:r>
        <w:rPr>
          <w:b/>
          <w:bCs/>
          <w:sz w:val="20"/>
          <w:szCs w:val="20"/>
        </w:rPr>
        <w:t xml:space="preserve">C53  </w:t>
      </w:r>
      <w:r>
        <w:rPr>
          <w:sz w:val="20"/>
          <w:szCs w:val="20"/>
        </w:rPr>
        <w:t xml:space="preserve">Journal of European Integration (2 June 2026). Rearming Europe: a neoclassical realist analysis of national responses to the European Defence Industrial Strategy.</w:t>
      </w:r>
    </w:p>
    <w:p>
      <w:pPr>
        <w:spacing w:after="30"/>
      </w:pPr>
      <w:hyperlink w:history="1" r:id="rIdsn-iybdoyc--ajzheypoa">
        <w:r>
          <w:rPr>
            <w:rStyle w:val="Hyperlink"/>
            <w:sz w:val="17"/>
            <w:szCs w:val="17"/>
          </w:rPr>
          <w:t xml:space="preserve">https://doi.org/10.1080/07036337.2026.2683194</w:t>
        </w:r>
      </w:hyperlink>
    </w:p>
    <w:p>
      <w:pPr>
        <w:spacing w:after="100"/>
      </w:pPr>
      <w:r>
        <w:rPr>
          <w:sz w:val="19"/>
          <w:szCs w:val="19"/>
        </w:rPr>
        <w:t xml:space="preserve">Explains why Member States respond differently to EDIS through domestic-politics variables rather than threat perception. The theory for why the defence leg of the C row fragments nationally even under a common external shock — the same finding K7 reports for China policy, here for armament.</w:t>
      </w:r>
    </w:p>
    <w:p>
      <w:pPr>
        <w:pStyle w:val="Heading1"/>
        <w:spacing w:after="120" w:before="300"/>
      </w:pPr>
      <w:r>
        <w:t xml:space="preserve">Rules &amp; institutions</w:t>
      </w:r>
    </w:p>
    <w:p>
      <w:pPr>
        <w:spacing w:after="30" w:before="130"/>
      </w:pPr>
      <w:r>
        <w:rPr>
          <w:b/>
          <w:bCs/>
          <w:sz w:val="20"/>
          <w:szCs w:val="20"/>
        </w:rPr>
        <w:t xml:space="preserve">R56  </w:t>
      </w:r>
      <w:r>
        <w:rPr>
          <w:sz w:val="20"/>
          <w:szCs w:val="20"/>
        </w:rPr>
        <w:t xml:space="preserve">International Affairs 102(3) (11 May 2026). Damage limitation: how China and Russia try to mitigate Europe's geopolitical distancing.</w:t>
      </w:r>
    </w:p>
    <w:p>
      <w:pPr>
        <w:spacing w:after="30"/>
      </w:pPr>
      <w:hyperlink w:history="1" r:id="rId-tpsbnqfie3q6guhpoqcx">
        <w:r>
          <w:rPr>
            <w:rStyle w:val="Hyperlink"/>
            <w:sz w:val="17"/>
            <w:szCs w:val="17"/>
          </w:rPr>
          <w:t xml:space="preserve">https://doi.org/10.1093/ia/iiag044</w:t>
        </w:r>
      </w:hyperlink>
    </w:p>
    <w:p>
      <w:pPr>
        <w:spacing w:after="100"/>
      </w:pPr>
      <w:r>
        <w:rPr>
          <w:sz w:val="19"/>
          <w:szCs w:val="19"/>
        </w:rPr>
        <w:t xml:space="preserve">Reverses the usual direction of analysis: the strategies Beijing and Moscow use to slow Europe's distancing — including in science, technology and societal channels. The R row models EU choices; this models the counterparty's counter-moves, which any scenario built on your columns needs.</w:t>
      </w:r>
    </w:p>
    <w:p>
      <w:pPr>
        <w:spacing w:after="30" w:before="130"/>
      </w:pPr>
      <w:r>
        <w:rPr>
          <w:b/>
          <w:bCs/>
          <w:sz w:val="20"/>
          <w:szCs w:val="20"/>
        </w:rPr>
        <w:t xml:space="preserve">R57  </w:t>
      </w:r>
      <w:r>
        <w:rPr>
          <w:sz w:val="20"/>
          <w:szCs w:val="20"/>
        </w:rPr>
        <w:t xml:space="preserve">Review of International Political Economy (27 July 2026). The political economy of advanced semi-peripherality: East-Central Europe's (neo-)dependency in global comparative perspective.</w:t>
      </w:r>
    </w:p>
    <w:p>
      <w:pPr>
        <w:spacing w:after="30"/>
      </w:pPr>
      <w:hyperlink w:history="1" r:id="rIdlssrmga9b9f0n5yh58gdo">
        <w:r>
          <w:rPr>
            <w:rStyle w:val="Hyperlink"/>
            <w:sz w:val="17"/>
            <w:szCs w:val="17"/>
          </w:rPr>
          <w:t xml:space="preserve">https://doi.org/10.1080/09692290.2026.2704090</w:t>
        </w:r>
      </w:hyperlink>
    </w:p>
    <w:p>
      <w:pPr>
        <w:spacing w:after="100"/>
      </w:pPr>
      <w:r>
        <w:rPr>
          <w:sz w:val="19"/>
          <w:szCs w:val="19"/>
        </w:rPr>
        <w:t xml:space="preserve">East-Central Europe as an advanced semi-periphery: integrated into Western value chains at the dependent end. The structural version of the core-periphery findings in R19, C18 and I19 — and the reason the sovereignty agenda's benefits and the MFF's costs (W23) fall on different Member States.</w:t>
      </w:r>
    </w:p>
    <w:p>
      <w:pPr>
        <w:spacing w:after="30" w:before="130"/>
      </w:pPr>
      <w:r>
        <w:rPr>
          <w:b/>
          <w:bCs/>
          <w:sz w:val="20"/>
          <w:szCs w:val="20"/>
        </w:rPr>
        <w:t xml:space="preserve">R58  </w:t>
      </w:r>
      <w:r>
        <w:rPr>
          <w:sz w:val="20"/>
          <w:szCs w:val="20"/>
        </w:rPr>
        <w:t xml:space="preserve">Survival 68(3–4) (5 June and 24 July 2026). New Rules for a New World: How Europe Should Respond to an Illiberal Order; A European Way of War Without the United States; Europe's Strategic-imagination Deficit.</w:t>
      </w:r>
    </w:p>
    <w:p>
      <w:pPr>
        <w:spacing w:after="30"/>
      </w:pPr>
      <w:hyperlink w:history="1" r:id="rId22yrw7zlo-8plv12ezrnf">
        <w:r>
          <w:rPr>
            <w:rStyle w:val="Hyperlink"/>
            <w:sz w:val="17"/>
            <w:szCs w:val="17"/>
          </w:rPr>
          <w:t xml:space="preserve">https://doi.org/10.1080/00396338.2026.2678693</w:t>
        </w:r>
      </w:hyperlink>
    </w:p>
    <w:p>
      <w:pPr>
        <w:spacing w:after="100"/>
      </w:pPr>
      <w:r>
        <w:rPr>
          <w:sz w:val="19"/>
          <w:szCs w:val="19"/>
        </w:rPr>
        <w:t xml:space="preserve">The IISS triptych on Europe's position: whether to rebuild rules without the US (R-A at the multilateral scale, cf. R42), what autonomy in defence would actually require, and the diagnosis that Europe's constraint is imaginative rather than material. The last is a claim about your grid itself: that European actors cannot conceive the A column, which if true is a scenario-methodology finding, not a capability one.</w:t>
      </w:r>
    </w:p>
    <w:p>
      <w:pPr>
        <w:spacing w:after="30" w:before="130"/>
      </w:pPr>
      <w:r>
        <w:rPr>
          <w:b/>
          <w:bCs/>
          <w:sz w:val="20"/>
          <w:szCs w:val="20"/>
        </w:rPr>
        <w:t xml:space="preserve">R59  </w:t>
      </w:r>
      <w:r>
        <w:rPr>
          <w:sz w:val="20"/>
          <w:szCs w:val="20"/>
        </w:rPr>
        <w:t xml:space="preserve">Global Policy (19 August 2026). Risk Scenarios for European Rearmament. And: Global Policy 17(3) (17 June 2026), Fragmented Global AI Governance? Chinese AI Standards and Governance Exports.</w:t>
      </w:r>
    </w:p>
    <w:p>
      <w:pPr>
        <w:spacing w:after="30"/>
      </w:pPr>
      <w:hyperlink w:history="1" r:id="rIdpxuhga4_pld3ilhywaoft">
        <w:r>
          <w:rPr>
            <w:rStyle w:val="Hyperlink"/>
            <w:sz w:val="17"/>
            <w:szCs w:val="17"/>
          </w:rPr>
          <w:t xml:space="preserve">https://doi.org/10.1111/1758-5899.70216</w:t>
        </w:r>
      </w:hyperlink>
    </w:p>
    <w:p>
      <w:pPr>
        <w:spacing w:after="100"/>
      </w:pPr>
      <w:r>
        <w:rPr>
          <w:sz w:val="19"/>
          <w:szCs w:val="19"/>
        </w:rPr>
        <w:t xml:space="preserve">The first builds explicit risk scenarios for the rearmament effort the C row's defence items depend on — a peer-reviewed scenario exercise over your window, comparable in method to R38. The second maps China's export of AI standards and governance models, the R-C mechanism from the supplier side (pairs with I59 and I26).</w:t>
      </w:r>
    </w:p>
    <w:p>
      <w:pPr>
        <w:spacing w:after="30" w:before="130"/>
      </w:pPr>
      <w:r>
        <w:rPr>
          <w:b/>
          <w:bCs/>
          <w:sz w:val="20"/>
          <w:szCs w:val="20"/>
        </w:rPr>
        <w:t xml:space="preserve">R60  </w:t>
      </w:r>
      <w:r>
        <w:rPr>
          <w:sz w:val="20"/>
          <w:szCs w:val="20"/>
        </w:rPr>
        <w:t xml:space="preserve">JCMS (20 July 2026). From Policy Integration to Intra-institutional Politicisation in the European Commission: Insights From the Global Gateway.</w:t>
      </w:r>
    </w:p>
    <w:p>
      <w:pPr>
        <w:spacing w:after="30"/>
      </w:pPr>
      <w:hyperlink w:history="1" r:id="rIdmsr0p6zcre0je7g7s0h3u">
        <w:r>
          <w:rPr>
            <w:rStyle w:val="Hyperlink"/>
            <w:sz w:val="17"/>
            <w:szCs w:val="17"/>
          </w:rPr>
          <w:t xml:space="preserve">https://doi.org/10.1111/jcms.70145</w:t>
        </w:r>
      </w:hyperlink>
    </w:p>
    <w:p>
      <w:pPr>
        <w:spacing w:after="100"/>
      </w:pPr>
      <w:r>
        <w:rPr>
          <w:sz w:val="19"/>
          <w:szCs w:val="19"/>
        </w:rPr>
        <w:t xml:space="preserve">Inside view of how the Commission's flagship external investment instrument became internally politicised. Global Gateway is the vehicle for the external leg of the I and K rows (infrastructure partnerships, talent and research links with third countries); this is the evidence on whether the machine that runs it can decide.</w:t>
      </w:r>
    </w:p>
    <w:p>
      <w:pPr>
        <w:spacing w:after="30" w:before="130"/>
      </w:pPr>
      <w:r>
        <w:rPr>
          <w:b/>
          <w:bCs/>
          <w:sz w:val="20"/>
          <w:szCs w:val="20"/>
        </w:rPr>
        <w:t xml:space="preserve">R61  </w:t>
      </w:r>
      <w:r>
        <w:rPr>
          <w:sz w:val="20"/>
          <w:szCs w:val="20"/>
        </w:rPr>
        <w:t xml:space="preserve">JEPP (10 July 2026). The European Council's playbooks for dealing with major challenges.</w:t>
      </w:r>
    </w:p>
    <w:p>
      <w:pPr>
        <w:spacing w:after="30"/>
      </w:pPr>
      <w:hyperlink w:history="1" r:id="rIdqx_wcdh0viagfdi11coev">
        <w:r>
          <w:rPr>
            <w:rStyle w:val="Hyperlink"/>
            <w:sz w:val="17"/>
            <w:szCs w:val="17"/>
          </w:rPr>
          <w:t xml:space="preserve">https://doi.org/10.1080/13501763.2026.2699315</w:t>
        </w:r>
      </w:hyperlink>
    </w:p>
    <w:p>
      <w:pPr>
        <w:spacing w:after="100"/>
      </w:pPr>
      <w:r>
        <w:rPr>
          <w:sz w:val="19"/>
          <w:szCs w:val="19"/>
        </w:rPr>
        <w:t xml:space="preserve">Typology of how the European Council actually handles major challenges — the decision-speed evidence base for the R-D cell at the level where W23 (the MFF) will be settled. Complements R17 (competence limits) with process limits.</w:t>
      </w:r>
    </w:p>
    <w:p>
      <w:pPr>
        <w:pStyle w:val="Heading1"/>
        <w:spacing w:after="120" w:before="300"/>
      </w:pPr>
      <w:r>
        <w:t xml:space="preserve">Weak signals</w:t>
      </w:r>
    </w:p>
    <w:p>
      <w:pPr>
        <w:spacing w:after="30" w:before="130"/>
      </w:pPr>
      <w:r>
        <w:rPr>
          <w:b/>
          <w:bCs/>
          <w:sz w:val="20"/>
          <w:szCs w:val="20"/>
        </w:rPr>
        <w:t xml:space="preserve">W25  </w:t>
      </w:r>
      <w:r>
        <w:rPr>
          <w:sz w:val="20"/>
          <w:szCs w:val="20"/>
        </w:rPr>
        <w:t xml:space="preserve">European Security (28 April 2026). Russia's low-level agents: characteristics, roles and organisational structure of covert operatives in Europe, 2022–2025.  [check date vs window]</w:t>
      </w:r>
    </w:p>
    <w:p>
      <w:pPr>
        <w:spacing w:after="30"/>
      </w:pPr>
      <w:hyperlink w:history="1" r:id="rIdfi1o2t9he7vfpals5srj8">
        <w:r>
          <w:rPr>
            <w:rStyle w:val="Hyperlink"/>
            <w:sz w:val="17"/>
            <w:szCs w:val="17"/>
          </w:rPr>
          <w:t xml:space="preserve">https://doi.org/10.1080/09662839.2026.2659090</w:t>
        </w:r>
      </w:hyperlink>
    </w:p>
    <w:p>
      <w:pPr>
        <w:spacing w:after="100"/>
      </w:pPr>
      <w:r>
        <w:rPr>
          <w:sz w:val="19"/>
          <w:szCs w:val="19"/>
        </w:rPr>
        <w:t xml:space="preserve">Systematic profile of Russian covert operatives in Europe 2022–2025. Gives W15 and W16 (the Munich and SHAPE arrests) a measured base rate: recruitment of low-level, deniable agents — including around research and technology targets — is a documented pattern, not an anecdote, and the profile is not nationality-keyed. The empirical footing for the screening-design point made under W16.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qwrmmp8so8dgoblk8ys4" Type="http://schemas.openxmlformats.org/officeDocument/2006/relationships/hyperlink" Target="https://doi.org/10.1007/s11024-026-09654-x" TargetMode="External"/><Relationship Id="rIdjudituvzqhnukqpfeytw6" Type="http://schemas.openxmlformats.org/officeDocument/2006/relationships/hyperlink" Target="https://doi.org/10.1007/s11192-026-05664-4" TargetMode="External"/><Relationship Id="rIdnciplsoxdctrvuouhj8td" Type="http://schemas.openxmlformats.org/officeDocument/2006/relationships/hyperlink" Target="https://doi.org/10.1007/s10734-026-01724-z" TargetMode="External"/><Relationship Id="rIdon8qxe7jvyjupyhgo0x5a" Type="http://schemas.openxmlformats.org/officeDocument/2006/relationships/hyperlink" Target="https://doi.org/10.1093/ia/iiag102" TargetMode="External"/><Relationship Id="rIdwoeancmxkmtmuktmfduob" Type="http://schemas.openxmlformats.org/officeDocument/2006/relationships/hyperlink" Target="https://doi.org/10.1016/j.telpol.2026.103243" TargetMode="External"/><Relationship Id="rIdxkal9az2aunnke_vko8bs" Type="http://schemas.openxmlformats.org/officeDocument/2006/relationships/hyperlink" Target="https://doi.org/10.1016/j.spacepol.2026.101783" TargetMode="External"/><Relationship Id="rIdtl9wb71yqzsey1rpv5n7n" Type="http://schemas.openxmlformats.org/officeDocument/2006/relationships/hyperlink" Target="https://doi.org/10.1016/j.jinteco.2026.104262" TargetMode="External"/><Relationship Id="rIdggbjw1s8qvrrxfsqpdnly" Type="http://schemas.openxmlformats.org/officeDocument/2006/relationships/hyperlink" Target="https://doi.org/10.1080/10242694.2026.2673058" TargetMode="External"/><Relationship Id="rIdyzlgr8slpya7w6y9wbzla" Type="http://schemas.openxmlformats.org/officeDocument/2006/relationships/hyperlink" Target="https://doi.org/10.17645/pag.11379" TargetMode="External"/><Relationship Id="rIdsn-iybdoyc--ajzheypoa" Type="http://schemas.openxmlformats.org/officeDocument/2006/relationships/hyperlink" Target="https://doi.org/10.1080/07036337.2026.2683194" TargetMode="External"/><Relationship Id="rId-tpsbnqfie3q6guhpoqcx" Type="http://schemas.openxmlformats.org/officeDocument/2006/relationships/hyperlink" Target="https://doi.org/10.1093/ia/iiag044" TargetMode="External"/><Relationship Id="rIdlssrmga9b9f0n5yh58gdo" Type="http://schemas.openxmlformats.org/officeDocument/2006/relationships/hyperlink" Target="https://doi.org/10.1080/09692290.2026.2704090" TargetMode="External"/><Relationship Id="rId22yrw7zlo-8plv12ezrnf" Type="http://schemas.openxmlformats.org/officeDocument/2006/relationships/hyperlink" Target="https://doi.org/10.1080/00396338.2026.2678693" TargetMode="External"/><Relationship Id="rIdpxuhga4_pld3ilhywaoft" Type="http://schemas.openxmlformats.org/officeDocument/2006/relationships/hyperlink" Target="https://doi.org/10.1111/1758-5899.70216" TargetMode="External"/><Relationship Id="rIdmsr0p6zcre0je7g7s0h3u" Type="http://schemas.openxmlformats.org/officeDocument/2006/relationships/hyperlink" Target="https://doi.org/10.1111/jcms.70145" TargetMode="External"/><Relationship Id="rIdqx_wcdh0viagfdi11coev" Type="http://schemas.openxmlformats.org/officeDocument/2006/relationships/hyperlink" Target="https://doi.org/10.1080/13501763.2026.2699315" TargetMode="External"/><Relationship Id="rIdfi1o2t9he7vfpals5srj8" Type="http://schemas.openxmlformats.org/officeDocument/2006/relationships/hyperlink" Target="https://doi.org/10.1080/09662839.2026.2659090"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2026-08-29T21:56:42.934Z</dcterms:created>
  <dcterms:modified xsi:type="dcterms:W3CDTF">2026-08-29T21:56:42.935Z</dcterms:modified>
</cp:coreProperties>
</file>

<file path=docProps/custom.xml><?xml version="1.0" encoding="utf-8"?>
<Properties xmlns="http://schemas.openxmlformats.org/officeDocument/2006/custom-properties" xmlns:vt="http://schemas.openxmlformats.org/officeDocument/2006/docPropsVTypes"/>
</file>