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EU R&amp;I in Geopolitical Context — Additions III, May–August 2026</w:t>
      </w:r>
    </w:p>
    <w:p>
      <w:pPr>
        <w:spacing w:after="120"/>
      </w:pPr>
      <w:r>
        <w:rPr>
          <w:b w:val="false"/>
          <w:bCs w:val="false"/>
          <w:i/>
          <w:iCs/>
        </w:rPr>
        <w:t xml:space="preserve">Third supplement. Repeats nothing from the original list or Additions I–II. Numbering continues (K17–, I12–, C11–, R14–, W15–). Cell codes as before: row initial + column letter (K = Knowledge &amp; people; I = Infrastructure &amp; inputs; C = Conversion; R = Rules &amp; institutions; A Opening, B Costly autonomy, C Productive dependence, D Double loss). Compiled 25 August 2026.</w:t>
      </w:r>
    </w:p>
    <w:p>
      <w:pPr>
        <w:spacing w:after="120"/>
      </w:pPr>
      <w:r>
        <w:rPr>
          <w:b w:val="false"/>
          <w:bCs w:val="false"/>
          <w:i/>
          <w:iCs/>
        </w:rPr>
        <w:t xml:space="preserve">Targets this round: standards and export-control law (R), big-science facilities (I), biotech (C), CEPR/VoxEU and the defence-research institutes (IRIS, CSS, SIPRI), and K/C weak signals from espionage and defence-tech finance. Results in §6.</w:t>
      </w:r>
    </w:p>
    <w:p>
      <w:pPr>
        <w:pStyle w:val="Heading1"/>
        <w:spacing w:after="160" w:before="320"/>
      </w:pPr>
      <w:r>
        <w:t xml:space="preserve">1. Knowledge &amp; people</w:t>
      </w:r>
    </w:p>
    <w:p>
      <w:pPr>
        <w:spacing w:after="120"/>
      </w:pPr>
      <w:r>
        <w:rPr>
          <w:b w:val="false"/>
          <w:bCs w:val="false"/>
          <w:i/>
          <w:iCs/>
        </w:rPr>
        <w:t xml:space="preserve">No new academic or institutional item found this round beyond those already filed. The K-row material surfaced here is all weak-signal (W15, W16) and is filed in §5. See §6 on why.</w:t>
      </w:r>
    </w:p>
    <w:p>
      <w:pPr>
        <w:pStyle w:val="Heading1"/>
        <w:spacing w:after="160" w:before="320"/>
      </w:pPr>
      <w:r>
        <w:t xml:space="preserve">2. Infrastructure &amp; inputs</w:t>
      </w:r>
    </w:p>
    <w:p>
      <w:pPr>
        <w:spacing w:after="40" w:before="160"/>
      </w:pPr>
      <w:r>
        <w:rPr>
          <w:b/>
          <w:bCs/>
        </w:rPr>
        <w:t xml:space="preserve">I12  </w:t>
      </w:r>
      <w:r>
        <w:t xml:space="preserve">CERN Council (May 2026). Adoption of the European Strategy for Particle Physics 2026 update: FCC-ee named the preferred next flagship collider (c. USD 17–18 billion; Council decision expected 2028; operations from 2047). LHC shut down late June 2026 for the High-Luminosity upgrade. China’s CEPC excluded from the 15th Five-Year Plan; IHEP leadership states it will seek to join FCC if approved by 2029. Reported: Physics Today (18 June 2026); Physics World (January 2026); CERN Courier.</w:t>
      </w:r>
    </w:p>
    <w:p>
      <w:pPr>
        <w:spacing w:after="40"/>
      </w:pPr>
      <w:hyperlink w:history="1" r:id="rIdw0bjnrvgy-7cs4ubschiq">
        <w:r>
          <w:rPr>
            <w:rStyle w:val="Hyperlink"/>
            <w:sz w:val="18"/>
            <w:szCs w:val="18"/>
          </w:rPr>
          <w:t xml:space="preserve">https://physicstoday.aip.org/news/if-cern-can-come-up-with-the-requisite-billions-the-future-circular-collider-is-a-go</w:t>
        </w:r>
      </w:hyperlink>
    </w:p>
    <w:p>
      <w:pPr>
        <w:spacing w:after="40"/>
      </w:pPr>
      <w:r>
        <w:rPr>
          <w:sz w:val="19"/>
          <w:szCs w:val="19"/>
        </w:rPr>
        <w:t xml:space="preserve">Type 1 – Legislative &amp; institutional acts / positions. Cells: I-A (primary); R-A, K-C.</w:t>
      </w:r>
    </w:p>
    <w:p>
      <w:pPr>
        <w:spacing w:after="120"/>
      </w:pPr>
      <w:r>
        <w:rPr>
          <w:sz w:val="19"/>
          <w:szCs w:val="19"/>
        </w:rPr>
        <w:t xml:space="preserve">Flagged: cite the CERN Council resolution directly; Physics Today is the reporting source. The only in-window case where Europe holds an uncontested column-A position on the I row: the world’s next flagship instrument, with the rival deferred and the rival’s community asking to join on European terms. Also the cleanest R-A/K-C coupling in the set — the facility sets the rules of participation, and the participation is the borrowed-brains channel. The caveat the sources carry: the FCC is not yet funded; the USD 1 billion private contribution (January) and the 2028 decision point make this a conditional A.</w:t>
      </w:r>
    </w:p>
    <w:p>
      <w:pPr>
        <w:spacing w:after="40" w:before="160"/>
      </w:pPr>
      <w:r>
        <w:rPr>
          <w:b/>
          <w:bCs/>
        </w:rPr>
        <w:t xml:space="preserve">I13  </w:t>
      </w:r>
      <w:r>
        <w:t xml:space="preserve">Bellais, R.; Fiott, D. (3 June 2026). Security of Supply and Interdependency: A New Approach to Strategic Autonomy and Indispensability. IRIS (Institut de relations internationales et stratégiques), Paris.</w:t>
      </w:r>
    </w:p>
    <w:p>
      <w:pPr>
        <w:spacing w:after="40"/>
      </w:pPr>
      <w:hyperlink w:history="1" r:id="rIdfzhzm8-b07dxwly9snz0t">
        <w:r>
          <w:rPr>
            <w:rStyle w:val="Hyperlink"/>
            <w:sz w:val="18"/>
            <w:szCs w:val="18"/>
          </w:rPr>
          <w:t xml:space="preserve">https://www.europefocus.eu/eu-defence-series-europes-tech-challenge/</w:t>
        </w:r>
      </w:hyperlink>
    </w:p>
    <w:p>
      <w:pPr>
        <w:spacing w:after="40"/>
      </w:pPr>
      <w:r>
        <w:rPr>
          <w:sz w:val="19"/>
          <w:szCs w:val="19"/>
        </w:rPr>
        <w:t xml:space="preserve">Type 3 – Science-for-policy &amp; academic. Cells: I-A, C-B (primary); I-C.</w:t>
      </w:r>
    </w:p>
    <w:p>
      <w:pPr>
        <w:spacing w:after="120"/>
      </w:pPr>
      <w:r>
        <w:rPr>
          <w:sz w:val="19"/>
          <w:szCs w:val="19"/>
        </w:rPr>
        <w:t xml:space="preserve">Flagged: cited secondhand (Europe Focus, July 2026); locate the IRIS paper. Reframes strategic autonomy as indispensability inside interdependence rather than self-sufficiency — the same move as I2 (Poitiers &amp; Schenk) made from the defence-industrial side. Useful because it gives the I-A cell a defence-economics pedigree independent of the AI/chips literature, and because Fiott is the reference author on EU defence-industrial policy.</w:t>
      </w:r>
    </w:p>
    <w:p>
      <w:pPr>
        <w:pStyle w:val="Heading1"/>
        <w:spacing w:after="160" w:before="320"/>
      </w:pPr>
      <w:r>
        <w:t xml:space="preserve">3. Conversion</w:t>
      </w:r>
    </w:p>
    <w:p>
      <w:pPr>
        <w:spacing w:after="40" w:before="160"/>
      </w:pPr>
      <w:r>
        <w:rPr>
          <w:b/>
          <w:bCs/>
        </w:rPr>
        <w:t xml:space="preserve">C11  </w:t>
      </w:r>
      <w:r>
        <w:t xml:space="preserve">European Commission (26 May 2026). Commission Staff Working Document C(2026) 3375 final (Parts 1–2): impact assessment accompanying the European Biotech Act proposals (COM(2025) 1022, COM(2025) 1031 of 16 December 2025). Biotech Act II (industrial, agri-food, marine) expected autumn 2026.</w:t>
      </w:r>
    </w:p>
    <w:p>
      <w:pPr>
        <w:spacing w:after="40"/>
      </w:pPr>
      <w:hyperlink w:history="1" r:id="rIdgf55_ediipe-1ubdx0_id">
        <w:r>
          <w:rPr>
            <w:rStyle w:val="Hyperlink"/>
            <w:sz w:val="18"/>
            <w:szCs w:val="18"/>
          </w:rPr>
          <w:t xml:space="preserve">https://health.ec.europa.eu/document/download/48009973-efbb-4101-ae8f-e81a34764e39_en?filename=biotechnology_C2026-3375-1_en.pdf</w:t>
        </w:r>
      </w:hyperlink>
    </w:p>
    <w:p>
      <w:pPr>
        <w:spacing w:after="40"/>
      </w:pPr>
      <w:r>
        <w:rPr>
          <w:sz w:val="19"/>
          <w:szCs w:val="19"/>
        </w:rPr>
        <w:t xml:space="preserve">Type 1 – Legislative &amp; institutional acts / positions. Cells: C-C, C-A (primary); K-C.</w:t>
      </w:r>
    </w:p>
    <w:p>
      <w:pPr>
        <w:spacing w:after="120"/>
      </w:pPr>
      <w:r>
        <w:rPr>
          <w:sz w:val="19"/>
          <w:szCs w:val="19"/>
        </w:rPr>
        <w:t xml:space="preserve">The in-window document for the biotech leg of the C row. Its own problem definition is the C-C cell verbatim: strong EU position in fundamental biotech research, insufficient translation into marketable products and scalable manufacturing. Instruments proposed (clinical-trial acceleration, EU Health Biotechnology Investment Pilot with EIB, strategic-project status) are C-A attempts. Also carries a biosecurity/dual-use dimension worth checking against C4 and C5.</w:t>
      </w:r>
    </w:p>
    <w:p>
      <w:pPr>
        <w:spacing w:after="40" w:before="160"/>
      </w:pPr>
      <w:r>
        <w:rPr>
          <w:b/>
          <w:bCs/>
        </w:rPr>
        <w:t xml:space="preserve">C12  </w:t>
      </w:r>
      <w:r>
        <w:t xml:space="preserve">Baumann, U.; Cullen, Z.; Faia, E.; Ferrando, A.; Perez-Truglia, R.; Rariga, J. (11 July 2026). Innovation without borders. VoxEU/CEPR (ECB-based experiment on 3,316 euro-area firms plus firm survey).</w:t>
      </w:r>
    </w:p>
    <w:p>
      <w:pPr>
        <w:spacing w:after="40"/>
      </w:pPr>
      <w:hyperlink w:history="1" r:id="rIdlc-9no4tsowqm-uoi3xtt">
        <w:r>
          <w:rPr>
            <w:rStyle w:val="Hyperlink"/>
            <w:sz w:val="18"/>
            <w:szCs w:val="18"/>
          </w:rPr>
          <w:t xml:space="preserve">https://cepr.org/voxeu/columns/innovation-without-borders</w:t>
        </w:r>
      </w:hyperlink>
    </w:p>
    <w:p>
      <w:pPr>
        <w:spacing w:after="40"/>
      </w:pPr>
      <w:r>
        <w:rPr>
          <w:sz w:val="19"/>
          <w:szCs w:val="19"/>
        </w:rPr>
        <w:t xml:space="preserve">Type 3 – Science-for-policy &amp; academic. Cells: C-D, C-A (diffusion).</w:t>
      </w:r>
    </w:p>
    <w:p>
      <w:pPr>
        <w:spacing w:after="120"/>
      </w:pPr>
      <w:r>
        <w:rPr>
          <w:sz w:val="19"/>
          <w:szCs w:val="19"/>
        </w:rPr>
        <w:t xml:space="preserve">Finds firms’ AI adoption is driven by perceived competitive pressure rather than informational spillovers, and that firms systematically underestimate competitors’ AI investment, especially abroad. The C row has so far been about frontier firms and capital; this is the adoption side, and it implies a Hollowing-out mechanism that runs through information, not finance.</w:t>
      </w:r>
    </w:p>
    <w:p>
      <w:pPr>
        <w:spacing w:after="40" w:before="160"/>
      </w:pPr>
      <w:r>
        <w:rPr>
          <w:b/>
          <w:bCs/>
        </w:rPr>
        <w:t xml:space="preserve">C13  </w:t>
      </w:r>
      <w:r>
        <w:t xml:space="preserve">Perugini, M. (22 June 2026). Europe’s ungoverned space: Military AI and the autonomy that cannot be bought. VoxEU/CEPR, Europe 2050 initiative.</w:t>
      </w:r>
    </w:p>
    <w:p>
      <w:pPr>
        <w:spacing w:after="40"/>
      </w:pPr>
      <w:hyperlink w:history="1" r:id="rIdfirodsm5xao8v2cepinwm">
        <w:r>
          <w:rPr>
            <w:rStyle w:val="Hyperlink"/>
            <w:sz w:val="18"/>
            <w:szCs w:val="18"/>
          </w:rPr>
          <w:t xml:space="preserve">https://cepr.org/voxeu/columns/europes-ungoverned-space-military-ai-and-autonomy-cannot-be-bought</w:t>
        </w:r>
      </w:hyperlink>
    </w:p>
    <w:p>
      <w:pPr>
        <w:spacing w:after="40"/>
      </w:pPr>
      <w:r>
        <w:rPr>
          <w:sz w:val="19"/>
          <w:szCs w:val="19"/>
        </w:rPr>
        <w:t xml:space="preserve">Type 4 – Stakeholder positions &amp; expert analysis. Cells: C-D, R-C (primary); I-C.</w:t>
      </w:r>
    </w:p>
    <w:p>
      <w:pPr>
        <w:spacing w:after="120"/>
      </w:pPr>
      <w:r>
        <w:rPr>
          <w:sz w:val="19"/>
          <w:szCs w:val="19"/>
        </w:rPr>
        <w:t xml:space="preserve">Flagged: independent author (Centrifuga Lab); the venue is CEPR-edited, the institution is not. Argues European defence ministries run on AI infrastructure they neither control nor can audit, that peer-level capability is ten to fifteen years away, and that the interim is a negotiation of notification rights with Washington. Written in the week of W8. The C-D reading of the defence-AI stack stated as a timeline rather than a risk.</w:t>
      </w:r>
    </w:p>
    <w:p>
      <w:pPr>
        <w:pStyle w:val="Heading1"/>
        <w:spacing w:after="160" w:before="320"/>
      </w:pPr>
      <w:r>
        <w:t xml:space="preserve">4. Rules &amp; institutions</w:t>
      </w:r>
    </w:p>
    <w:p>
      <w:pPr>
        <w:spacing w:after="40" w:before="160"/>
      </w:pPr>
      <w:r>
        <w:rPr>
          <w:b/>
          <w:bCs/>
        </w:rPr>
        <w:t xml:space="preserve">R14  </w:t>
      </w:r>
      <w:r>
        <w:t xml:space="preserve">Perugini, M. (14 August 2026). Europe’s regulatory double bind. VoxEU/CEPR, Europe 2050 initiative.</w:t>
      </w:r>
    </w:p>
    <w:p>
      <w:pPr>
        <w:spacing w:after="40"/>
      </w:pPr>
      <w:hyperlink w:history="1" r:id="rIdxlijif-xree-lqb45wtnp">
        <w:r>
          <w:rPr>
            <w:rStyle w:val="Hyperlink"/>
            <w:sz w:val="18"/>
            <w:szCs w:val="18"/>
          </w:rPr>
          <w:t xml:space="preserve">https://cepr.org/voxeu/columns/europes-regulatory-double-bind</w:t>
        </w:r>
      </w:hyperlink>
    </w:p>
    <w:p>
      <w:pPr>
        <w:spacing w:after="40"/>
      </w:pPr>
      <w:r>
        <w:rPr>
          <w:sz w:val="19"/>
          <w:szCs w:val="19"/>
        </w:rPr>
        <w:t xml:space="preserve">Type 4 – Stakeholder positions &amp; expert analysis. Cells: R-C, R-D (primary); R-A.</w:t>
      </w:r>
    </w:p>
    <w:p>
      <w:pPr>
        <w:spacing w:after="120"/>
      </w:pPr>
      <w:r>
        <w:rPr>
          <w:sz w:val="19"/>
          <w:szCs w:val="19"/>
        </w:rPr>
        <w:t xml:space="preserve">Flagged: independent author; venue CEPR-edited. Documentary claims are sourced to Commission FAQs, EPRS and Reuters and can be checked. The most useful R-row synthesis of the window. Argues Europe loses regulatory sovereignty on both sides of the same decision: deferring its own rules (R7, the Omnibus) cedes the capacity to shape how AI operates in the single market; enforcing them (W18, the Google DMA fine) draws trade retaliation. Two documentary points matter independently of the argument: as of June 2026 none of the CEN-CENELEC JTC 21 harmonised standards for the AI Act had been cited in the Official Journal, and conformity assessment bodies remain largely undesignated — so compliance evaluation is expected to default to methodologies from the systems’ jurisdictions of origin. That is R-C produced by R-D: rule-taking as the consequence of not deciding in time. Its Brussels-effect conclusion — market size now attracts regulatory arbitrage and retaliation simultaneously — is the direct challenge to the R-A assumption behind your rule-setter cell.</w:t>
      </w:r>
    </w:p>
    <w:p>
      <w:pPr>
        <w:spacing w:after="40" w:before="160"/>
      </w:pPr>
      <w:r>
        <w:rPr>
          <w:b/>
          <w:bCs/>
        </w:rPr>
        <w:t xml:space="preserve">R15  </w:t>
      </w:r>
      <w:r>
        <w:t xml:space="preserve">Council of the European Union, Trio Presidency (May 2026). Standardisation in the European Product Act: major challenges ahead. Discussion paper, ST 8298/26, COMPET.1 (LIMITE, published on the Council register).</w:t>
      </w:r>
    </w:p>
    <w:p>
      <w:pPr>
        <w:spacing w:after="40"/>
      </w:pPr>
      <w:hyperlink w:history="1" r:id="rIdscciq2ai1ojvh-wpdyf1_">
        <w:r>
          <w:rPr>
            <w:rStyle w:val="Hyperlink"/>
            <w:sz w:val="18"/>
            <w:szCs w:val="18"/>
          </w:rPr>
          <w:t xml:space="preserve">https://data.consilium.europa.eu/doc/document/ST-8298-2026-INIT/en/pdf</w:t>
        </w:r>
      </w:hyperlink>
    </w:p>
    <w:p>
      <w:pPr>
        <w:spacing w:after="40"/>
      </w:pPr>
      <w:r>
        <w:rPr>
          <w:sz w:val="19"/>
          <w:szCs w:val="19"/>
        </w:rPr>
        <w:t xml:space="preserve">Type 1 – Legislative &amp; institutional acts / positions. Cells: R-A, R-D (primary); R-C.</w:t>
      </w:r>
    </w:p>
    <w:p>
      <w:pPr>
        <w:spacing w:after="120"/>
      </w:pPr>
      <w:r>
        <w:rPr>
          <w:sz w:val="19"/>
          <w:szCs w:val="19"/>
        </w:rPr>
        <w:t xml:space="preserve">The Council’s own statement of the standards problem ahead of the Standardisation Regulation revision. Records that the EU increasingly cannot rely on harmonised standards for presumption of conformity in new strategic technologies (AI, cyber, batteries); that China develops a standard in about three years with an 18-month national target; and that the Member States face a speed-versus-inclusiveness dilemma in which faster processes exclude smaller stakeholders while alternative bodies reduce EU control. The institutional root of R14’s documentary findings, stated by the institution itself.</w:t>
      </w:r>
    </w:p>
    <w:p>
      <w:pPr>
        <w:pStyle w:val="Heading1"/>
        <w:spacing w:after="160" w:before="320"/>
      </w:pPr>
      <w:r>
        <w:t xml:space="preserve">5. Weak signals</w:t>
      </w:r>
    </w:p>
    <w:p>
      <w:pPr>
        <w:spacing w:after="120"/>
      </w:pPr>
      <w:r>
        <w:rPr>
          <w:b w:val="false"/>
          <w:bCs w:val="false"/>
          <w:i/>
          <w:iCs/>
        </w:rPr>
        <w:t xml:space="preserve">Defined against the claims in sections 1–4 of all three supplements. Each entry names the proposition it disturbs.</w:t>
      </w:r>
    </w:p>
    <w:p>
      <w:pPr>
        <w:pStyle w:val="Heading3"/>
        <w:spacing w:after="80" w:before="200"/>
      </w:pPr>
      <w:r>
        <w:t xml:space="preserve">5.1 Against the Knowledge row</w:t>
      </w:r>
    </w:p>
    <w:p>
      <w:pPr>
        <w:spacing w:after="40" w:before="160"/>
      </w:pPr>
      <w:r>
        <w:rPr>
          <w:b/>
          <w:bCs/>
        </w:rPr>
        <w:t xml:space="preserve">W15  </w:t>
      </w:r>
      <w:r>
        <w:t xml:space="preserve">German Federal Prosecutor (20 May 2026). Arrest in Munich of a married couple, German citizens, on suspicion of working for a Chinese intelligence service: alleged systematic contact with professors of aerospace engineering, computer science and AI at German universities, posing as interpreters or carmaker employees; some academics lured to China for paid lectures that were in fact delivered to state-owned arms manufacturers. Witness measures at ten locations across six Länder. Reported: Euronews, Table.Briefings (20 May 2026).</w:t>
      </w:r>
    </w:p>
    <w:p>
      <w:pPr>
        <w:spacing w:after="40"/>
      </w:pPr>
      <w:hyperlink w:history="1" r:id="rId5csux_lwibmn4fm-ameyc">
        <w:r>
          <w:rPr>
            <w:rStyle w:val="Hyperlink"/>
            <w:sz w:val="18"/>
            <w:szCs w:val="18"/>
          </w:rPr>
          <w:t xml:space="preserve">https://www.euronews.com/my-europe/2026/05/20/police-in-germany-arrest-married-couple-on-suspicion-of-spying-for-china</w:t>
        </w:r>
      </w:hyperlink>
    </w:p>
    <w:p>
      <w:pPr>
        <w:spacing w:after="40"/>
      </w:pPr>
      <w:r>
        <w:rPr>
          <w:sz w:val="19"/>
          <w:szCs w:val="19"/>
        </w:rPr>
        <w:t xml:space="preserve">Type 5 – Weak signal (news media / primary announcement). Cells: K-B (primary); R-B.</w:t>
      </w:r>
    </w:p>
    <w:p>
      <w:pPr>
        <w:spacing w:after="120"/>
      </w:pPr>
      <w:r>
        <w:rPr>
          <w:sz w:val="19"/>
          <w:szCs w:val="19"/>
        </w:rPr>
        <w:t xml:space="preserve">Disturbs: K8 (Wagner) read as reassurance. Wagner shows security policy is not what drives the collaboration decline; this case shows why the policy exists regardless. The two are compatible — targeted collection and aggregate bibliometrics measure different things — but a K-row argument that leans on K8 to soften K-B needs to say so. Also the first in-window case naming the disciplines and the recruitment method, which is what Germany’s KEF model (K5) was not designed to catch.</w:t>
      </w:r>
    </w:p>
    <w:p>
      <w:pPr>
        <w:spacing w:after="40" w:before="160"/>
      </w:pPr>
      <w:r>
        <w:rPr>
          <w:b/>
          <w:bCs/>
        </w:rPr>
        <w:t xml:space="preserve">W16  </w:t>
      </w:r>
      <w:r>
        <w:t xml:space="preserve">Belgian federal prosecutor (late July 2026). Arrest of an intern at NATO’s SHAPE headquarters (Mons) on suspicion of espionage for China; identified by Follow the Money, Le Soir, Knack and La Lettre as a Canadian AI researcher of Chinese origin with prior placements at several international organisations. Reported 27–28 July 2026.</w:t>
      </w:r>
    </w:p>
    <w:p>
      <w:pPr>
        <w:spacing w:after="40"/>
      </w:pPr>
      <w:hyperlink w:history="1" r:id="rIdoomi2pbed88vfm4_fqrle">
        <w:r>
          <w:rPr>
            <w:rStyle w:val="Hyperlink"/>
            <w:sz w:val="18"/>
            <w:szCs w:val="18"/>
          </w:rPr>
          <w:t xml:space="preserve">https://www.ftm.eu/articles/intern-spy-nato-china-canada-revealed</w:t>
        </w:r>
      </w:hyperlink>
    </w:p>
    <w:p>
      <w:pPr>
        <w:spacing w:after="40"/>
      </w:pPr>
      <w:r>
        <w:rPr>
          <w:sz w:val="19"/>
          <w:szCs w:val="19"/>
        </w:rPr>
        <w:t xml:space="preserve">Type 5 – Weak signal (news media / primary announcement). Cells: K-B; R-B.</w:t>
      </w:r>
    </w:p>
    <w:p>
      <w:pPr>
        <w:spacing w:after="120"/>
      </w:pPr>
      <w:r>
        <w:rPr>
          <w:sz w:val="19"/>
          <w:szCs w:val="19"/>
        </w:rPr>
        <w:t xml:space="preserve">Disturbs: the assumption in R2 (Dutch screening) and R13 (ERC third-country eligibility) that nationality-based screening is the relevant filter. The suspect is a third-country national of an allied state on a temporary placement. If that is the profile, screening regimes keyed to nationality miss it, and regimes keyed to temporary access catch far more of the collaborative workforce than the K-B cost estimates assume.</w:t>
      </w:r>
    </w:p>
    <w:p>
      <w:pPr>
        <w:pStyle w:val="Heading3"/>
        <w:spacing w:after="80" w:before="200"/>
      </w:pPr>
      <w:r>
        <w:t xml:space="preserve">5.2 Against the Conversion row</w:t>
      </w:r>
    </w:p>
    <w:p>
      <w:pPr>
        <w:spacing w:after="40" w:before="160"/>
      </w:pPr>
      <w:r>
        <w:rPr>
          <w:b/>
          <w:bCs/>
        </w:rPr>
        <w:t xml:space="preserve">W17  </w:t>
      </w:r>
      <w:r>
        <w:t xml:space="preserve">Helsing (13 July 2026): USD 1.8 billion Series E at USD 18 billion post-money, the largest European defence-tech round on record; led by Dragoneer and Lightspeed with Goldman Sachs Alternatives, JPMorgan, CPP Investments; company states it remains predominantly European-owned. Quantum Systems (2 July 2026): USD 1.2 billion Series D at c. USD 8 billion, co-led by Blackstone, Airbus, Advent. Stark Defence (23 June 2026): EUR 500 million Series C led by Sequoia and Founders Fund. Reported: Defense News, Reuters, Bloomberg, Handelsblatt, CNBC, FT.</w:t>
      </w:r>
    </w:p>
    <w:p>
      <w:pPr>
        <w:spacing w:after="40"/>
      </w:pPr>
      <w:hyperlink w:history="1" r:id="rId4skgnfmedxp3dinfdjf1z">
        <w:r>
          <w:rPr>
            <w:rStyle w:val="Hyperlink"/>
            <w:sz w:val="18"/>
            <w:szCs w:val="18"/>
          </w:rPr>
          <w:t xml:space="preserve">https://www.defensenews.com/global/europe/2026/07/13/helsing-raises-18-billion-in-europes-biggest-defense-startup-round/</w:t>
        </w:r>
      </w:hyperlink>
    </w:p>
    <w:p>
      <w:pPr>
        <w:spacing w:after="40"/>
      </w:pPr>
      <w:r>
        <w:rPr>
          <w:sz w:val="19"/>
          <w:szCs w:val="19"/>
        </w:rPr>
        <w:t xml:space="preserve">Type 5 – Weak signal (news media / primary announcement). Cells: C-A, C-C (primary).</w:t>
      </w:r>
    </w:p>
    <w:p>
      <w:pPr>
        <w:spacing w:after="120"/>
      </w:pPr>
      <w:r>
        <w:rPr>
          <w:sz w:val="19"/>
          <w:szCs w:val="19"/>
        </w:rPr>
        <w:t xml:space="preserve">Disturbs: C1’s late-stage-gap diagnosis in one sector. Three rounds in four weeks at USD 0.5–1.8 billion show the growth-stage capital exists in Europe for defence tech, and the companies have not moved. The counter-reading, made in the trade press: European-controlled, scaled on American money, with US growth funds, banks and a Canadian pension fund on the cap table. This is your C-A/C-C ambiguity (Additions II, §6) at its most acute — sovereign in ownership and governance, foreign in capital. It also tests C3 and C7: EU instruments at EUR 30–115 million against private rounds twenty times larger.</w:t>
      </w:r>
    </w:p>
    <w:p>
      <w:pPr>
        <w:pStyle w:val="Heading3"/>
        <w:spacing w:after="80" w:before="200"/>
      </w:pPr>
      <w:r>
        <w:t xml:space="preserve">5.3 Against the Rules row</w:t>
      </w:r>
    </w:p>
    <w:p>
      <w:pPr>
        <w:spacing w:after="40" w:before="160"/>
      </w:pPr>
      <w:r>
        <w:rPr>
          <w:b/>
          <w:bCs/>
        </w:rPr>
        <w:t xml:space="preserve">W18  </w:t>
      </w:r>
      <w:r>
        <w:t xml:space="preserve">European Commission (23 July 2026): EUR 890 million fine on Google under the Digital Markets Act (self-preferencing in Search; anti-steering in Play). Court of Justice (2 July 2026): upholds the EUR 4.1 billion Android fine. US President (24 July 2026): announces a Section 301 investigation into EU enforcement against US technology companies; USTR statement of 23 July on risk to transatlantic trade stability. Reported: Reuters (24 July 2026); Commission press release (23 July).</w:t>
      </w:r>
    </w:p>
    <w:p>
      <w:pPr>
        <w:spacing w:after="40"/>
      </w:pPr>
      <w:hyperlink w:history="1" r:id="rId6ccuqfgj6d3l9per5cwx4">
        <w:r>
          <w:rPr>
            <w:rStyle w:val="Hyperlink"/>
            <w:sz w:val="18"/>
            <w:szCs w:val="18"/>
          </w:rPr>
          <w:t xml:space="preserve">https://cepr.org/voxeu/columns/europes-regulatory-double-bind</w:t>
        </w:r>
      </w:hyperlink>
    </w:p>
    <w:p>
      <w:pPr>
        <w:spacing w:after="40"/>
      </w:pPr>
      <w:r>
        <w:rPr>
          <w:sz w:val="19"/>
          <w:szCs w:val="19"/>
        </w:rPr>
        <w:t xml:space="preserve">Type 5 – Weak signal (news media / primary announcement). Cells: R-A, R-C (primary); R-D.</w:t>
      </w:r>
    </w:p>
    <w:p>
      <w:pPr>
        <w:spacing w:after="120"/>
      </w:pPr>
      <w:r>
        <w:rPr>
          <w:sz w:val="19"/>
          <w:szCs w:val="19"/>
        </w:rPr>
        <w:t xml:space="preserve">Flagged: link is R14, which collates the primary references; cite Reuters and the Commission release directly. Disturbs: the R-A cell’s implicit assumption that enforcing an adopted EU rule is costless in sovereignty terms. Section 301 is the statute used for the 2018 China tariffs, with a roughly twelve-month timeline and tariffs as remedy. The grid treats rule-setting as the independent-and-competitive outcome; this sequence prices it. Read with R7 (deferral) and W8 (frontier access): three R-row events in seven weeks, two of them coming from the same partner.</w:t>
      </w:r>
    </w:p>
    <w:p>
      <w:pPr>
        <w:spacing w:after="40" w:before="160"/>
      </w:pPr>
      <w:r>
        <w:rPr>
          <w:b/>
          <w:bCs/>
        </w:rPr>
        <w:t xml:space="preserve">W19  </w:t>
      </w:r>
      <w:r>
        <w:t xml:space="preserve">Hungary: Tisza (Magyar) wins a two-thirds majority on 12 April 2026; Magyar elected Prime Minister 9 May 2026. Commission President von der Leyen (14 April) calls for qualified-majority voting in foreign policy to avoid systematic blockages; Council diplomats report little appetite for procedural change. Reported: France 24 (13 April), Atlantic Council (May), New Union Post (14 April).</w:t>
      </w:r>
    </w:p>
    <w:p>
      <w:pPr>
        <w:spacing w:after="40"/>
      </w:pPr>
      <w:hyperlink w:history="1" r:id="rIdxupkg22km5aooxffehsua">
        <w:r>
          <w:rPr>
            <w:rStyle w:val="Hyperlink"/>
            <w:sz w:val="18"/>
            <w:szCs w:val="18"/>
          </w:rPr>
          <w:t xml:space="preserve">https://www.atlanticcouncil.org/dispatches/hungary-just-voted-out-viktor-orban-heres-what-to-expect-in-europe-and-beyond/</w:t>
        </w:r>
      </w:hyperlink>
    </w:p>
    <w:p>
      <w:pPr>
        <w:spacing w:after="40"/>
      </w:pPr>
      <w:r>
        <w:rPr>
          <w:sz w:val="19"/>
          <w:szCs w:val="19"/>
        </w:rPr>
        <w:t xml:space="preserve">Type 5 – Weak signal (news media / primary announcement). Cells: R-D (reversal); R-A.</w:t>
      </w:r>
    </w:p>
    <w:p>
      <w:pPr>
        <w:spacing w:after="120"/>
      </w:pPr>
      <w:r>
        <w:rPr>
          <w:sz w:val="19"/>
          <w:szCs w:val="19"/>
        </w:rPr>
        <w:t xml:space="preserve">Flagged: election outside the window; government formation inside it. Filed for the R-D mechanism, not the event. Disturbs: R-D read as structural. The single most-cited source of Council gridlock in 2022–26 has been removed by an election, which means the Gridlock cell has a large domestic-political component that the institutional literature (K7, R10, R11) under-weights. For the deliverable, the MFF/FP10 budget negotiation (your D3, D5) is the test: whether unanimity behaves differently in 2026–27 without the veto that defined the last cycle. The QMV push failing is the counter-signal that the mechanism is not being fixed, only unblocked.</w:t>
      </w:r>
    </w:p>
    <w:p>
      <w:pPr>
        <w:pStyle w:val="Heading1"/>
        <w:spacing w:after="160" w:before="320"/>
      </w:pPr>
      <w:r>
        <w:t xml:space="preserve">6. Gap report, judgment calls and open items</w:t>
      </w:r>
    </w:p>
    <w:p>
      <w:pPr>
        <w:spacing w:after="140"/>
      </w:pPr>
      <w:r>
        <w:rPr>
          <w:sz w:val="20"/>
          <w:szCs w:val="20"/>
        </w:rPr>
        <w:t xml:space="preserve">— On your question. All three supplements are organised in terms of the Sovereignty Frontier: the four rows are the section headings, every item carries a primary cell and secondaries, and each weak signal is stated as a disturbance to a proposition already filed in a cell. The mapping is mine throughout, and where an item sits on a boundary I have said which boundary (this round: I12 on I-A/R-A/K-C; W17 on C-A/C-C; R14 on R-C-produced-by-R-D). If you want the columns tightened, the two definitional questions raised in Additions II still stand and this round adds a third: whether an outcome reached only because a blocking actor left the table (W19) counts as the Rules row becoming more independent, or merely less stuck.</w:t>
      </w:r>
    </w:p>
    <w:p>
      <w:pPr>
        <w:spacing w:after="140"/>
      </w:pPr>
      <w:r>
        <w:rPr>
          <w:sz w:val="20"/>
          <w:szCs w:val="20"/>
        </w:rPr>
        <w:t xml:space="preserve">— Gap report. (a) The K row yielded no new academic or institutional source this round; the SPP cluster (K5, K9, K10, K11) and the two preprints (K8, K12) remain the whole of it. I take this as real: the in-window peer-reviewed conversation on talent and collaboration has consolidated in one journal and one conference, and further searching returns the same items. (b) CEPR/VoxEU proved productive (C12, C13, R14) and should join SPP and Bruegel on the venue list. (c) Standards are now covered on the institutional side (R15) but not academically; the Clingendael standardisation report is July 2025 and belongs in your context list. (d) Big science is covered by I12 only; ESFRI Roadmap 2026 (December) remains the expected item.</w:t>
      </w:r>
    </w:p>
    <w:p>
      <w:pPr>
        <w:spacing w:after="140"/>
      </w:pPr>
      <w:r>
        <w:rPr>
          <w:sz w:val="20"/>
          <w:szCs w:val="20"/>
        </w:rPr>
        <w:t xml:space="preserve">— The CEPR items. C13 and R14 are by an independent researcher with no institutional affiliation, published in a CEPR-edited venue. I have filed them because R14 is the most complete R-row synthesis in the window and its documentary claims are checkable against primary sources, not because of the author’s standing. Type 4, not Type 3. Drop if the deliverable’s standard requires institutional authorship.</w:t>
      </w:r>
    </w:p>
    <w:p>
      <w:pPr>
        <w:spacing w:after="140"/>
      </w:pPr>
      <w:r>
        <w:rPr>
          <w:sz w:val="20"/>
          <w:szCs w:val="20"/>
        </w:rPr>
        <w:t xml:space="preserve">— W8 follow-on. R14 and C13 both take the 12 June event as their starting point, as did I7 and R9 in Additions II. Five analytical pieces from four institutions on one event is itself a datum about how the window is being read. The disclosure from Additions II stands.</w:t>
      </w:r>
    </w:p>
    <w:p>
      <w:pPr>
        <w:spacing w:after="140"/>
      </w:pPr>
      <w:r>
        <w:rPr>
          <w:sz w:val="20"/>
          <w:szCs w:val="20"/>
        </w:rPr>
        <w:t xml:space="preserve">— Verification outstanding this round: I12 (CERN Council resolution text), I13 (IRIS landing page), W15 (Federal Prosecutor release), W16 (Belgian prosecutor statement; FTM is paywalled), W17 (Helsing and Quantum Systems releases; Bloomberg on Stark), W18 (Reuters 24 July; Commission 23 July; USTR 23 July).</w:t>
      </w:r>
    </w:p>
    <w:p>
      <w:pPr>
        <w:spacing w:after="140"/>
      </w:pPr>
      <w:r>
        <w:rPr>
          <w:sz w:val="20"/>
          <w:szCs w:val="20"/>
        </w:rPr>
        <w:t xml:space="preserve">— Expected, to add to your section 4: Dual-Use Regulation (EU) 2021/821 full evaluation, statutory window opens 10 September 2026; Chips Act intermediate evaluation, due September 2026; Biotech Act II, autumn 2026; Standardisation Regulation revision, planned 2026, not yet tabled; SRIP 2026 report (biennial; 2024 edition was June), not yet published; Section 301 determination, c. mid-2027; CERN Council FCC decision, 2028.</w:t>
      </w:r>
    </w:p>
    <w:p>
      <w:pPr>
        <w:spacing w:after="140"/>
      </w:pPr>
      <w:r>
        <w:rPr>
          <w:sz w:val="20"/>
          <w:szCs w:val="20"/>
        </w:rPr>
        <w:t xml:space="preserve">— Not included, with reasons: Clingendael, Standardisation with Chinese Characteristics? (July 2025 — context); EU dual-use control-list update, Delegated Regulation 2025/2003 (November 2025 — context; adds quantum and semiconductor tooling); Germany 1,000 Köpfe Plus and European Legal Gateway Office (both pre-window, noted last round); Gulf recruitment of European researchers (no source of adequate quality found); EU Space Act progress (no in-window development found).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0bjnrvgy-7cs4ubschiq" Type="http://schemas.openxmlformats.org/officeDocument/2006/relationships/hyperlink" Target="https://physicstoday.aip.org/news/if-cern-can-come-up-with-the-requisite-billions-the-future-circular-collider-is-a-go" TargetMode="External"/><Relationship Id="rIdfzhzm8-b07dxwly9snz0t" Type="http://schemas.openxmlformats.org/officeDocument/2006/relationships/hyperlink" Target="https://www.europefocus.eu/eu-defence-series-europes-tech-challenge/" TargetMode="External"/><Relationship Id="rIdgf55_ediipe-1ubdx0_id" Type="http://schemas.openxmlformats.org/officeDocument/2006/relationships/hyperlink" Target="https://health.ec.europa.eu/document/download/48009973-efbb-4101-ae8f-e81a34764e39_en?filename=biotechnology_C2026-3375-1_en.pdf" TargetMode="External"/><Relationship Id="rIdlc-9no4tsowqm-uoi3xtt" Type="http://schemas.openxmlformats.org/officeDocument/2006/relationships/hyperlink" Target="https://cepr.org/voxeu/columns/innovation-without-borders" TargetMode="External"/><Relationship Id="rIdfirodsm5xao8v2cepinwm" Type="http://schemas.openxmlformats.org/officeDocument/2006/relationships/hyperlink" Target="https://cepr.org/voxeu/columns/europes-ungoverned-space-military-ai-and-autonomy-cannot-be-bought" TargetMode="External"/><Relationship Id="rIdxlijif-xree-lqb45wtnp" Type="http://schemas.openxmlformats.org/officeDocument/2006/relationships/hyperlink" Target="https://cepr.org/voxeu/columns/europes-regulatory-double-bind" TargetMode="External"/><Relationship Id="rIdscciq2ai1ojvh-wpdyf1_" Type="http://schemas.openxmlformats.org/officeDocument/2006/relationships/hyperlink" Target="https://data.consilium.europa.eu/doc/document/ST-8298-2026-INIT/en/pdf" TargetMode="External"/><Relationship Id="rId5csux_lwibmn4fm-ameyc" Type="http://schemas.openxmlformats.org/officeDocument/2006/relationships/hyperlink" Target="https://www.euronews.com/my-europe/2026/05/20/police-in-germany-arrest-married-couple-on-suspicion-of-spying-for-china" TargetMode="External"/><Relationship Id="rIdoomi2pbed88vfm4_fqrle" Type="http://schemas.openxmlformats.org/officeDocument/2006/relationships/hyperlink" Target="https://www.ftm.eu/articles/intern-spy-nato-china-canada-revealed" TargetMode="External"/><Relationship Id="rId4skgnfmedxp3dinfdjf1z" Type="http://schemas.openxmlformats.org/officeDocument/2006/relationships/hyperlink" Target="https://www.defensenews.com/global/europe/2026/07/13/helsing-raises-18-billion-in-europes-biggest-defense-startup-round/" TargetMode="External"/><Relationship Id="rId6ccuqfgj6d3l9per5cwx4" Type="http://schemas.openxmlformats.org/officeDocument/2006/relationships/hyperlink" Target="https://cepr.org/voxeu/columns/europes-regulatory-double-bind" TargetMode="External"/><Relationship Id="rIdxupkg22km5aooxffehsua" Type="http://schemas.openxmlformats.org/officeDocument/2006/relationships/hyperlink" Target="https://www.atlanticcouncil.org/dispatches/hungary-just-voted-out-viktor-orban-heres-what-to-expect-in-europe-and-beyond/"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2026-08-25T12:10:44.534Z</dcterms:created>
  <dcterms:modified xsi:type="dcterms:W3CDTF">2026-08-25T12:10:44.548Z</dcterms:modified>
</cp:coreProperties>
</file>

<file path=docProps/custom.xml><?xml version="1.0" encoding="utf-8"?>
<Properties xmlns="http://schemas.openxmlformats.org/officeDocument/2006/custom-properties" xmlns:vt="http://schemas.openxmlformats.org/officeDocument/2006/docPropsVTypes"/>
</file>