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Liberatore, A. (12 August 2026). Can science diplomacy help safeguard science as a global public good? Reflections on strategy, data and people. Royal Society Open Science.</w:t>
      </w:r>
    </w:p>
    <w:p>
      <w:pPr>
        <w:spacing w:after="220" w:before="0"/>
        <w:ind w:left="340"/>
      </w:pPr>
      <w:r>
        <w:rPr>
          <w:rFonts w:ascii="Calibri" w:cs="Calibri" w:eastAsia="Calibri" w:hAnsi="Calibri"/>
          <w:color w:val="595959"/>
          <w:sz w:val="18"/>
          <w:szCs w:val="18"/>
        </w:rPr>
        <w:t xml:space="preserve">Cells: K-C, R-A (primary); K-B.  Type: Peer-reviewed / science-for-policy.</w:t>
      </w:r>
    </w:p>
    <w:p>
      <w:p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Weber, D.; Naser, M.; Tzinieris, S. (26 May 2026). The EU and its China agenda: limited cooperation under rising tensions. The Pacific Review.</w:t>
      </w:r>
    </w:p>
    <w:p>
      <w:pPr>
        <w:spacing w:after="220" w:before="0"/>
        <w:ind w:left="340"/>
      </w:pPr>
      <w:r>
        <w:rPr>
          <w:rFonts w:ascii="Calibri" w:cs="Calibri" w:eastAsia="Calibri" w:hAnsi="Calibri"/>
          <w:color w:val="595959"/>
          <w:sz w:val="18"/>
          <w:szCs w:val="18"/>
        </w:rPr>
        <w:t xml:space="preserve">Cells: K-B, R-C (primary); K-C.  Type: Peer-reviewed / science-for-policy.</w:t>
      </w:r>
    </w:p>
    <w:p>
      <w:p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Gagliardi, B.; Bouvier, A.; Guigue, C. (eds.) (3 June 2026). European Universities Alliances and the Law. Routledge.</w:t>
      </w:r>
    </w:p>
    <w:p>
      <w:pPr>
        <w:spacing w:after="220" w:before="0"/>
        <w:ind w:left="340"/>
      </w:pPr>
      <w:r>
        <w:rPr>
          <w:rFonts w:ascii="Calibri" w:cs="Calibri" w:eastAsia="Calibri" w:hAnsi="Calibri"/>
          <w:color w:val="595959"/>
          <w:sz w:val="18"/>
          <w:szCs w:val="18"/>
        </w:rPr>
        <w:t xml:space="preserve">Cells: K-C, R-A (primary); K-A.  Type: Peer-reviewed / science-for-policy.</w:t>
      </w:r>
    </w:p>
    <w:p>
      <w:p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Teixeira, C.; Gabbett, C.; Synnatschke, K.; Coleman, J.; Sofer, Z. (21 May 2026). A self-reliance framework for identifying strategic advanced materials. Nature Communications.</w:t>
      </w:r>
    </w:p>
    <w:p>
      <w:pPr>
        <w:spacing w:after="220" w:before="0"/>
        <w:ind w:left="340"/>
      </w:pPr>
      <w:r>
        <w:rPr>
          <w:rFonts w:ascii="Calibri" w:cs="Calibri" w:eastAsia="Calibri" w:hAnsi="Calibri"/>
          <w:color w:val="595959"/>
          <w:sz w:val="18"/>
          <w:szCs w:val="18"/>
        </w:rPr>
        <w:t xml:space="preserve">Cells: I-D, I-A (primary); I-B.  Type: Peer-reviewed / science-for-policy.</w:t>
      </w:r>
    </w:p>
    <w:p>
      <w:p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European Union Institute for Security Studies (May 2026). Beijing’s critical raw material weapon — and how to dismantle it. Chaillot Paper 189.</w:t>
      </w:r>
    </w:p>
    <w:p>
      <w:pPr>
        <w:spacing w:after="220" w:before="0"/>
        <w:ind w:left="340"/>
      </w:pPr>
      <w:r>
        <w:rPr>
          <w:rFonts w:ascii="Calibri" w:cs="Calibri" w:eastAsia="Calibri" w:hAnsi="Calibri"/>
          <w:color w:val="595959"/>
          <w:sz w:val="18"/>
          <w:szCs w:val="18"/>
        </w:rPr>
        <w:t xml:space="preserve">Cells: I-D (primary); I-C, R-A.  Type: Peer-reviewed / science-for-policy.</w:t>
      </w:r>
    </w:p>
    <w:p>
      <w:p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Mutke, J.; Finke, J.; Esser, K.; Heinrichs, H. (10 June 2026). Materealistic? How European energy system models exceed raw material reserves. arXiv:2606.12201.</w:t>
      </w:r>
    </w:p>
    <w:p>
      <w:pPr>
        <w:spacing w:after="220" w:before="0"/>
        <w:ind w:left="340"/>
      </w:pPr>
      <w:r>
        <w:rPr>
          <w:rFonts w:ascii="Calibri" w:cs="Calibri" w:eastAsia="Calibri" w:hAnsi="Calibri"/>
          <w:color w:val="595959"/>
          <w:sz w:val="18"/>
          <w:szCs w:val="18"/>
        </w:rPr>
        <w:t xml:space="preserve">Cells: I-D (primary); I-B.  Type: Preprint.</w:t>
      </w:r>
    </w:p>
    <w:p>
      <w:p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Wilfried Martens Centre for European Studies (May 2026). Made in China, powered by Europe: mapping the EU’s strategic leverage over the People’s Republic of China.</w:t>
      </w:r>
    </w:p>
    <w:p>
      <w:pPr>
        <w:spacing w:after="220" w:before="0"/>
        <w:ind w:left="340"/>
      </w:pPr>
      <w:r>
        <w:rPr>
          <w:rFonts w:ascii="Calibri" w:cs="Calibri" w:eastAsia="Calibri" w:hAnsi="Calibri"/>
          <w:color w:val="595959"/>
          <w:sz w:val="18"/>
          <w:szCs w:val="18"/>
        </w:rPr>
        <w:t xml:space="preserve">Cells: I-A (primary); R-A.  Type: Stakeholder / expert analysis.</w:t>
      </w:r>
    </w:p>
    <w:p>
      <w:p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European Policy Centre (May 2026). The critical in critical technologies.</w:t>
      </w:r>
    </w:p>
    <w:p>
      <w:pPr>
        <w:spacing w:after="220" w:before="0"/>
        <w:ind w:left="340"/>
      </w:pPr>
      <w:r>
        <w:rPr>
          <w:rFonts w:ascii="Calibri" w:cs="Calibri" w:eastAsia="Calibri" w:hAnsi="Calibri"/>
          <w:color w:val="595959"/>
          <w:sz w:val="18"/>
          <w:szCs w:val="18"/>
        </w:rPr>
        <w:t xml:space="preserve">Cells: I-A, I-D (primary); R-A.  Type: Stakeholder / expert analysis.</w:t>
      </w:r>
    </w:p>
    <w:p>
      <w:p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Atlantic Council (June 2026). Innovation as resilience: demand-side strategies for critical mineral supply chain security.</w:t>
      </w:r>
    </w:p>
    <w:p>
      <w:pPr>
        <w:spacing w:after="220" w:before="0"/>
        <w:ind w:left="340"/>
      </w:pPr>
      <w:r>
        <w:rPr>
          <w:rFonts w:ascii="Calibri" w:cs="Calibri" w:eastAsia="Calibri" w:hAnsi="Calibri"/>
          <w:color w:val="595959"/>
          <w:sz w:val="18"/>
          <w:szCs w:val="18"/>
        </w:rPr>
        <w:t xml:space="preserve">Cells: I-D, I-B (primary); C-A.  Type: Peer-reviewed / science-for-policy.</w:t>
      </w:r>
    </w:p>
    <w:p>
      <w:p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Centre for European Policy Studies (June 2026). Mapping of technology specialisation, complexity and relatedness of the EU and selected global partners. Report for DG CNECT (GRID project).</w:t>
      </w:r>
    </w:p>
    <w:p>
      <w:pPr>
        <w:spacing w:after="220" w:before="0"/>
        <w:ind w:left="340"/>
      </w:pPr>
      <w:r>
        <w:rPr>
          <w:rFonts w:ascii="Calibri" w:cs="Calibri" w:eastAsia="Calibri" w:hAnsi="Calibri"/>
          <w:color w:val="595959"/>
          <w:sz w:val="18"/>
          <w:szCs w:val="18"/>
        </w:rPr>
        <w:t xml:space="preserve">Cells: I-A, C-A (primary); K-C.  Type: Statistical &amp; monitoring.</w:t>
      </w:r>
    </w:p>
    <w:p>
      <w:p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Moës, N.; Lorente, T.; Oueslati, A.; Smith, J.; Staes-Polet, R.; Kraeva, R. (28 April 2026). Beware of Geeks Bearing Gifts: Building True EU Frontier AI Sovereignty. arXiv:2606.07536.</w:t>
      </w:r>
    </w:p>
    <w:p>
      <w:pPr>
        <w:spacing w:after="220" w:before="0"/>
        <w:ind w:left="340"/>
      </w:pPr>
      <w:r>
        <w:rPr>
          <w:rFonts w:ascii="Calibri" w:cs="Calibri" w:eastAsia="Calibri" w:hAnsi="Calibri"/>
          <w:color w:val="595959"/>
          <w:sz w:val="18"/>
          <w:szCs w:val="18"/>
        </w:rPr>
        <w:t xml:space="preserve">Cells: I-C, I-B (primary); C-B, R-B.  Type: Preprint.</w:t>
      </w:r>
    </w:p>
    <w:p>
      <w:p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Molls, M.; Marsch, U.; Mainzer, K.; Bode, A. (3 August 2026). Supercomputers, artificial intelligence and Europe’s technological sovereignty. Proceedings of the European Academy of Sciences and Arts.</w:t>
      </w:r>
    </w:p>
    <w:p>
      <w:pPr>
        <w:spacing w:after="220" w:before="0"/>
        <w:ind w:left="340"/>
      </w:pPr>
      <w:r>
        <w:rPr>
          <w:rFonts w:ascii="Calibri" w:cs="Calibri" w:eastAsia="Calibri" w:hAnsi="Calibri"/>
          <w:color w:val="595959"/>
          <w:sz w:val="18"/>
          <w:szCs w:val="18"/>
        </w:rPr>
        <w:t xml:space="preserve">Cells: I-B (primary); I-A, K-A.  Type: Stakeholder / expert analysis.</w:t>
      </w:r>
    </w:p>
    <w:p>
      <w:p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International Centre for Defence and Security (May 2026). European autonomy in orbit (EU Defence Series).</w:t>
      </w:r>
    </w:p>
    <w:p>
      <w:pPr>
        <w:spacing w:after="220" w:before="0"/>
        <w:ind w:left="340"/>
      </w:pPr>
      <w:r>
        <w:rPr>
          <w:rFonts w:ascii="Calibri" w:cs="Calibri" w:eastAsia="Calibri" w:hAnsi="Calibri"/>
          <w:color w:val="595959"/>
          <w:sz w:val="18"/>
          <w:szCs w:val="18"/>
        </w:rPr>
        <w:t xml:space="preserve">Cells: I-A, I-B (primary).  Type: Stakeholder / expert analysis.</w:t>
      </w:r>
    </w:p>
    <w:p>
      <w:p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National Academies of Sciences, Engineering, and Medicine (23 June 2026). Best Practices for Cybersecurity and Physical Security in Semiconductor Supply Chains. National Academies Press.</w:t>
      </w:r>
    </w:p>
    <w:p>
      <w:pPr>
        <w:spacing w:after="220" w:before="0"/>
        <w:ind w:left="340"/>
      </w:pPr>
      <w:r>
        <w:rPr>
          <w:rFonts w:ascii="Calibri" w:cs="Calibri" w:eastAsia="Calibri" w:hAnsi="Calibri"/>
          <w:color w:val="595959"/>
          <w:sz w:val="18"/>
          <w:szCs w:val="18"/>
        </w:rPr>
        <w:t xml:space="preserve">Cells: I-D, R-C (primary).  Type: Peer-reviewed / science-for-policy.</w:t>
      </w:r>
    </w:p>
    <w:p>
      <w:p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Brussels Institute for Geopolitics (6 May 2026). The strategic autonomy imperative: defending Europe’s digital infrastructures in the age of hard geopolitics.</w:t>
      </w:r>
    </w:p>
    <w:p>
      <w:pPr>
        <w:spacing w:after="220" w:before="0"/>
        <w:ind w:left="340"/>
      </w:pPr>
      <w:r>
        <w:rPr>
          <w:rFonts w:ascii="Calibri" w:cs="Calibri" w:eastAsia="Calibri" w:hAnsi="Calibri"/>
          <w:color w:val="595959"/>
          <w:sz w:val="18"/>
          <w:szCs w:val="18"/>
        </w:rPr>
        <w:t xml:space="preserve">Cells: I-B, I-D (primary).  Type: Stakeholder / expert analysis.</w:t>
      </w:r>
    </w:p>
    <w:p>
      <w:p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Reiner, C.; Stöllinger, R. (8 May 2026). Technological Dependencies of the European Union. In Raza, W.; Schlager, C.; Skyrman, V. (eds.), Progressive Industrial Policy in Europe. Routledge.</w:t>
      </w:r>
    </w:p>
    <w:p>
      <w:pPr>
        <w:spacing w:after="220" w:before="0"/>
        <w:ind w:left="340"/>
      </w:pPr>
      <w:r>
        <w:rPr>
          <w:rFonts w:ascii="Calibri" w:cs="Calibri" w:eastAsia="Calibri" w:hAnsi="Calibri"/>
          <w:color w:val="595959"/>
          <w:sz w:val="18"/>
          <w:szCs w:val="18"/>
        </w:rPr>
        <w:t xml:space="preserve">Cells: I-C, C-B (primary); I-D.  Type: Peer-reviewed / science-for-policy.</w:t>
      </w:r>
    </w:p>
    <w:p>
      <w:p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Peterson Institute for International Economics (June 2026). Global economic implications of the 2026 Middle East war. Working paper.</w:t>
      </w:r>
    </w:p>
    <w:p>
      <w:pPr>
        <w:spacing w:after="220" w:before="0"/>
        <w:ind w:left="340"/>
      </w:pPr>
      <w:r>
        <w:rPr>
          <w:rFonts w:ascii="Calibri" w:cs="Calibri" w:eastAsia="Calibri" w:hAnsi="Calibri"/>
          <w:color w:val="595959"/>
          <w:sz w:val="18"/>
          <w:szCs w:val="18"/>
        </w:rPr>
        <w:t xml:space="preserve">Cells: I-B, I-D (context).  Type: Peer-reviewed / science-for-policy.</w:t>
      </w:r>
    </w:p>
    <w:p>
      <w:p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Bruegel (May 2026). The flaws in the European Union’s proposed Industrial Accelerator Act and how to fix them. Policy Brief.</w:t>
      </w:r>
    </w:p>
    <w:p>
      <w:pPr>
        <w:spacing w:after="220" w:before="0"/>
        <w:ind w:left="340"/>
      </w:pPr>
      <w:r>
        <w:rPr>
          <w:rFonts w:ascii="Calibri" w:cs="Calibri" w:eastAsia="Calibri" w:hAnsi="Calibri"/>
          <w:color w:val="595959"/>
          <w:sz w:val="18"/>
          <w:szCs w:val="18"/>
        </w:rPr>
        <w:t xml:space="preserve">Cells: C-B, R-B (primary); C-A.  Type: Peer-reviewed / science-for-policy.</w:t>
      </w:r>
    </w:p>
    <w:p>
      <w:p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Jaeger, P.; Redeker, N. (22 June 2026). Paradigm shift in principle, paper tiger in practice? How to make the Industrial Accelerator Act count. Hertie School, Jacques Delors Centre, Policy Brief.</w:t>
      </w:r>
    </w:p>
    <w:p>
      <w:pPr>
        <w:spacing w:after="220" w:before="0"/>
        <w:ind w:left="340"/>
      </w:pPr>
      <w:r>
        <w:rPr>
          <w:rFonts w:ascii="Calibri" w:cs="Calibri" w:eastAsia="Calibri" w:hAnsi="Calibri"/>
          <w:color w:val="595959"/>
          <w:sz w:val="18"/>
          <w:szCs w:val="18"/>
        </w:rPr>
        <w:t xml:space="preserve">Cells: C-B, R-D (primary).  Type: Peer-reviewed / science-for-policy.</w:t>
      </w:r>
    </w:p>
    <w:p>
      <w:p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Bruegel (May 2026). Who controls the defence industry? Working Paper.</w:t>
      </w:r>
    </w:p>
    <w:p>
      <w:pPr>
        <w:spacing w:after="220" w:before="0"/>
        <w:ind w:left="340"/>
      </w:pPr>
      <w:r>
        <w:rPr>
          <w:rFonts w:ascii="Calibri" w:cs="Calibri" w:eastAsia="Calibri" w:hAnsi="Calibri"/>
          <w:color w:val="595959"/>
          <w:sz w:val="18"/>
          <w:szCs w:val="18"/>
        </w:rPr>
        <w:t xml:space="preserve">Cells: C-C, C-A (primary).  Type: Peer-reviewed / science-for-policy.</w:t>
      </w:r>
    </w:p>
    <w:p>
      <w:p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Centre for European Reform (May 2026). Europe has produced tech champions: here is what they can teach us.</w:t>
      </w:r>
    </w:p>
    <w:p>
      <w:pPr>
        <w:spacing w:after="220" w:before="0"/>
        <w:ind w:left="340"/>
      </w:pPr>
      <w:r>
        <w:rPr>
          <w:rFonts w:ascii="Calibri" w:cs="Calibri" w:eastAsia="Calibri" w:hAnsi="Calibri"/>
          <w:color w:val="595959"/>
          <w:sz w:val="18"/>
          <w:szCs w:val="18"/>
        </w:rPr>
        <w:t xml:space="preserve">Cells: C-A (primary); C-C.  Type: Stakeholder / expert analysis.</w:t>
      </w:r>
    </w:p>
    <w:p>
      <w:p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European Policy Centre (3 June 2026). Europe’s geo-industrial deal: a path to securing Europe’s competitiveness abroad.</w:t>
      </w:r>
    </w:p>
    <w:p>
      <w:pPr>
        <w:spacing w:after="220" w:before="0"/>
        <w:ind w:left="340"/>
      </w:pPr>
      <w:r>
        <w:rPr>
          <w:rFonts w:ascii="Calibri" w:cs="Calibri" w:eastAsia="Calibri" w:hAnsi="Calibri"/>
          <w:color w:val="595959"/>
          <w:sz w:val="18"/>
          <w:szCs w:val="18"/>
        </w:rPr>
        <w:t xml:space="preserve">Cells: C-A, C-C (primary); R-A.  Type: Stakeholder / expert analysis.</w:t>
      </w:r>
    </w:p>
    <w:p>
      <w:p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European Centre for Development Policy Management (June 2026). Strategic procurement in global Europe: why EU preferences risk undermining its own ambitions.</w:t>
      </w:r>
    </w:p>
    <w:p>
      <w:pPr>
        <w:spacing w:after="220" w:before="0"/>
        <w:ind w:left="340"/>
      </w:pPr>
      <w:r>
        <w:rPr>
          <w:rFonts w:ascii="Calibri" w:cs="Calibri" w:eastAsia="Calibri" w:hAnsi="Calibri"/>
          <w:color w:val="595959"/>
          <w:sz w:val="18"/>
          <w:szCs w:val="18"/>
        </w:rPr>
        <w:t xml:space="preserve">Cells: C-B, R-B (primary); R-C.  Type: Stakeholder / expert analysis.</w:t>
      </w:r>
    </w:p>
    <w:p>
      <w:p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Carnegie Europe (June 2026). A grand strategy for Europe’s clean industrial future.</w:t>
      </w:r>
    </w:p>
    <w:p>
      <w:pPr>
        <w:spacing w:after="220" w:before="0"/>
        <w:ind w:left="340"/>
      </w:pPr>
      <w:r>
        <w:rPr>
          <w:rFonts w:ascii="Calibri" w:cs="Calibri" w:eastAsia="Calibri" w:hAnsi="Calibri"/>
          <w:color w:val="595959"/>
          <w:sz w:val="18"/>
          <w:szCs w:val="18"/>
        </w:rPr>
        <w:t xml:space="preserve">Cells: C-A, C-D (primary); I-B.  Type: Peer-reviewed / science-for-policy.</w:t>
      </w:r>
    </w:p>
    <w:p>
      <w:p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OECD (3 June 2026). Industrial Policy Handbook. OECD Publishing.</w:t>
      </w:r>
    </w:p>
    <w:p>
      <w:pPr>
        <w:spacing w:after="220" w:before="0"/>
        <w:ind w:left="340"/>
      </w:pPr>
      <w:r>
        <w:rPr>
          <w:rFonts w:ascii="Calibri" w:cs="Calibri" w:eastAsia="Calibri" w:hAnsi="Calibri"/>
          <w:color w:val="595959"/>
          <w:sz w:val="18"/>
          <w:szCs w:val="18"/>
        </w:rPr>
        <w:t xml:space="preserve">Cells: C, R (reference).  Type: Peer-reviewed / science-for-policy.</w:t>
      </w:r>
    </w:p>
    <w:p>
      <w:p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Juhász, R.; Lane, N. (A short guide to thinking about industrial policy); Hausmann, R. (The return of industrial policy); Harrison, A. (What makes industrial policy work?) (12 May 2026). In Steering Structural Change. MIT Press.</w:t>
      </w:r>
    </w:p>
    <w:p>
      <w:pPr>
        <w:spacing w:after="220" w:before="0"/>
        <w:ind w:left="340"/>
      </w:pPr>
      <w:r>
        <w:rPr>
          <w:rFonts w:ascii="Calibri" w:cs="Calibri" w:eastAsia="Calibri" w:hAnsi="Calibri"/>
          <w:color w:val="595959"/>
          <w:sz w:val="18"/>
          <w:szCs w:val="18"/>
        </w:rPr>
        <w:t xml:space="preserve">Cells: C, R (conceptual frame).  Type: Peer-reviewed / science-for-policy.</w:t>
      </w:r>
    </w:p>
    <w:p>
      <w:p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Spigarelli, F.; Compagnucci, L.; Lepore, D. (14 July 2026). European industrial policy: promoting innovation ecosystems and safeguarding open strategic autonomy. In A Modern Guide to Industrial Economics. Edward Elgar.</w:t>
      </w:r>
    </w:p>
    <w:p>
      <w:pPr>
        <w:spacing w:after="220" w:before="0"/>
        <w:ind w:left="340"/>
      </w:pPr>
      <w:r>
        <w:rPr>
          <w:rFonts w:ascii="Calibri" w:cs="Calibri" w:eastAsia="Calibri" w:hAnsi="Calibri"/>
          <w:color w:val="595959"/>
          <w:sz w:val="18"/>
          <w:szCs w:val="18"/>
        </w:rPr>
        <w:t xml:space="preserve">Cells: C-A, C-B (primary); R-A.  Type: Peer-reviewed / science-for-policy.</w:t>
      </w:r>
    </w:p>
    <w:p>
      <w:p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EUROPEUM Institute for European Policy (May 2026). After the Draghi report: the role of Central Europe in strengthening EU competitiveness.</w:t>
      </w:r>
    </w:p>
    <w:p>
      <w:pPr>
        <w:spacing w:after="220" w:before="0"/>
        <w:ind w:left="340"/>
      </w:pPr>
      <w:r>
        <w:rPr>
          <w:rFonts w:ascii="Calibri" w:cs="Calibri" w:eastAsia="Calibri" w:hAnsi="Calibri"/>
          <w:color w:val="595959"/>
          <w:sz w:val="18"/>
          <w:szCs w:val="18"/>
        </w:rPr>
        <w:t xml:space="preserve">Cells: C-B, R-D (primary).  Type: Stakeholder / expert analysis.</w:t>
      </w:r>
    </w:p>
    <w:p>
      <w:p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Brussels Institute for Geopolitics (29 May 2026). Marshalling the EU’s emerging industrial policy for defence. And: European Policy Centre (29 May 2026), Driving defence: the automotive sector’s role as a potential enabler of Europe’s defence surge.</w:t>
      </w:r>
    </w:p>
    <w:p>
      <w:pPr>
        <w:spacing w:after="220" w:before="0"/>
        <w:ind w:left="340"/>
      </w:pPr>
      <w:r>
        <w:rPr>
          <w:rFonts w:ascii="Calibri" w:cs="Calibri" w:eastAsia="Calibri" w:hAnsi="Calibri"/>
          <w:color w:val="595959"/>
          <w:sz w:val="18"/>
          <w:szCs w:val="18"/>
        </w:rPr>
        <w:t xml:space="preserve">Cells: C-A, C-B (primary); C-D.  Type: Stakeholder / expert analysis.</w:t>
      </w:r>
    </w:p>
    <w:p>
      <w:p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Finnish Institute of International Affairs (June 2026). The EU’s need for a new growth model: innovation under strategic capitalism. FIIA Report 6.</w:t>
      </w:r>
    </w:p>
    <w:p>
      <w:pPr>
        <w:spacing w:after="220" w:before="0"/>
        <w:ind w:left="340"/>
      </w:pPr>
      <w:r>
        <w:rPr>
          <w:rFonts w:ascii="Calibri" w:cs="Calibri" w:eastAsia="Calibri" w:hAnsi="Calibri"/>
          <w:color w:val="595959"/>
          <w:sz w:val="18"/>
          <w:szCs w:val="18"/>
        </w:rPr>
        <w:t xml:space="preserve">Cells: R-A, R-B (primary); C-A, K-A.  Type: Peer-reviewed / science-for-policy.</w:t>
      </w:r>
    </w:p>
    <w:p>
      <w:p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Finnish Institute of International Affairs (May 2026). The EU’s geoeconomic gap: why policy potential misses the mark. FIIA Briefing Paper 435.</w:t>
      </w:r>
    </w:p>
    <w:p>
      <w:pPr>
        <w:spacing w:after="220" w:before="0"/>
        <w:ind w:left="340"/>
      </w:pPr>
      <w:r>
        <w:rPr>
          <w:rFonts w:ascii="Calibri" w:cs="Calibri" w:eastAsia="Calibri" w:hAnsi="Calibri"/>
          <w:color w:val="595959"/>
          <w:sz w:val="18"/>
          <w:szCs w:val="18"/>
        </w:rPr>
        <w:t xml:space="preserve">Cells: R-D (primary); R-A.  Type: Peer-reviewed / science-for-policy.</w:t>
      </w:r>
    </w:p>
    <w:p>
      <w:p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European Council on Foreign Relations (June 2026). Mitigate, deter, escalate: Europe’s options against US economic coercion.</w:t>
      </w:r>
    </w:p>
    <w:p>
      <w:pPr>
        <w:spacing w:after="220" w:before="0"/>
        <w:ind w:left="340"/>
      </w:pPr>
      <w:r>
        <w:rPr>
          <w:rFonts w:ascii="Calibri" w:cs="Calibri" w:eastAsia="Calibri" w:hAnsi="Calibri"/>
          <w:color w:val="595959"/>
          <w:sz w:val="18"/>
          <w:szCs w:val="18"/>
        </w:rPr>
        <w:t xml:space="preserve">Cells: R-C, R-A (primary); R-D.  Type: Peer-reviewed / science-for-policy.</w:t>
      </w:r>
    </w:p>
    <w:p>
      <w:p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European Council on Foreign Relations (June 2026). Sliding doors: one Trump crisis, two possible futures for Europe.</w:t>
      </w:r>
    </w:p>
    <w:p>
      <w:pPr>
        <w:spacing w:after="220" w:before="0"/>
        <w:ind w:left="340"/>
      </w:pPr>
      <w:r>
        <w:rPr>
          <w:rFonts w:ascii="Calibri" w:cs="Calibri" w:eastAsia="Calibri" w:hAnsi="Calibri"/>
          <w:color w:val="595959"/>
          <w:sz w:val="18"/>
          <w:szCs w:val="18"/>
        </w:rPr>
        <w:t xml:space="preserve">Cells: R-A, R-D (scenario pair).  Type: Stakeholder / expert analysis.</w:t>
      </w:r>
    </w:p>
    <w:p>
      <w:p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Carnegie Europe (June 2026). From trade dependence to geopolitical leverage: the EU in an era of weaponized interdependence.</w:t>
      </w:r>
    </w:p>
    <w:p>
      <w:pPr>
        <w:spacing w:after="220" w:before="0"/>
        <w:ind w:left="340"/>
      </w:pPr>
      <w:r>
        <w:rPr>
          <w:rFonts w:ascii="Calibri" w:cs="Calibri" w:eastAsia="Calibri" w:hAnsi="Calibri"/>
          <w:color w:val="595959"/>
          <w:sz w:val="18"/>
          <w:szCs w:val="18"/>
        </w:rPr>
        <w:t xml:space="preserve">Cells: R-A, I-A (primary); R-C.  Type: Peer-reviewed / science-for-policy.</w:t>
      </w:r>
    </w:p>
    <w:p>
      <w:p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Hertie School, Jacques Delors Centre (May 2026). Selective conditionality: the EU’s emerging approach to foreign investment.</w:t>
      </w:r>
    </w:p>
    <w:p>
      <w:pPr>
        <w:spacing w:after="220" w:before="0"/>
        <w:ind w:left="340"/>
      </w:pPr>
      <w:r>
        <w:rPr>
          <w:rFonts w:ascii="Calibri" w:cs="Calibri" w:eastAsia="Calibri" w:hAnsi="Calibri"/>
          <w:color w:val="595959"/>
          <w:sz w:val="18"/>
          <w:szCs w:val="18"/>
        </w:rPr>
        <w:t xml:space="preserve">Cells: R-B, C-C (primary); C-B.  Type: Peer-reviewed / science-for-policy.</w:t>
      </w:r>
    </w:p>
    <w:p>
      <w:p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European Policy Centre (May 2026). Brussels economic security review, vol. I; Conditional openness, contingent security and wicked trade-offs; From openness to deterrence: Europe’s doctrine of reactive assertiveness. Three related publications.</w:t>
      </w:r>
    </w:p>
    <w:p>
      <w:pPr>
        <w:spacing w:after="220" w:before="0"/>
        <w:ind w:left="340"/>
      </w:pPr>
      <w:r>
        <w:rPr>
          <w:rFonts w:ascii="Calibri" w:cs="Calibri" w:eastAsia="Calibri" w:hAnsi="Calibri"/>
          <w:color w:val="595959"/>
          <w:sz w:val="18"/>
          <w:szCs w:val="18"/>
        </w:rPr>
        <w:t xml:space="preserve">Cells: R-B, R-A (primary); C-B.  Type: Stakeholder / expert analysis.</w:t>
      </w:r>
    </w:p>
    <w:p>
      <w:p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Chatham House (June 2026). Saving global economic governance from the ‘Trump shock’: why rules-supporting countries should establish a ‘third pole’ in the global economy, without the US and China.</w:t>
      </w:r>
    </w:p>
    <w:p>
      <w:pPr>
        <w:spacing w:after="220" w:before="0"/>
        <w:ind w:left="340"/>
      </w:pPr>
      <w:r>
        <w:rPr>
          <w:rFonts w:ascii="Calibri" w:cs="Calibri" w:eastAsia="Calibri" w:hAnsi="Calibri"/>
          <w:color w:val="595959"/>
          <w:sz w:val="18"/>
          <w:szCs w:val="18"/>
        </w:rPr>
        <w:t xml:space="preserve">Cells: R-A (primary); R-C.  Type: Peer-reviewed / science-for-policy.</w:t>
      </w:r>
    </w:p>
    <w:p>
      <w:p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Peterson Institute for International Economics (June 2026). Europe of the future 2050 — trade policy. Policy Brief (Europe 2050 series).</w:t>
      </w:r>
    </w:p>
    <w:p>
      <w:pPr>
        <w:spacing w:after="220" w:before="0"/>
        <w:ind w:left="340"/>
      </w:pPr>
      <w:r>
        <w:rPr>
          <w:rFonts w:ascii="Calibri" w:cs="Calibri" w:eastAsia="Calibri" w:hAnsi="Calibri"/>
          <w:color w:val="595959"/>
          <w:sz w:val="18"/>
          <w:szCs w:val="18"/>
        </w:rPr>
        <w:t xml:space="preserve">Cells: R-A, R-C (primary).  Type: Peer-reviewed / science-for-policy.</w:t>
      </w:r>
    </w:p>
    <w:p>
      <w:p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Stockholm International Peace Research Institute (May 2026). Cyber (dis)armament in practice: the EU’s role in governing software vulnerabilities in a fragmented international order. EU Non-Proliferation and Disarmament Consortium paper no. 100.</w:t>
      </w:r>
    </w:p>
    <w:p>
      <w:pPr>
        <w:spacing w:after="220" w:before="0"/>
        <w:ind w:left="340"/>
      </w:pPr>
      <w:r>
        <w:rPr>
          <w:rFonts w:ascii="Calibri" w:cs="Calibri" w:eastAsia="Calibri" w:hAnsi="Calibri"/>
          <w:color w:val="595959"/>
          <w:sz w:val="18"/>
          <w:szCs w:val="18"/>
        </w:rPr>
        <w:t xml:space="preserve">Cells: R-A, R-C (primary); I-C.  Type: Peer-reviewed / science-for-policy.</w:t>
      </w:r>
    </w:p>
    <w:p>
      <w:p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Centre for European Policy Studies (June 2026). Shared gains, secure links: rethinking EU–Asia digital cooperation.</w:t>
      </w:r>
    </w:p>
    <w:p>
      <w:pPr>
        <w:spacing w:after="220" w:before="0"/>
        <w:ind w:left="340"/>
      </w:pPr>
      <w:r>
        <w:rPr>
          <w:rFonts w:ascii="Calibri" w:cs="Calibri" w:eastAsia="Calibri" w:hAnsi="Calibri"/>
          <w:color w:val="595959"/>
          <w:sz w:val="18"/>
          <w:szCs w:val="18"/>
        </w:rPr>
        <w:t xml:space="preserve">Cells: R-A, K-C (primary).  Type: Peer-reviewed / science-for-policy.</w:t>
      </w:r>
    </w:p>
    <w:p>
      <w:p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European Policy Centre (30 June 2026). EU–China relations at a crossroads, vol. V: the geometry of coexistence. Task-force compendium.</w:t>
      </w:r>
    </w:p>
    <w:p>
      <w:pPr>
        <w:spacing w:after="220" w:before="0"/>
        <w:ind w:left="340"/>
      </w:pPr>
      <w:r>
        <w:rPr>
          <w:rFonts w:ascii="Calibri" w:cs="Calibri" w:eastAsia="Calibri" w:hAnsi="Calibri"/>
          <w:color w:val="595959"/>
          <w:sz w:val="18"/>
          <w:szCs w:val="18"/>
        </w:rPr>
        <w:t xml:space="preserve">Cells: R-C, K-B (primary); C-D.  Type: Stakeholder / expert analysis.</w:t>
      </w:r>
    </w:p>
    <w:p>
      <w:p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Fu, J.; Yang, M. (12 May 2026). Reconciling normativity and geopolitics: analyzing von der Leyen’s de-risking discourse from a practical argumentation perspective. Asia Europe Journal.</w:t>
      </w:r>
    </w:p>
    <w:p>
      <w:pPr>
        <w:spacing w:after="220" w:before="0"/>
        <w:ind w:left="340"/>
      </w:pPr>
      <w:r>
        <w:rPr>
          <w:rFonts w:ascii="Calibri" w:cs="Calibri" w:eastAsia="Calibri" w:hAnsi="Calibri"/>
          <w:color w:val="595959"/>
          <w:sz w:val="18"/>
          <w:szCs w:val="18"/>
        </w:rPr>
        <w:t xml:space="preserve">Cells: R-A, R-B (discourse).  Type: Peer-reviewed / science-for-policy.</w:t>
      </w:r>
    </w:p>
    <w:p>
      <w:p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Clancy, T.; Naugle, A. (5 June 2026). AI Sovereignty: A Qualitative Model of Strategic Competition as AI Becomes an Instrument of National Power. arXiv:2606.07245.</w:t>
      </w:r>
    </w:p>
    <w:p>
      <w:pPr>
        <w:spacing w:after="220" w:before="0"/>
        <w:ind w:left="340"/>
      </w:pPr>
      <w:r>
        <w:rPr>
          <w:rFonts w:ascii="Calibri" w:cs="Calibri" w:eastAsia="Calibri" w:hAnsi="Calibri"/>
          <w:color w:val="595959"/>
          <w:sz w:val="18"/>
          <w:szCs w:val="18"/>
        </w:rPr>
        <w:t xml:space="preserve">Cells: R, I (model).  Type: Preprint.</w:t>
      </w:r>
    </w:p>
    <w:p>
      <w:p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The Elgar Companion to the Geopolitics of Digital Sovereignty (11 June 2026). Edward Elgar. And: Cancela-Outeda, C. (28 July 2026), From Digital Sovereignty to European Sovereignty, in Europe’s Digital Challenges, Routledge.</w:t>
      </w:r>
    </w:p>
    <w:p>
      <w:pPr>
        <w:spacing w:after="220" w:before="0"/>
        <w:ind w:left="340"/>
      </w:pPr>
      <w:r>
        <w:rPr>
          <w:rFonts w:ascii="Calibri" w:cs="Calibri" w:eastAsia="Calibri" w:hAnsi="Calibri"/>
          <w:color w:val="595959"/>
          <w:sz w:val="18"/>
          <w:szCs w:val="18"/>
        </w:rPr>
        <w:t xml:space="preserve">Cells: R-A, R-B (reference).  Type: Peer-reviewed / science-for-policy.</w:t>
      </w:r>
    </w:p>
    <w:p>
      <w:p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Kiel Institute for the World Economy (June 2026). Shorting America: Europe’s financial leverage over the United States.</w:t>
      </w:r>
    </w:p>
    <w:p>
      <w:pPr>
        <w:spacing w:after="220" w:before="0"/>
        <w:ind w:left="340"/>
      </w:pPr>
      <w:r>
        <w:rPr>
          <w:rFonts w:ascii="Calibri" w:cs="Calibri" w:eastAsia="Calibri" w:hAnsi="Calibri"/>
          <w:color w:val="595959"/>
          <w:sz w:val="18"/>
          <w:szCs w:val="18"/>
        </w:rPr>
        <w:t xml:space="preserve">Cells: R-A, R-C (primary).  Type: Peer-reviewed / science-for-policy.</w:t>
      </w:r>
    </w:p>
    <w:p>
      <w:p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Istanbul Policy Center, Sabancı University (14 May 2026). The rise of selective protectionism within the EU’s evolving economic architecture.</w:t>
      </w:r>
    </w:p>
    <w:p>
      <w:pPr>
        <w:spacing w:after="220" w:before="0"/>
        <w:ind w:left="340"/>
      </w:pPr>
      <w:r>
        <w:rPr>
          <w:rFonts w:ascii="Calibri" w:cs="Calibri" w:eastAsia="Calibri" w:hAnsi="Calibri"/>
          <w:color w:val="595959"/>
          <w:sz w:val="18"/>
          <w:szCs w:val="18"/>
        </w:rPr>
        <w:t xml:space="preserve">Cells: R-B (primary); C-B.  Type: Stakeholder / expert analysis.</w:t>
      </w:r>
    </w:p>
    <w:p>
      <w:p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Azoulay, P.; Sadun, R.; Scur, D. (15 June 2026). Before the Exodus? Young Scientists and the Future of US Science. NBER Working Paper 35330.</w:t>
      </w:r>
    </w:p>
    <w:p>
      <w:pPr>
        <w:spacing w:after="220" w:before="0"/>
        <w:ind w:left="340"/>
      </w:pPr>
      <w:r>
        <w:rPr>
          <w:rFonts w:ascii="Calibri" w:cs="Calibri" w:eastAsia="Calibri" w:hAnsi="Calibri"/>
          <w:color w:val="595959"/>
          <w:sz w:val="18"/>
          <w:szCs w:val="18"/>
        </w:rPr>
        <w:t xml:space="preserve">Cells: K-A (primary); K-D.  Type: Peer-reviewed / science-for-policy.</w:t>
      </w:r>
    </w:p>
    <w:p>
      <w:p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Gross, D. P.; Sampat, B. N.; Zhang, H. (20 July 2026). Retreating from Science: The Long-Run Effects of the 1970s U.S. Military Disinvestment from University Research. NBER Working Paper 35491.</w:t>
      </w:r>
    </w:p>
    <w:p>
      <w:pPr>
        <w:spacing w:after="220" w:before="0"/>
        <w:ind w:left="340"/>
      </w:pPr>
      <w:r>
        <w:rPr>
          <w:rFonts w:ascii="Calibri" w:cs="Calibri" w:eastAsia="Calibri" w:hAnsi="Calibri"/>
          <w:color w:val="595959"/>
          <w:sz w:val="18"/>
          <w:szCs w:val="18"/>
        </w:rPr>
        <w:t xml:space="preserve">Cells: K-D, K-A (historical analogue); C-D.  Type: Peer-reviewed / science-for-policy.</w:t>
      </w:r>
    </w:p>
    <w:p>
      <w:p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Abramitzky, R.; Boustan, L. P.; Gulek, A.; Hainmueller, J. (3 August 2026). Long-Run Effects of H-1B Immigration on the U.S. Economy. NBER Working Paper 35560.</w:t>
      </w:r>
    </w:p>
    <w:p>
      <w:pPr>
        <w:spacing w:after="220" w:before="0"/>
        <w:ind w:left="340"/>
      </w:pPr>
      <w:r>
        <w:rPr>
          <w:rFonts w:ascii="Calibri" w:cs="Calibri" w:eastAsia="Calibri" w:hAnsi="Calibri"/>
          <w:color w:val="595959"/>
          <w:sz w:val="18"/>
          <w:szCs w:val="18"/>
        </w:rPr>
        <w:t xml:space="preserve">Cells: K-A, K-C (mechanism).  Type: Peer-reviewed / science-for-policy.</w:t>
      </w:r>
    </w:p>
    <w:p>
      <w:p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Angrist, J.; Diederichs, M.; Ellison, G. (25 May 2026). Will the University Endowment Tax Slow Scientific Progress? Evidence from Elite Economics PhD Programs. NBER Working Paper 35244.</w:t>
      </w:r>
    </w:p>
    <w:p>
      <w:pPr>
        <w:spacing w:after="220" w:before="0"/>
        <w:ind w:left="340"/>
      </w:pPr>
      <w:r>
        <w:rPr>
          <w:rFonts w:ascii="Calibri" w:cs="Calibri" w:eastAsia="Calibri" w:hAnsi="Calibri"/>
          <w:color w:val="595959"/>
          <w:sz w:val="18"/>
          <w:szCs w:val="18"/>
        </w:rPr>
        <w:t xml:space="preserve">Cells: K-A, K-D (US supply side).  Type: Peer-reviewed / science-for-policy.</w:t>
      </w:r>
    </w:p>
    <w:p>
      <w:p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Hill, R. R.; Stein, C. (4 May 2026). How Artificial Intelligence Shapes Science: Evidence from AlphaFold. NBER Working Paper 35143.</w:t>
      </w:r>
    </w:p>
    <w:p>
      <w:pPr>
        <w:spacing w:after="220" w:before="0"/>
        <w:ind w:left="340"/>
      </w:pPr>
      <w:r>
        <w:rPr>
          <w:rFonts w:ascii="Calibri" w:cs="Calibri" w:eastAsia="Calibri" w:hAnsi="Calibri"/>
          <w:color w:val="595959"/>
          <w:sz w:val="18"/>
          <w:szCs w:val="18"/>
        </w:rPr>
        <w:t xml:space="preserve">Cells: K-C, I-C (mechanism).  Type: Peer-reviewed / science-for-policy.</w:t>
      </w:r>
    </w:p>
    <w:p>
      <w:p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Arkolakis, C.; Lee, S. K.; Peters, M. (29 June 2026). Immigration, Innovation, and the Geography of Growth. NBER Working Paper 35392.</w:t>
      </w:r>
    </w:p>
    <w:p>
      <w:pPr>
        <w:spacing w:after="220" w:before="0"/>
        <w:ind w:left="340"/>
      </w:pPr>
      <w:r>
        <w:rPr>
          <w:rFonts w:ascii="Calibri" w:cs="Calibri" w:eastAsia="Calibri" w:hAnsi="Calibri"/>
          <w:color w:val="595959"/>
          <w:sz w:val="18"/>
          <w:szCs w:val="18"/>
        </w:rPr>
        <w:t xml:space="preserve">Cells: K-A (historical); K-D.  Type: Peer-reviewed / science-for-policy.</w:t>
      </w:r>
    </w:p>
    <w:p>
      <w:p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Eichengreen, B.; Cui, G.; El-Ganainy, A. A.; Koriyenko, Y.; Shojaei, E.; Zeng, L. (17 August 2026). AI in a Fragmenting World. NBER Working Paper 35597.</w:t>
      </w:r>
    </w:p>
    <w:p>
      <w:pPr>
        <w:spacing w:after="220" w:before="0"/>
        <w:ind w:left="340"/>
      </w:pPr>
      <w:r>
        <w:rPr>
          <w:rFonts w:ascii="Calibri" w:cs="Calibri" w:eastAsia="Calibri" w:hAnsi="Calibri"/>
          <w:color w:val="595959"/>
          <w:sz w:val="18"/>
          <w:szCs w:val="18"/>
        </w:rPr>
        <w:t xml:space="preserve">Cells: I-C, R-C (primary); C-D.  Type: Peer-reviewed / science-for-policy.</w:t>
      </w:r>
    </w:p>
    <w:p>
      <w:p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Domínguez-Iino, T.; Elliott, J. T.; Hsiao, A. (24 August 2026). Critical Minerals, Geopolitics, and the Green Transition. NBER Working Paper 35654.</w:t>
      </w:r>
    </w:p>
    <w:p>
      <w:pPr>
        <w:spacing w:after="220" w:before="0"/>
        <w:ind w:left="340"/>
      </w:pPr>
      <w:r>
        <w:rPr>
          <w:rFonts w:ascii="Calibri" w:cs="Calibri" w:eastAsia="Calibri" w:hAnsi="Calibri"/>
          <w:color w:val="595959"/>
          <w:sz w:val="18"/>
          <w:szCs w:val="18"/>
        </w:rPr>
        <w:t xml:space="preserve">Cells: I-D (primary); I-C.  Type: Peer-reviewed / science-for-policy.</w:t>
      </w:r>
    </w:p>
    <w:p>
      <w:p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Alvarez, F. E.; Argente, D.; Chow, J.; Van Patten, D. (11 May 2026). Data Centers and Local Economies in the Age of AI: A Shift–Share Approach. NBER Working Paper 35194.</w:t>
      </w:r>
    </w:p>
    <w:p>
      <w:pPr>
        <w:spacing w:after="220" w:before="0"/>
        <w:ind w:left="340"/>
      </w:pPr>
      <w:r>
        <w:rPr>
          <w:rFonts w:ascii="Calibri" w:cs="Calibri" w:eastAsia="Calibri" w:hAnsi="Calibri"/>
          <w:color w:val="595959"/>
          <w:sz w:val="18"/>
          <w:szCs w:val="18"/>
        </w:rPr>
        <w:t xml:space="preserve">Cells: I-B (primary); I-A.  Type: Peer-reviewed / science-for-policy.</w:t>
      </w:r>
    </w:p>
    <w:p>
      <w:p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Becker, B.; Benmelech, E.; Monteiro, J. (10 August 2026). The Value Gap: Europe Cannot Scale. NBER Working Paper 35577.</w:t>
      </w:r>
    </w:p>
    <w:p>
      <w:pPr>
        <w:spacing w:after="220" w:before="0"/>
        <w:ind w:left="340"/>
      </w:pPr>
      <w:r>
        <w:rPr>
          <w:rFonts w:ascii="Calibri" w:cs="Calibri" w:eastAsia="Calibri" w:hAnsi="Calibri"/>
          <w:color w:val="595959"/>
          <w:sz w:val="18"/>
          <w:szCs w:val="18"/>
        </w:rPr>
        <w:t xml:space="preserve">Cells: C-C, C-D (primary); C-B.  Type: Peer-reviewed / science-for-policy.</w:t>
      </w:r>
    </w:p>
    <w:p>
      <w:p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Bloom, N.; et al. (March 2026). Mind the Gap: AI Adoption in Europe and the U.S. NBER Working Paper 34995. And: NBER Working Paper 34964, Attention (and Money) Is All You Need; NBER Working Paper 35106, China’s Global Ownership. [window: check date]</w:t>
      </w:r>
    </w:p>
    <w:p>
      <w:pPr>
        <w:spacing w:after="220" w:before="0"/>
        <w:ind w:left="340"/>
      </w:pPr>
      <w:r>
        <w:rPr>
          <w:rFonts w:ascii="Calibri" w:cs="Calibri" w:eastAsia="Calibri" w:hAnsi="Calibri"/>
          <w:color w:val="595959"/>
          <w:sz w:val="18"/>
          <w:szCs w:val="18"/>
        </w:rPr>
        <w:t xml:space="preserve">Cells: C-D, K-D (context).  Type: Peer-reviewed / science-for-policy.</w:t>
      </w:r>
    </w:p>
    <w:p>
      <w:p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Gans, J. S. (10 August 2026). Staged Access and Liability for Dual-Use Artificial Intelligence. NBER Working Paper 35586.</w:t>
      </w:r>
    </w:p>
    <w:p>
      <w:pPr>
        <w:spacing w:after="220" w:before="0"/>
        <w:ind w:left="340"/>
      </w:pPr>
      <w:r>
        <w:rPr>
          <w:rFonts w:ascii="Calibri" w:cs="Calibri" w:eastAsia="Calibri" w:hAnsi="Calibri"/>
          <w:color w:val="595959"/>
          <w:sz w:val="18"/>
          <w:szCs w:val="18"/>
        </w:rPr>
        <w:t xml:space="preserve">Cells: R-C, R-A (primary); I-C.  Type: Peer-reviewed / science-for-policy.</w:t>
      </w:r>
    </w:p>
    <w:p>
      <w:p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Geyiktepe, M.; Rodrik, D. (3 August 2026). The China Backlash: Quantifying the Narrative Discourse on China. NBER Working Paper 35539.</w:t>
      </w:r>
    </w:p>
    <w:p>
      <w:pPr>
        <w:spacing w:after="220" w:before="0"/>
        <w:ind w:left="340"/>
      </w:pPr>
      <w:r>
        <w:rPr>
          <w:rFonts w:ascii="Calibri" w:cs="Calibri" w:eastAsia="Calibri" w:hAnsi="Calibri"/>
          <w:color w:val="595959"/>
          <w:sz w:val="18"/>
          <w:szCs w:val="18"/>
        </w:rPr>
        <w:t xml:space="preserve">Cells: R-C (context); K-B.  Type: Peer-reviewed / science-for-policy.</w:t>
      </w:r>
    </w:p>
    <w:p>
      <w:p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SEMI Europe (27 May 2026). EU Policy Brief, April 2026 edition. With the February and March 2026 editions.</w:t>
      </w:r>
    </w:p>
    <w:p>
      <w:pPr>
        <w:spacing w:after="220" w:before="0"/>
        <w:ind w:left="340"/>
      </w:pPr>
      <w:r>
        <w:rPr>
          <w:rFonts w:ascii="Calibri" w:cs="Calibri" w:eastAsia="Calibri" w:hAnsi="Calibri"/>
          <w:color w:val="595959"/>
          <w:sz w:val="18"/>
          <w:szCs w:val="18"/>
        </w:rPr>
        <w:t xml:space="preserve">Cells: R-D, R-C (primary); I-A, C-B.  Type: Stakeholder / expert analysis.</w:t>
      </w:r>
    </w:p>
    <w:p>
      <w:p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Scott Morton, F. M. (2026). Artificial-intelligence competition in Europe: the role of DMA Article 6(7). Bruegel Working Paper.</w:t>
      </w:r>
    </w:p>
    <w:p>
      <w:pPr>
        <w:spacing w:after="220" w:before="0"/>
        <w:ind w:left="340"/>
      </w:pPr>
      <w:r>
        <w:rPr>
          <w:rFonts w:ascii="Calibri" w:cs="Calibri" w:eastAsia="Calibri" w:hAnsi="Calibri"/>
          <w:color w:val="595959"/>
          <w:sz w:val="18"/>
          <w:szCs w:val="18"/>
        </w:rPr>
        <w:t xml:space="preserve">Cells: C-A, R-A (primary); I-C.  Type: Peer-reviewed / science-for-policy.</w:t>
      </w:r>
    </w:p>
    <w:p>
      <w:p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Bruegel (2026). To what extent can green infrastructure investment mitigate China’s clean-energy overcapacity? Working Paper. And: Beyond tariffs: why Europe and India must prioritise investment into manufacturing. Working Paper.</w:t>
      </w:r>
    </w:p>
    <w:p>
      <w:pPr>
        <w:spacing w:after="220" w:before="0"/>
        <w:ind w:left="340"/>
      </w:pPr>
      <w:r>
        <w:rPr>
          <w:rFonts w:ascii="Calibri" w:cs="Calibri" w:eastAsia="Calibri" w:hAnsi="Calibri"/>
          <w:color w:val="595959"/>
          <w:sz w:val="18"/>
          <w:szCs w:val="18"/>
        </w:rPr>
        <w:t xml:space="preserve">Cells: C-D, C-C (context).  Type: Peer-reviewed / science-for-policy.</w:t>
      </w:r>
    </w:p>
    <w:p>
      <w:p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Mavroidis, P. C.; Palacios, M. R. (2026). A plan for a World Trade Organization sectoral agreement on semiconductors. Bruegel Working Paper.</w:t>
      </w:r>
    </w:p>
    <w:p>
      <w:pPr>
        <w:spacing w:after="220" w:before="0"/>
        <w:ind w:left="340"/>
      </w:pPr>
      <w:r>
        <w:rPr>
          <w:rFonts w:ascii="Calibri" w:cs="Calibri" w:eastAsia="Calibri" w:hAnsi="Calibri"/>
          <w:color w:val="595959"/>
          <w:sz w:val="18"/>
          <w:szCs w:val="18"/>
        </w:rPr>
        <w:t xml:space="preserve">Cells: R-A, R-C (primary); I-A.  Type: Peer-reviewed / science-for-policy.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2026-08-27T05:53:55.224Z</dcterms:created>
  <dcterms:modified xsi:type="dcterms:W3CDTF">2026-08-27T05:53:55.225Z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