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What was expected vs. what happened</w:t>
      </w:r>
    </w:p>
    <w:p>
      <w:pPr>
        <w:pStyle w:val="Subtitle"/>
      </w:pPr>
      <w:r>
        <w:t>Radar 2 | Assessed against independent evidence | Updated 2026-10-19</w:t>
      </w:r>
    </w:p>
    <w:p>
      <w:r>
        <w:t>Scores: 1 = entirely incorrect; 100 = fully accurate. A missing score means the outcome cannot yet be responsibly established. Scores are evidence-based estimates, not objective guarantees.</w:t>
      </w:r>
    </w:p>
    <w:p>
      <w:pPr>
        <w:pStyle w:val="Heading2"/>
      </w:pPr>
      <w:r>
        <w:t>1. 2025 Strategic Foresight Report</w:t>
      </w:r>
    </w:p>
    <w:p>
      <w:r>
        <w:t>What was expected: the EU is projected to have 17 million fewer people of working age by 2040 than in 2023 (33).</w:t>
      </w:r>
    </w:p>
    <w:p>
      <w:r>
        <w:t>What happened: Not yet established.</w:t>
      </w:r>
    </w:p>
    <w:p>
      <w:r>
        <w:t>Accuracy: Not yet assessable</w:t>
      </w:r>
    </w:p>
    <w:p>
      <w:pPr>
        <w:pStyle w:val="Caption"/>
      </w:pPr>
      <w:r>
        <w:t>Original research: https://commission.europa.eu/strategy-and-policy/strategic-foresight/2025-strategic-foresight-report_en</w:t>
      </w:r>
    </w:p>
    <w:p>
      <w:pPr>
        <w:pStyle w:val="Heading2"/>
      </w:pPr>
      <w:r>
        <w:t>2. 2023 Strategic Foresight Report</w:t>
      </w:r>
    </w:p>
    <w:p>
      <w:r>
        <w:t>What was expected: It will be key to reinforcing Europe’s long-term competitiveness and social model, and thus its global leadership in the new, net-zero economy, also by supporting other regions in building a sustainable future.</w:t>
      </w:r>
    </w:p>
    <w:p>
      <w:r>
        <w:t>What happened: Not yet established.</w:t>
      </w:r>
    </w:p>
    <w:p>
      <w:r>
        <w:t>Accuracy: Not yet assessable</w:t>
      </w:r>
    </w:p>
    <w:p>
      <w:pPr>
        <w:pStyle w:val="Caption"/>
      </w:pPr>
      <w:r>
        <w:t>Original research: https://commission.europa.eu/strategy-and-policy/strategic-foresight/2023-strategic-foresight-report_en</w:t>
      </w:r>
    </w:p>
    <w:p>
      <w:pPr>
        <w:pStyle w:val="Heading2"/>
      </w:pPr>
      <w:r>
        <w:t>3. What if...? Scanning the horizon: 12 scenarios for 2021</w:t>
      </w:r>
    </w:p>
    <w:p>
      <w:r>
        <w:t>What was expected: Furthermore, while the 2018 revised EU Maritime Security Strategy Action Plan 7 called on member states to improve the resilience of maritime trans - port infrastructure by 2020, Zirta had a relatively small navy and an under-re - sourced ministry of defence.</w:t>
      </w:r>
    </w:p>
    <w:p>
      <w:r>
        <w:t>What happened: Not yet established.</w:t>
      </w:r>
    </w:p>
    <w:p>
      <w:r>
        <w:t>Accuracy: Not yet assessable</w:t>
      </w:r>
    </w:p>
    <w:p>
      <w:pPr>
        <w:pStyle w:val="Caption"/>
      </w:pPr>
      <w:r>
        <w:t>Original research: https://www.iss.europa.eu/sites/default/files/EUISSFiles/CP_150_0.pdf</w:t>
      </w:r>
    </w:p>
    <w:p>
      <w:pPr>
        <w:pStyle w:val="Heading2"/>
      </w:pPr>
      <w:r>
        <w:t>4. Skills forecast: trends and challenges to 2030</w:t>
      </w:r>
    </w:p>
    <w:p>
      <w:r>
        <w:t>What was expected: Prospects for employment and labour force trends in Europe Key messages Employment growth is expected to be moderate over the medium term, slowing down considerably after 2025.</w:t>
      </w:r>
    </w:p>
    <w:p>
      <w:r>
        <w:t>What happened: Not yet established.</w:t>
      </w:r>
    </w:p>
    <w:p>
      <w:r>
        <w:t>Accuracy: Not yet assessable</w:t>
      </w:r>
    </w:p>
    <w:p>
      <w:pPr>
        <w:pStyle w:val="Caption"/>
      </w:pPr>
      <w:r>
        <w:t>Original research: https://www.cedefop.europa.eu/en/publications/3077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