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RADAR 2 | Expected vs. Actually Happened</w:t>
      </w:r>
    </w:p>
    <w:p>
      <w:r>
        <w:t>Evidence audit generated 2026-10-20 15:19 UTC</w:t>
      </w:r>
    </w:p>
    <w:p>
      <w:r>
        <w:t>Important: 515 discovery leads are not 515 verified predictions. A report regenerated today does not imply new evidence was discovered today. Forecast candidates, observed policy developments, and reviewed outcomes are separate categories.</w:t>
      </w:r>
    </w:p>
    <w:p>
      <w:pPr>
        <w:pStyle w:val="Heading1"/>
      </w:pPr>
      <w:r>
        <w:t>Run and evidence summary</w:t>
      </w:r>
    </w:p>
    <w:p>
      <w:r>
        <w:rPr>
          <w:b/>
        </w:rPr>
        <w:t xml:space="preserve">Research leads indexed: </w:t>
      </w:r>
      <w:r>
        <w:t>515</w:t>
      </w:r>
    </w:p>
    <w:p>
      <w:r>
        <w:rPr>
          <w:b/>
        </w:rPr>
        <w:t xml:space="preserve">Potential forecast excerpts (not validated): </w:t>
      </w:r>
      <w:r>
        <w:t>28</w:t>
      </w:r>
    </w:p>
    <w:p>
      <w:r>
        <w:rPr>
          <w:b/>
        </w:rPr>
        <w:t xml:space="preserve">Candidate horizons still ahead: </w:t>
      </w:r>
      <w:r>
        <w:t>23</w:t>
      </w:r>
    </w:p>
    <w:p>
      <w:r>
        <w:rPr>
          <w:b/>
        </w:rPr>
        <w:t xml:space="preserve">Missing full-text prediction checks: </w:t>
      </w:r>
      <w:r>
        <w:t>217</w:t>
      </w:r>
    </w:p>
    <w:p>
      <w:r>
        <w:rPr>
          <w:b/>
        </w:rPr>
        <w:t xml:space="preserve">No dated, testable forecast in metadata: </w:t>
      </w:r>
      <w:r>
        <w:t>270</w:t>
      </w:r>
    </w:p>
    <w:p>
      <w:r>
        <w:rPr>
          <w:b/>
        </w:rPr>
        <w:t xml:space="preserve">Source-reviewed expected-vs-actual outcomes: </w:t>
      </w:r>
      <w:r>
        <w:t>0</w:t>
      </w:r>
    </w:p>
    <w:p>
      <w:r>
        <w:rPr>
          <w:b/>
        </w:rPr>
        <w:t xml:space="preserve">Studies with tentative OpenAlex/corpus comparisons: </w:t>
      </w:r>
      <w:r>
        <w:t>515</w:t>
      </w:r>
    </w:p>
    <w:p>
      <w:r>
        <w:rPr>
          <w:b/>
        </w:rPr>
        <w:t xml:space="preserve">Comparisons with later abstract-reported study results: </w:t>
      </w:r>
      <w:r>
        <w:t>8</w:t>
      </w:r>
    </w:p>
    <w:p>
      <w:r>
        <w:rPr>
          <w:b/>
        </w:rPr>
        <w:t xml:space="preserve">Rejected submitted outcome cases: </w:t>
      </w:r>
      <w:r>
        <w:t>0</w:t>
      </w:r>
    </w:p>
    <w:p>
      <w:r>
        <w:rPr>
          <w:b/>
        </w:rPr>
        <w:t xml:space="preserve">Run type: </w:t>
      </w:r>
      <w:r>
        <w:t>catalogue</w:t>
      </w:r>
    </w:p>
    <w:p>
      <w:r>
        <w:rPr>
          <w:b/>
        </w:rPr>
        <w:t xml:space="preserve">Study comparisons / research attempts this run: </w:t>
      </w:r>
      <w:r>
        <w:t>515</w:t>
      </w:r>
    </w:p>
    <w:p>
      <w:r>
        <w:rPr>
          <w:b/>
        </w:rPr>
        <w:t xml:space="preserve">Live external research requests: </w:t>
      </w:r>
      <w:r>
        <w:t>0</w:t>
      </w:r>
    </w:p>
    <w:p>
      <w:r>
        <w:rPr>
          <w:b/>
        </w:rPr>
        <w:t xml:space="preserve">Failed research requests: </w:t>
      </w:r>
      <w:r>
        <w:t>0</w:t>
      </w:r>
    </w:p>
    <w:p>
      <w:r>
        <w:rPr>
          <w:b/>
        </w:rPr>
        <w:t xml:space="preserve">New dated-evidence assessments this run: </w:t>
      </w:r>
      <w:r>
        <w:t>0</w:t>
      </w:r>
    </w:p>
    <w:p>
      <w:r>
        <w:rPr>
          <w:b/>
        </w:rPr>
        <w:t xml:space="preserve">New research comparisons this run: </w:t>
      </w:r>
      <w:r>
        <w:t>515</w:t>
      </w:r>
    </w:p>
    <w:p>
      <w:r>
        <w:rPr>
          <w:b/>
        </w:rPr>
        <w:t xml:space="preserve">Later studies found this run: </w:t>
      </w:r>
      <w:r>
        <w:t>150</w:t>
      </w:r>
    </w:p>
    <w:p>
      <w:r>
        <w:rPr>
          <w:b/>
        </w:rPr>
        <w:t xml:space="preserve">Run note: </w:t>
      </w:r>
      <w:r>
        <w:t>Compared genuine existing scholarly records offline; no new external request.</w:t>
      </w:r>
    </w:p>
    <w:p>
      <w:r>
        <w:t>RESULT: No original-text-reviewed, independently measured forecast comparisons have been verified. Any blank outcome below is a genuine evidence gap, not a negative forecast verdict.</w:t>
      </w:r>
    </w:p>
    <w:p>
      <w:pPr>
        <w:pStyle w:val="Heading1"/>
      </w:pPr>
      <w:r>
        <w:t>2 | Documented developments (not forecast verdicts)</w:t>
      </w:r>
    </w:p>
    <w:p>
      <w:r>
        <w:t>These manually provided, source-linked observations show measurable policy progress. They must not be counted as validation of a forecast unless the original publication made that exact testable prediction.</w:t>
      </w:r>
    </w:p>
    <w:p>
      <w:pPr>
        <w:pStyle w:val="Heading2"/>
      </w:pPr>
      <w:r>
        <w:t>EU renewable energy share, 2030 target</w:t>
      </w:r>
    </w:p>
    <w:p>
      <w:r>
        <w:rPr>
          <w:b/>
        </w:rPr>
        <w:t xml:space="preserve">WHAT WAS EXPECTED / TARGETED: </w:t>
      </w:r>
      <w:r>
        <w:t>The 2018 Renewable Energy Directive originally set a binding EU renewable-energy share target of at least 32% by 2030. This was a policy target, not a prediction that 32% would be achieved.</w:t>
      </w:r>
    </w:p>
    <w:p>
      <w:r>
        <w:rPr>
          <w:b/>
        </w:rPr>
        <w:t xml:space="preserve">WHAT ACTUALLY HAPPENED: </w:t>
      </w:r>
      <w:r>
        <w:t>The 2030 binding target was raised to at least 42.5% in 2023. Eurostat reported a 25.2% renewables share of EU gross final energy consumption for 2024, leaving a 17.3-percentage-point gap to the revised 2030 target.</w:t>
      </w:r>
    </w:p>
    <w:p>
      <w:r>
        <w:rPr>
          <w:b/>
        </w:rPr>
        <w:t xml:space="preserve">Status and caveat: </w:t>
      </w:r>
      <w:r>
        <w:t>Progress observed; 2030 target not yet due; no claim of final realization.</w:t>
      </w:r>
    </w:p>
    <w:p>
      <w:r>
        <w:rPr>
          <w:b/>
        </w:rPr>
        <w:t xml:space="preserve">Related research lead (not necessarily a prediction): </w:t>
      </w:r>
      <w:r>
        <w:t>Fifty shades of binding: Appraising the enforcement toolkit for the EU’s 2030 renewable energy targets | https://doi.org/10.1111/reel.12330</w:t>
      </w:r>
    </w:p>
    <w:p>
      <w:r>
        <w:rPr>
          <w:b/>
        </w:rPr>
        <w:t xml:space="preserve">Dated source (2018-12-21): </w:t>
      </w:r>
      <w:r>
        <w:t>Original binding 32% target | https://commission.europa.eu/news-and-media/news/new-renewables-energy-efficiency-and-governance-legislation-comes-force-24-december-2018-2018-12-21_en</w:t>
      </w:r>
    </w:p>
    <w:p>
      <w:r>
        <w:rPr>
          <w:b/>
        </w:rPr>
        <w:t xml:space="preserve">Dated source (2023-11-20): </w:t>
      </w:r>
      <w:r>
        <w:t>Directive revision raises target to at least 42.5% | https://energy.ec.europa.eu/topics/renewable-energy/renewable-energy-directive-targets-and-rules/renewable-energy-targets_en</w:t>
      </w:r>
    </w:p>
    <w:p>
      <w:r>
        <w:rPr>
          <w:b/>
        </w:rPr>
        <w:t xml:space="preserve">Dated source (2025-12-18): </w:t>
      </w:r>
      <w:r>
        <w:t>Eurostat reports 25.2% renewable share for 2024 | https://ec.europa.eu/eurostat/en/web/products-eurostat-news/w/ddn-20251218-2</w:t>
      </w:r>
    </w:p>
    <w:p>
      <w:pPr>
        <w:pStyle w:val="Heading2"/>
      </w:pPr>
      <w:r>
        <w:t>EU net greenhouse gas reduction toward 2030</w:t>
      </w:r>
    </w:p>
    <w:p>
      <w:r>
        <w:rPr>
          <w:b/>
        </w:rPr>
        <w:t xml:space="preserve">WHAT WAS EXPECTED / TARGETED: </w:t>
      </w:r>
      <w:r>
        <w:t>The EU policy objective is to reduce net greenhouse gas emissions by at least 55% by 2030 relative to 1990, and become climate neutral by 2050. These are targets, not predictions.</w:t>
      </w:r>
    </w:p>
    <w:p>
      <w:r>
        <w:rPr>
          <w:b/>
        </w:rPr>
        <w:t xml:space="preserve">WHAT ACTUALLY HAPPENED: </w:t>
      </w:r>
      <w:r>
        <w:t>The European Commission reported that provisional EU net greenhouse gas emissions in 2024 were 37.2% below 1990, within the scope of the EU climate target. The 2030 objective is not yet due.</w:t>
      </w:r>
    </w:p>
    <w:p>
      <w:r>
        <w:rPr>
          <w:b/>
        </w:rPr>
        <w:t xml:space="preserve">Status and caveat: </w:t>
      </w:r>
      <w:r>
        <w:t>Observed emissions reductions; 2030 and 2050 objectives not yet verifiable as completed.</w:t>
      </w:r>
    </w:p>
    <w:p>
      <w:r>
        <w:rPr>
          <w:b/>
        </w:rPr>
        <w:t xml:space="preserve">Related research lead (not necessarily a prediction): </w:t>
      </w:r>
      <w:r>
        <w:t>Carbon Neutrality and Resilient Districts, a Common Strategy in European Union Countries in 2050 | https://doi.org/10.3390/atmos16050508</w:t>
      </w:r>
    </w:p>
    <w:p>
      <w:r>
        <w:rPr>
          <w:b/>
        </w:rPr>
        <w:t xml:space="preserve">Dated source (2025): </w:t>
      </w:r>
      <w:r>
        <w:t>European Commission 2025 progress report gives 2024 net emissions reduction of 37.2% versus 1990 | https://climate.ec.europa.eu/areas-action/climate-strategies-targets/progress-climate-action/eu-climate-action-progress-report-2025/chapter-1-climate-action-advances-and-challenges_en</w:t>
      </w:r>
    </w:p>
    <w:p>
      <w:r>
        <w:rPr>
          <w:b/>
        </w:rPr>
        <w:t xml:space="preserve">Dated source (2025): </w:t>
      </w:r>
      <w:r>
        <w:t>EEA says 2024 estimated net GHG emissions 37% below 1990; 55% 2030 goal not yet due | https://www.eea.europa.eu/en/newsroom/news/trends-and-projections-greenhouse-gas-emissions-largely-on-track-to-2030-targets</w:t>
      </w:r>
    </w:p>
    <w:p>
      <w:pPr>
        <w:pStyle w:val="Heading1"/>
      </w:pPr>
      <w:r>
        <w:t>3 | Provisional comparisons with later scholarship</w:t>
      </w:r>
    </w:p>
    <w:p>
      <w:r>
        <w:t>This section provides a first-pass assessment using later studies indexed by OpenAlex or already captured by Scanner 1. It is useful for identifying emerging agreement, empirical follow-up, methodological debate and gaps. Abstract statements are the published authors' reported findings, NOT independent observation confirmed by Radar 2. The word "EU" here means EU-related subjects, not necessarily foresight issued by an EU institution. No performance score is inferred.</w:t>
      </w:r>
    </w:p>
    <w:p>
      <w:r>
        <w:rPr>
          <w:b/>
        </w:rPr>
        <w:t xml:space="preserve">Records compared so far: </w:t>
      </w:r>
      <w:r>
        <w:t>515</w:t>
      </w:r>
    </w:p>
    <w:p>
      <w:r>
        <w:t>Topic coverage of literature comparisons (NOT EU prediction accuracy): Other European foresight research: 233; Climate and energy: 123; Population and work: 36; Economy and finance: 35; Technology and digital: 27; Health and society: 23; Environment and food: 21; Security and governance: 17</w:t>
      </w:r>
    </w:p>
    <w:p>
      <w:r>
        <w:rPr>
          <w:b/>
        </w:rPr>
        <w:t xml:space="preserve">With result-like passages in later abstracts: </w:t>
      </w:r>
      <w:r>
        <w:t>8</w:t>
      </w:r>
    </w:p>
    <w:p>
      <w:r>
        <w:rPr>
          <w:b/>
        </w:rPr>
        <w:t xml:space="preserve">With only related models or topic papers: </w:t>
      </w:r>
      <w:r>
        <w:t>89</w:t>
      </w:r>
    </w:p>
    <w:p>
      <w:r>
        <w:rPr>
          <w:b/>
        </w:rPr>
        <w:t xml:space="preserve">With no sufficiently close study found: </w:t>
      </w:r>
      <w:r>
        <w:t>418</w:t>
      </w:r>
    </w:p>
    <w:p>
      <w:r>
        <w:t>Showing the top 40 comparisons, prioritizing records with later-source matches. All assessments, including failed matches, remain in retrospective-results.json.</w:t>
      </w:r>
    </w:p>
    <w:p>
      <w:pPr>
        <w:pStyle w:val="Heading2"/>
      </w:pPr>
      <w:r>
        <w:t>1. Nonlinearities in carbon spot-futures price relationships during Phase II of the EU ETS</w:t>
      </w:r>
    </w:p>
    <w:p>
      <w:r>
        <w:rPr>
          <w:b/>
        </w:rPr>
        <w:t xml:space="preserve">WHAT WAS SAID / EXPECTED: </w:t>
      </w:r>
      <w:r>
        <w:t>Nonlinearities in carbon spot-futures price relationships during Phase II of the EU ETS</w:t>
      </w:r>
    </w:p>
    <w:p>
      <w:r>
        <w:rPr>
          <w:b/>
        </w:rPr>
        <w:t xml:space="preserve">LATER STUDIES / WHAT THEY REPORT: </w:t>
      </w:r>
      <w:r>
        <w:t>Later scholarly abstracts report: 2020: The empirical results show that (i) during our sample period, carbon spot and futures markets are highly correlated, (ii) carbon spot overflows to the futures market and vice versa, and (iii) the HE value is equal to 0.9370, indicating a good performance for the hedging strategy. | 2015: Overall, we find that (a) carbon costs are passed through fully in most countries; (b) under some model specifications, cost pass-through is higher during peakload than during baseload for France, Germany and the Netherlands; and (c) the results are sensitive to the degree of cross-commodity and cross-market interaction allowed.</w:t>
      </w:r>
    </w:p>
    <w:p>
      <w:r>
        <w:rPr>
          <w:b/>
        </w:rPr>
        <w:t xml:space="preserve">TENTATIVE ASSESSMENT: </w:t>
      </w:r>
      <w:r>
        <w:t>4 related later studies found; 2 contain result-like abstract passages (which may describe models rather than real-world measurements). This suggests follow-up, but direction and comparability with the earlier claim are not established.</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https://doi.org/10.1016/j.econmod.2011.11.003</w:t>
      </w:r>
    </w:p>
    <w:p>
      <w:r>
        <w:rPr>
          <w:b/>
        </w:rPr>
        <w:t xml:space="preserve">Search method and date: </w:t>
      </w:r>
      <w:r>
        <w:t>existing_scanner_catalogue (saved OpenAlex/Crossref records) | 2026-10-20T15:19</w:t>
      </w:r>
    </w:p>
    <w:p>
      <w:r>
        <w:rPr>
          <w:b/>
        </w:rPr>
        <w:t xml:space="preserve">Later study (2020; abstract_reports_results): </w:t>
      </w:r>
      <w:r>
        <w:t>The Linkages of Carbon Spot-Futures: Evidence from EU-ETS in the Third Phase | https://doi.org/10.3390/su12062517</w:t>
      </w:r>
    </w:p>
    <w:p>
      <w:r>
        <w:rPr>
          <w:b/>
        </w:rPr>
        <w:t xml:space="preserve">Its abstract states: </w:t>
      </w:r>
      <w:r>
        <w:t>The empirical results show that (i) during our sample period, carbon spot and futures markets are highly correlated, (ii) carbon spot overflows to the futures market and vice versa, and (iii) the HE value is equal to 0.9370, indicating a good performance for the hedging strategy.</w:t>
      </w:r>
    </w:p>
    <w:p>
      <w:r>
        <w:rPr>
          <w:b/>
        </w:rPr>
        <w:t xml:space="preserve">Later study (2015; abstract_reports_results): </w:t>
      </w:r>
      <w:r>
        <w:t>Carbon Content of Electricity Futures in Phase II of the EU ETS | https://doi.org/10.5547/01956574.36.4.hfel</w:t>
      </w:r>
    </w:p>
    <w:p>
      <w:r>
        <w:rPr>
          <w:b/>
        </w:rPr>
        <w:t xml:space="preserve">Its abstract states: </w:t>
      </w:r>
      <w:r>
        <w:t>Overall, we find that (a) carbon costs are passed through fully in most countries; (b) under some model specifications, cost pass-through is higher during peakload than during baseload for France, Germany and the Netherlands; and (c) the results are sensitive to the degree of cross-commodity and cross-market interaction allowed.</w:t>
      </w:r>
    </w:p>
    <w:p>
      <w:r>
        <w:rPr>
          <w:b/>
        </w:rPr>
        <w:t xml:space="preserve">Later study (2023; related_study_or_model): </w:t>
      </w:r>
      <w:r>
        <w:t>Re-examining the efficiency of the EU carbon futures market in phase Ⅱ: price discovery and intertemporal arbitrage | https://doi.org/10.3389/fenrg.2023.1236488</w:t>
      </w:r>
    </w:p>
    <w:p>
      <w:r>
        <w:rPr>
          <w:b/>
        </w:rPr>
        <w:t xml:space="preserve">Later study (2021; related_study_or_model): </w:t>
      </w:r>
      <w:r>
        <w:t>Research on the Correlation Between WTI Crude Oil Futures Price and European Carbon Futures Price | https://doi.org/10.3389/fenrg.2021.735665</w:t>
      </w:r>
    </w:p>
    <w:p>
      <w:pPr>
        <w:pStyle w:val="Heading2"/>
      </w:pPr>
      <w:r>
        <w:t>2. Scenarios on European energy security: Outcomes of natural gas strategy in 2020</w:t>
      </w:r>
    </w:p>
    <w:p>
      <w:r>
        <w:rPr>
          <w:b/>
        </w:rPr>
        <w:t xml:space="preserve">WHAT WAS SAID / EXPECTED: </w:t>
      </w:r>
      <w:r>
        <w:t>Scenarios on European energy security: Outcomes of natural gas strategy in 2020</w:t>
      </w:r>
    </w:p>
    <w:p>
      <w:r>
        <w:rPr>
          <w:b/>
        </w:rPr>
        <w:t xml:space="preserve">LATER STUDIES / WHAT THEY REPORT: </w:t>
      </w:r>
      <w:r>
        <w:t>Later scholarly abstracts report: 2019: Although State Grid Corporation of China can nominate two members of CDP Reti’s board of directors, we find that there is no direct threat to national security.</w:t>
      </w:r>
    </w:p>
    <w:p>
      <w:r>
        <w:rPr>
          <w:b/>
        </w:rPr>
        <w:t xml:space="preserve">TENTATIVE ASSESSMENT: </w:t>
      </w:r>
      <w:r>
        <w:t>2 related later studies found; 1 contain result-like abstract passages (which may describe models rather than real-world measurements). This suggests follow-up, but direction and comparability with the earlier claim are not established.</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https://doi.org/10.1016/j.futures.2011.07.007</w:t>
      </w:r>
    </w:p>
    <w:p>
      <w:r>
        <w:rPr>
          <w:b/>
        </w:rPr>
        <w:t xml:space="preserve">Search method and date: </w:t>
      </w:r>
      <w:r>
        <w:t>existing_scanner_catalogue (saved OpenAlex/Crossref records) | 2026-10-20T15:19</w:t>
      </w:r>
    </w:p>
    <w:p>
      <w:r>
        <w:rPr>
          <w:b/>
        </w:rPr>
        <w:t xml:space="preserve">Later study (2019; abstract_reports_results): </w:t>
      </w:r>
      <w:r>
        <w:t>Motivations, security threats and geopolitical implications of Chinese investment in the EU energy sector: the case of CDP Reti | https://doi.org/10.1177/1354066119871350</w:t>
      </w:r>
    </w:p>
    <w:p>
      <w:r>
        <w:rPr>
          <w:b/>
        </w:rPr>
        <w:t xml:space="preserve">Its abstract states: </w:t>
      </w:r>
      <w:r>
        <w:t>Although State Grid Corporation of China can nominate two members of CDP Reti’s board of directors, we find that there is no direct threat to national security.</w:t>
      </w:r>
    </w:p>
    <w:p>
      <w:r>
        <w:rPr>
          <w:b/>
        </w:rPr>
        <w:t xml:space="preserve">Later study (2025; related_study_or_model): </w:t>
      </w:r>
      <w:r>
        <w:t>Pricing the Shock: How TTF Futures Reflected Europe's Energy Security Crisis After Russia's Gas Cutoff and the Nordstream Sabotage | https://doi.org/10.1002/gas.22606</w:t>
      </w:r>
    </w:p>
    <w:p>
      <w:pPr>
        <w:pStyle w:val="Heading2"/>
      </w:pPr>
      <w:r>
        <w:t>3. Extreme Floods and Droughts under Future Climate Scenarios</w:t>
      </w:r>
    </w:p>
    <w:p>
      <w:r>
        <w:rPr>
          <w:b/>
        </w:rPr>
        <w:t xml:space="preserve">WHAT WAS SAID / EXPECTED: </w:t>
      </w:r>
      <w:r>
        <w:t>Climate projections indicate that in many regions of the world the risk of increased flooding or more severe droughts will be higher in the future. To account for these trends, hydrologists search for the best planning and management measures in an increasingly complex and uncertain environment. The collection of manuscripts in this Special Issue quantifies the changes in projected hydroclimatic extremes and their impacts using a suite of innovative approaches applied to regions in North America, Asia, and Europe. To reduce the uncertainty and warrant the applicability of the research on projections of future floods and droughts, their continued development and testing using newly acquired observational data are critical.</w:t>
      </w:r>
    </w:p>
    <w:p>
      <w:r>
        <w:rPr>
          <w:b/>
        </w:rPr>
        <w:t xml:space="preserve">LATER STUDIES / WHAT THEY REPORT: </w:t>
      </w:r>
      <w:r>
        <w:t>Later scholarly abstracts report: 2023: The E-OBS dataset is used as a reference for evaluating the NEX-GDDP’s capability to simulate the features of the observed historical extreme heat events.</w:t>
      </w:r>
    </w:p>
    <w:p>
      <w:r>
        <w:rPr>
          <w:b/>
        </w:rPr>
        <w:t xml:space="preserve">TENTATIVE ASSESSMENT: </w:t>
      </w:r>
      <w:r>
        <w:t>2 related later studies found; 1 contain result-like abstract passages (which may describe models rather than real-world measurements). This suggests follow-up, but direction and comparability with the earlier claim are not established.</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https://doi.org/10.3390/w11081720</w:t>
      </w:r>
    </w:p>
    <w:p>
      <w:r>
        <w:rPr>
          <w:b/>
        </w:rPr>
        <w:t xml:space="preserve">Search method and date: </w:t>
      </w:r>
      <w:r>
        <w:t>existing_scanner_catalogue (saved OpenAlex/Crossref records) | 2026-10-20T15:19</w:t>
      </w:r>
    </w:p>
    <w:p>
      <w:r>
        <w:rPr>
          <w:b/>
        </w:rPr>
        <w:t xml:space="preserve">Later study (2023; abstract_reports_results): </w:t>
      </w:r>
      <w:r>
        <w:t>Extreme Heat Events over Southeast Europe Based on NEX-GDDP Ensemble: Present Climate Evaluation and Future Projections | https://doi.org/10.3390/atmos14061000</w:t>
      </w:r>
    </w:p>
    <w:p>
      <w:r>
        <w:rPr>
          <w:b/>
        </w:rPr>
        <w:t xml:space="preserve">Its abstract states: </w:t>
      </w:r>
      <w:r>
        <w:t>The E-OBS dataset is used as a reference for evaluating the NEX-GDDP’s capability to simulate the features of the observed historical extreme heat events.</w:t>
      </w:r>
    </w:p>
    <w:p>
      <w:r>
        <w:rPr>
          <w:b/>
        </w:rPr>
        <w:t xml:space="preserve">Later study (2021; related_study_or_model): </w:t>
      </w:r>
      <w:r>
        <w:t>Extreme wind projections over Europe from the Euro-CORDEX regional climate models | https://doi.org/10.1016/j.wace.2021.100363</w:t>
      </w:r>
    </w:p>
    <w:p>
      <w:pPr>
        <w:pStyle w:val="Heading2"/>
      </w:pPr>
      <w:r>
        <w:t>4. Record dry summer in 2015 challenges precipitation projections in Central Europe</w:t>
      </w:r>
    </w:p>
    <w:p>
      <w:r>
        <w:rPr>
          <w:b/>
        </w:rPr>
        <w:t xml:space="preserve">WHAT WAS SAID / EXPECTED: </w:t>
      </w:r>
      <w:r>
        <w:t>Abstract Central Europe was characterized by a humid-temperate climate in the 20 th century. Climate change projections suggest that climate in this area will shift towards warmer temperatures by the end of the 21 st century, while projected precipitation changes are highly uncertain. Here we show that the 2015 summer rainfall was the lowest on record since 1901 in Central Europe and that climate models that perform best in the three driest years of the historical time period 1901–2015 project stronger drying trends in the 21 st century than models that perform best in the remaining years. Analyses of precipitation and derived soil moisture reveal that the 2015 event was drier than both the recent 2003 or 2010 extreme summers in Central Europe. Additionally there are large anomalies in satellite-derived vegetation greenness. In terms of precipitation and temperature anomalies, the 2015 summer in Central Europe is found to lie between historical climate in the region and that characteristic of the Mediterranean area. Even though the models best capturing past droughts are not necessar</w:t>
      </w:r>
    </w:p>
    <w:p>
      <w:r>
        <w:rPr>
          <w:b/>
        </w:rPr>
        <w:t xml:space="preserve">LATER STUDIES / WHAT THEY REPORT: </w:t>
      </w:r>
      <w:r>
        <w:t>Later scholarly abstracts report: 2018: We find a divergent behavior in long-term projections of summer precipitation until the end of the 21st century, resulting in a trimodal distribution of precipitation (wet, dry and very dry).</w:t>
      </w:r>
    </w:p>
    <w:p>
      <w:r>
        <w:rPr>
          <w:b/>
        </w:rPr>
        <w:t xml:space="preserve">TENTATIVE ASSESSMENT: </w:t>
      </w:r>
      <w:r>
        <w:t>1 related later studies found; 1 contain result-like abstract passages (which may describe models rather than real-world measurements). This suggests follow-up, but direction and comparability with the earlier claim are not established.</w:t>
      </w:r>
    </w:p>
    <w:p>
      <w:r>
        <w:rPr>
          <w:b/>
        </w:rPr>
        <w:t xml:space="preserve">Confidence / limitations: </w:t>
      </w:r>
      <w:r>
        <w:t>Original record is a research lead, not a validated dated forecast. This is a topic-level comparison.</w:t>
      </w:r>
    </w:p>
    <w:p>
      <w:r>
        <w:rPr>
          <w:b/>
        </w:rPr>
        <w:t xml:space="preserve">Topic: </w:t>
      </w:r>
      <w:r>
        <w:t>Other European foresight research</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https://doi.org/10.1038/srep28334</w:t>
      </w:r>
    </w:p>
    <w:p>
      <w:r>
        <w:rPr>
          <w:b/>
        </w:rPr>
        <w:t xml:space="preserve">Search method and date: </w:t>
      </w:r>
      <w:r>
        <w:t>existing_scanner_catalogue (saved OpenAlex/Crossref records) | 2026-10-20T15:19</w:t>
      </w:r>
    </w:p>
    <w:p>
      <w:r>
        <w:rPr>
          <w:b/>
        </w:rPr>
        <w:t xml:space="preserve">Later study (2018; abstract_reports_results): </w:t>
      </w:r>
      <w:r>
        <w:t>Varying soil moisture–atmosphere feedbacks explain divergent temperature extremes and precipitation projections in central Europe | https://doi.org/10.5194/esd-9-1107-2018</w:t>
      </w:r>
    </w:p>
    <w:p>
      <w:r>
        <w:rPr>
          <w:b/>
        </w:rPr>
        <w:t xml:space="preserve">Its abstract states: </w:t>
      </w:r>
      <w:r>
        <w:t>We find a divergent behavior in long-term projections of summer precipitation until the end of the 21st century, resulting in a trimodal distribution of precipitation (wet, dry and very dry).</w:t>
      </w:r>
    </w:p>
    <w:p>
      <w:pPr>
        <w:pStyle w:val="Heading2"/>
      </w:pPr>
      <w:r>
        <w:t>5. Projections of Future Precipitation Extremes Over Europe: A Multimodel Assessment of Climate Simulations</w:t>
      </w:r>
    </w:p>
    <w:p>
      <w:r>
        <w:rPr>
          <w:b/>
        </w:rPr>
        <w:t xml:space="preserve">WHAT WAS SAID / EXPECTED: </w:t>
      </w:r>
      <w:r>
        <w:t>Abstract Projections of precipitation and its extremes over the European continent are analyzed in an extensive multimodel ensemble of 12 and 50 km resolution EURO‐CORDEX Regional Climate Models (RCMs) forced by RCP2.6, RCP4.5, and RCP8.5 (Representative Concentration Pathway) aerosol and greenhouse gas emission scenarios. A systematic intercomparison with ENSEMBLES RCMs is carried out, such that in total information is provided for an unprecedentedly large data set of 100 RCM simulations. An evaluation finds very reasonable skill for the EURO‐CORDEX models in simulating temporal and geographical variations of (mean and heavy) precipitation at both horizontal resolutions. Heavy and extreme precipitation events are projected to intensify across most of Europe throughout the whole year. All considered models agree on a distinct intensification of extremes by often more than +20% in winter and fall and over central and northern Europe. A reduction of rainy days and mean precipitation in summer is simulated by a large majority of models in the Mediterranean area, but intermodel spread be</w:t>
      </w:r>
    </w:p>
    <w:p>
      <w:r>
        <w:rPr>
          <w:b/>
        </w:rPr>
        <w:t xml:space="preserve">LATER STUDIES / WHAT THEY REPORT: </w:t>
      </w:r>
      <w:r>
        <w:t>Later scholarly abstracts report: 2018: We find a divergent behavior in long-term projections of summer precipitation until the end of the 21st century, resulting in a trimodal distribution of precipitation (wet, dry and very dry).</w:t>
      </w:r>
    </w:p>
    <w:p>
      <w:r>
        <w:rPr>
          <w:b/>
        </w:rPr>
        <w:t xml:space="preserve">TENTATIVE ASSESSMENT: </w:t>
      </w:r>
      <w:r>
        <w:t>1 related later studies found; 1 contain result-like abstract passages (which may describe models rather than real-world measurements). This suggests follow-up, but direction and comparability with the earlier claim are not established.</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https://doi.org/10.1002/2017jd027176</w:t>
      </w:r>
    </w:p>
    <w:p>
      <w:r>
        <w:rPr>
          <w:b/>
        </w:rPr>
        <w:t xml:space="preserve">Search method and date: </w:t>
      </w:r>
      <w:r>
        <w:t>existing_scanner_catalogue (saved OpenAlex/Crossref records) | 2026-10-20T15:19</w:t>
      </w:r>
    </w:p>
    <w:p>
      <w:r>
        <w:rPr>
          <w:b/>
        </w:rPr>
        <w:t xml:space="preserve">Later study (2018; abstract_reports_results): </w:t>
      </w:r>
      <w:r>
        <w:t>Varying soil moisture–atmosphere feedbacks explain divergent temperature extremes and precipitation projections in central Europe | https://doi.org/10.5194/esd-9-1107-2018</w:t>
      </w:r>
    </w:p>
    <w:p>
      <w:r>
        <w:rPr>
          <w:b/>
        </w:rPr>
        <w:t xml:space="preserve">Its abstract states: </w:t>
      </w:r>
      <w:r>
        <w:t>We find a divergent behavior in long-term projections of summer precipitation until the end of the 21st century, resulting in a trimodal distribution of precipitation (wet, dry and very dry).</w:t>
      </w:r>
    </w:p>
    <w:p>
      <w:pPr>
        <w:pStyle w:val="Heading2"/>
      </w:pPr>
      <w:r>
        <w:t>6. Assessment of Future Heat Stress Risk in European Regions: Towards a better Integration of Socio-economic Scenarios</w:t>
      </w:r>
    </w:p>
    <w:p>
      <w:r>
        <w:rPr>
          <w:b/>
        </w:rPr>
        <w:t xml:space="preserve">WHAT WAS SAID / EXPECTED: </w:t>
      </w:r>
      <w:r>
        <w:t>Assessment of Future Heat Stress Risk in European Regions: Towards a better Integration of Socio-economic Scenarios</w:t>
      </w:r>
    </w:p>
    <w:p>
      <w:r>
        <w:rPr>
          <w:b/>
        </w:rPr>
        <w:t xml:space="preserve">LATER STUDIES / WHAT THEY REPORT: </w:t>
      </w:r>
      <w:r>
        <w:t>Later scholarly abstracts report: 2021: Our results illustrate that heat mortality increases by about 0.9%/decade in Germany, 1.7%/decade in France and 7.9%/decade in Spain for RCP8.5 by 2050.</w:t>
      </w:r>
    </w:p>
    <w:p>
      <w:r>
        <w:rPr>
          <w:b/>
        </w:rPr>
        <w:t xml:space="preserve">TENTATIVE ASSESSMENT: </w:t>
      </w:r>
      <w:r>
        <w:t>1 related later studies found; 1 contain result-like abstract passages (which may describe models rather than real-world measurements). This suggests follow-up, but direction and comparability with the earlier claim are not established.</w:t>
      </w:r>
    </w:p>
    <w:p>
      <w:r>
        <w:rPr>
          <w:b/>
        </w:rPr>
        <w:t xml:space="preserve">Confidence / limitations: </w:t>
      </w:r>
      <w:r>
        <w:t>Original record is a research lead, not a validated dated forecast. This is a topic-level comparison.</w:t>
      </w:r>
    </w:p>
    <w:p>
      <w:r>
        <w:rPr>
          <w:b/>
        </w:rPr>
        <w:t xml:space="preserve">Topic: </w:t>
      </w:r>
      <w:r>
        <w:t>Economy and finance</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https://doi.org/10.1553/giscience2017_01_s341</w:t>
      </w:r>
    </w:p>
    <w:p>
      <w:r>
        <w:rPr>
          <w:b/>
        </w:rPr>
        <w:t xml:space="preserve">Search method and date: </w:t>
      </w:r>
      <w:r>
        <w:t>existing_scanner_catalogue (saved OpenAlex/Crossref records) | 2026-10-20T15:19</w:t>
      </w:r>
    </w:p>
    <w:p>
      <w:r>
        <w:rPr>
          <w:b/>
        </w:rPr>
        <w:t xml:space="preserve">Later study (2021; abstract_reports_results): </w:t>
      </w:r>
      <w:r>
        <w:t>Future Projections of Heat Mortality Risk for Major European Cities | https://doi.org/10.1175/wcas-d-20-0142.1</w:t>
      </w:r>
    </w:p>
    <w:p>
      <w:r>
        <w:rPr>
          <w:b/>
        </w:rPr>
        <w:t xml:space="preserve">Its abstract states: </w:t>
      </w:r>
      <w:r>
        <w:t>Our results illustrate that heat mortality increases by about 0.9%/decade in Germany, 1.7%/decade in France and 7.9%/decade in Spain for RCP8.5 by 2050.</w:t>
      </w:r>
    </w:p>
    <w:p>
      <w:pPr>
        <w:pStyle w:val="Heading2"/>
      </w:pPr>
      <w:r>
        <w:t>7. How Sustainable Development Goals interlinkages influence European Union countries’ progress towards the 2030 Agenda</w:t>
      </w:r>
    </w:p>
    <w:p>
      <w:r>
        <w:rPr>
          <w:b/>
        </w:rPr>
        <w:t xml:space="preserve">WHAT WAS SAID / EXPECTED: </w:t>
      </w:r>
      <w:r>
        <w:t>Abstract The analysis of interlinkages between the sustainable development goals (SDGs) and the assessment of countries' progress towards the goals are two prominent research areas in the debate around the 2030 Agenda. The central questions are whether countries are progressing towards the goals at sufficient speed, and whether the SDGs can be achieved in their entirety. While it is evident that trade‐offs between the 2030 Agenda's objectives might prevent countries from achieving all 17 SDGs simultaneously, the extent to which interactions (synergies and trade‐offs) between the goals facilitate or hinder countries' progress towards achieving the 2030 Agenda has so far received little attention. The present study combines the two topics by linking the analysis of synergies and trade‐offs between the SDGs in the European Union (EU) member states with a longitudinal assessment of these countries' progress towards the goals. SDG interlinkages are assessed through Spearman's rank order correlation, while progress is calculated according to Eurostat's progress measure. Using regression an</w:t>
      </w:r>
    </w:p>
    <w:p>
      <w:r>
        <w:rPr>
          <w:b/>
        </w:rPr>
        <w:t xml:space="preserve">LATER STUDIES / WHAT THEY REPORT: </w:t>
      </w:r>
      <w:r>
        <w:t>Later scholarly abstracts report: 2023: The results show that Northern countries have better overall sustainability performance in all dimensions except the environment.</w:t>
      </w:r>
    </w:p>
    <w:p>
      <w:r>
        <w:rPr>
          <w:b/>
        </w:rPr>
        <w:t xml:space="preserve">TENTATIVE ASSESSMENT: </w:t>
      </w:r>
      <w:r>
        <w:t>1 related later studies found; 1 contain result-like abstract passages (which may describe models rather than real-world measurements). This suggests follow-up, but direction and comparability with the earlier claim are not established.</w:t>
      </w:r>
    </w:p>
    <w:p>
      <w:r>
        <w:rPr>
          <w:b/>
        </w:rPr>
        <w:t xml:space="preserve">Confidence / limitations: </w:t>
      </w:r>
      <w:r>
        <w:t>Original record is a research lead, not a validated dated forecast. This is a topic-level comparison.</w:t>
      </w:r>
    </w:p>
    <w:p>
      <w:r>
        <w:rPr>
          <w:b/>
        </w:rPr>
        <w:t xml:space="preserve">Topic: </w:t>
      </w:r>
      <w:r>
        <w:t>Other European foresight research</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https://doi.org/10.1002/sd.2290</w:t>
      </w:r>
    </w:p>
    <w:p>
      <w:r>
        <w:rPr>
          <w:b/>
        </w:rPr>
        <w:t xml:space="preserve">Search method and date: </w:t>
      </w:r>
      <w:r>
        <w:t>existing_scanner_catalogue (saved OpenAlex/Crossref records) | 2026-10-20T15:19</w:t>
      </w:r>
    </w:p>
    <w:p>
      <w:r>
        <w:rPr>
          <w:b/>
        </w:rPr>
        <w:t xml:space="preserve">Later study (2023; abstract_reports_results): </w:t>
      </w:r>
      <w:r>
        <w:t>Sustainable development according to 2030 agenda in European Union countries: Evidence of the enlargement policy | https://doi.org/10.1002/sd.2758</w:t>
      </w:r>
    </w:p>
    <w:p>
      <w:r>
        <w:rPr>
          <w:b/>
        </w:rPr>
        <w:t xml:space="preserve">Its abstract states: </w:t>
      </w:r>
      <w:r>
        <w:t>The results show that Northern countries have better overall sustainability performance in all dimensions except the environment.</w:t>
      </w:r>
    </w:p>
    <w:p>
      <w:pPr>
        <w:pStyle w:val="Heading2"/>
      </w:pPr>
      <w:r>
        <w:t>8. Towards the 2030 Agenda: Measuring the Progress of the European Union Countries through the SDGs Achievement Index</w:t>
      </w:r>
    </w:p>
    <w:p>
      <w:r>
        <w:rPr>
          <w:b/>
        </w:rPr>
        <w:t xml:space="preserve">WHAT WAS SAID / EXPECTED: </w:t>
      </w:r>
      <w:r>
        <w:t>The 2030 Agenda and Sustainable Development Goals were adopted by the United Nations in 2015 as a universal call to action to end poverty, protect the planet, and ensure that by 2030 all people enjoy peace and prosperity. The success or failure in their implementation largely depends on the national implementation effort, measured within wide and compound indicator frameworks. Due to such complexity, providing a simple but comprehensive view on the progress to achieve the SDGs is a priority. Moreover, the measure of the progress allows the consistency among the different dimensions of sustainable development to be assessed. The purpose of this work is to evaluate the results accomplished by European Union Countries in achieving SDGs. In particular, the paper proposed the SDGs achievement index (SDG-AI), a multicriteria-based index, including six different dimensions and applied to EU countries. The SDG-AI allows the differences across the EU countries to be highlighted, and also assesses the contribution of the different dimensions to the final result. The use of such an index will a</w:t>
      </w:r>
    </w:p>
    <w:p>
      <w:r>
        <w:rPr>
          <w:b/>
        </w:rPr>
        <w:t xml:space="preserve">LATER STUDIES / WHAT THEY REPORT: </w:t>
      </w:r>
      <w:r>
        <w:t>Later scholarly abstracts report: 2023: The results show that Northern countries have better overall sustainability performance in all dimensions except the environment.</w:t>
      </w:r>
    </w:p>
    <w:p>
      <w:r>
        <w:rPr>
          <w:b/>
        </w:rPr>
        <w:t xml:space="preserve">TENTATIVE ASSESSMENT: </w:t>
      </w:r>
      <w:r>
        <w:t>1 related later studies found; 1 contain result-like abstract passages (which may describe models rather than real-world measurements). This suggests follow-up, but direction and comparability with the earlier claim are not established.</w:t>
      </w:r>
    </w:p>
    <w:p>
      <w:r>
        <w:rPr>
          <w:b/>
        </w:rPr>
        <w:t xml:space="preserve">Confidence / limitations: </w:t>
      </w:r>
      <w:r>
        <w:t>Original record is a research lead, not a validated dated forecast. This is a topic-level comparison.</w:t>
      </w:r>
    </w:p>
    <w:p>
      <w:r>
        <w:rPr>
          <w:b/>
        </w:rPr>
        <w:t xml:space="preserve">Topic: </w:t>
      </w:r>
      <w:r>
        <w:t>Other European foresight research</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https://doi.org/10.3390/su14063563</w:t>
      </w:r>
    </w:p>
    <w:p>
      <w:r>
        <w:rPr>
          <w:b/>
        </w:rPr>
        <w:t xml:space="preserve">Search method and date: </w:t>
      </w:r>
      <w:r>
        <w:t>existing_scanner_catalogue (saved OpenAlex/Crossref records) | 2026-10-20T15:19</w:t>
      </w:r>
    </w:p>
    <w:p>
      <w:r>
        <w:rPr>
          <w:b/>
        </w:rPr>
        <w:t xml:space="preserve">Later study (2023; abstract_reports_results): </w:t>
      </w:r>
      <w:r>
        <w:t>Sustainable development according to 2030 agenda in European Union countries: Evidence of the enlargement policy | https://doi.org/10.1002/sd.2758</w:t>
      </w:r>
    </w:p>
    <w:p>
      <w:r>
        <w:rPr>
          <w:b/>
        </w:rPr>
        <w:t xml:space="preserve">Its abstract states: </w:t>
      </w:r>
      <w:r>
        <w:t>The results show that Northern countries have better overall sustainability performance in all dimensions except the environment.</w:t>
      </w:r>
    </w:p>
    <w:p>
      <w:pPr>
        <w:pStyle w:val="Heading2"/>
      </w:pPr>
      <w:r>
        <w:t>9. EU Carbon Futures Market: The Aspects of Price Discovery</w:t>
      </w:r>
    </w:p>
    <w:p>
      <w:r>
        <w:rPr>
          <w:b/>
        </w:rPr>
        <w:t xml:space="preserve">WHAT WAS SAID / EXPECTED: </w:t>
      </w:r>
      <w:r>
        <w:t>The main purpose of this article is to study the relationship between the spot and future price of European emissionallowances in order to test market efficiency hypothesis and determine which price leads the price discovery process.The work consists of several parts: presentation of theoretical background of model cost of carry; validation of cost of carrymodel assumptions; analysis of price development and conclusion.The cost of carry and cointegration theory is provided as well as overview of the related literature and existing research.The empirical examination reveals structural breaks in data and evidence that spot and futures prices are linked by the cost-ofcarryapproach in the second half of the analysed period. The examination of price development in the market indicated futures price leadership.Conclusion summarized the main results of the performed research.</w:t>
      </w:r>
    </w:p>
    <w:p>
      <w:r>
        <w:rPr>
          <w:b/>
        </w:rPr>
        <w:t xml:space="preserve">LATER STUDIES / WHAT THEY REPORT: </w:t>
      </w:r>
      <w:r>
        <w:t>4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https://doi.org/10.15388/ljs.2011.13913</w:t>
      </w:r>
    </w:p>
    <w:p>
      <w:r>
        <w:rPr>
          <w:b/>
        </w:rPr>
        <w:t xml:space="preserve">Search method and date: </w:t>
      </w:r>
      <w:r>
        <w:t>existing_scanner_catalogue (saved OpenAlex/Crossref records) | 2026-10-20T15:19</w:t>
      </w:r>
    </w:p>
    <w:p>
      <w:r>
        <w:rPr>
          <w:b/>
        </w:rPr>
        <w:t xml:space="preserve">Later study (2023; related_study_or_model): </w:t>
      </w:r>
      <w:r>
        <w:t>Re-examining the efficiency of the EU carbon futures market in phase Ⅱ: price discovery and intertemporal arbitrage | https://doi.org/10.3389/fenrg.2023.1236488</w:t>
      </w:r>
    </w:p>
    <w:p>
      <w:r>
        <w:rPr>
          <w:b/>
        </w:rPr>
        <w:t xml:space="preserve">Later study (2021; related_study_or_model): </w:t>
      </w:r>
      <w:r>
        <w:t>Research on the Correlation Between WTI Crude Oil Futures Price and European Carbon Futures Price | https://doi.org/10.3389/fenrg.2021.735665</w:t>
      </w:r>
    </w:p>
    <w:p>
      <w:r>
        <w:rPr>
          <w:b/>
        </w:rPr>
        <w:t xml:space="preserve">Later study (2014; related_study_or_model): </w:t>
      </w:r>
      <w:r>
        <w:t>Modelling the dynamics of European carbon futures price: A Zipf analysis | https://doi.org/10.1016/j.econmod.2014.01.020</w:t>
      </w:r>
    </w:p>
    <w:p>
      <w:r>
        <w:rPr>
          <w:b/>
        </w:rPr>
        <w:t xml:space="preserve">Later study (2014; related_study_or_model): </w:t>
      </w:r>
      <w:r>
        <w:t>An Empirical Study on Price discovery between Emission Spot and Futures Markets in EU ETS Emission Markets | https://doi.org/10.29214/damis.2014.33.3.006</w:t>
      </w:r>
    </w:p>
    <w:p>
      <w:pPr>
        <w:pStyle w:val="Heading2"/>
      </w:pPr>
      <w:r>
        <w:t>10. Carbon Content of Electricity Futures in Phase II of the EU ETS</w:t>
      </w:r>
    </w:p>
    <w:p>
      <w:r>
        <w:rPr>
          <w:b/>
        </w:rPr>
        <w:t xml:space="preserve">WHAT WAS SAID / EXPECTED: </w:t>
      </w:r>
      <w:r>
        <w:t>Carbon Content of Electricity Futures in Phase II of the EU ETS</w:t>
      </w:r>
    </w:p>
    <w:p>
      <w:r>
        <w:rPr>
          <w:b/>
        </w:rPr>
        <w:t xml:space="preserve">LATER STUDIES / WHAT THEY REPORT: </w:t>
      </w:r>
      <w:r>
        <w:t>4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https://doi.org/10.2139/ssrn.2319821</w:t>
      </w:r>
    </w:p>
    <w:p>
      <w:r>
        <w:rPr>
          <w:b/>
        </w:rPr>
        <w:t xml:space="preserve">Search method and date: </w:t>
      </w:r>
      <w:r>
        <w:t>existing_scanner_catalogue (saved OpenAlex/Crossref records) | 2026-10-20T15:19</w:t>
      </w:r>
    </w:p>
    <w:p>
      <w:r>
        <w:rPr>
          <w:b/>
        </w:rPr>
        <w:t xml:space="preserve">Later study (2024; related_study_or_model): </w:t>
      </w:r>
      <w:r>
        <w:t>Investment Scenarios for Low Carbon Electricity in Europe | https://doi.org/10.24084/repqj11.323</w:t>
      </w:r>
    </w:p>
    <w:p>
      <w:r>
        <w:rPr>
          <w:b/>
        </w:rPr>
        <w:t xml:space="preserve">Later study (2023; related_study_or_model): </w:t>
      </w:r>
      <w:r>
        <w:t>Re-examining the efficiency of the EU carbon futures market in phase Ⅱ: price discovery and intertemporal arbitrage | https://doi.org/10.3389/fenrg.2023.1236488</w:t>
      </w:r>
    </w:p>
    <w:p>
      <w:r>
        <w:rPr>
          <w:b/>
        </w:rPr>
        <w:t xml:space="preserve">Later study (2020; related_study_or_model): </w:t>
      </w:r>
      <w:r>
        <w:t>The Linkages of Carbon Spot-Futures: Evidence from EU-ETS in the Third Phase | https://doi.org/10.3390/su12062517</w:t>
      </w:r>
    </w:p>
    <w:p>
      <w:r>
        <w:rPr>
          <w:b/>
        </w:rPr>
        <w:t xml:space="preserve">Later study (2014; related_study_or_model): </w:t>
      </w:r>
      <w:r>
        <w:t>The relationship between European electricity markets and emission allowance futures prices in phase II of the EU (European Union) emission trading scheme | https://doi.org/10.1016/j.energy.2014.07.024</w:t>
      </w:r>
    </w:p>
    <w:p>
      <w:pPr>
        <w:pStyle w:val="Heading2"/>
      </w:pPr>
      <w:r>
        <w:t>11. Carbon Emissions Scenarios in Europe Based on an Endogenous Growth Model</w:t>
      </w:r>
    </w:p>
    <w:p>
      <w:r>
        <w:rPr>
          <w:b/>
        </w:rPr>
        <w:t xml:space="preserve">WHAT WAS SAID / EXPECTED: </w:t>
      </w:r>
      <w:r>
        <w:t>Carbon Emissions Scenarios in Europe Based on an Endogenous Growth Model</w:t>
      </w:r>
    </w:p>
    <w:p>
      <w:r>
        <w:rPr>
          <w:b/>
        </w:rPr>
        <w:t xml:space="preserve">LATER STUDIES / WHAT THEY REPORT: </w:t>
      </w:r>
      <w:r>
        <w:t>4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https://doi.org/10.2139/ssrn.2506531</w:t>
      </w:r>
    </w:p>
    <w:p>
      <w:r>
        <w:rPr>
          <w:b/>
        </w:rPr>
        <w:t xml:space="preserve">Search method and date: </w:t>
      </w:r>
      <w:r>
        <w:t>existing_scanner_catalogue (saved OpenAlex/Crossref records) | 2026-10-20T15:19</w:t>
      </w:r>
    </w:p>
    <w:p>
      <w:r>
        <w:rPr>
          <w:b/>
        </w:rPr>
        <w:t xml:space="preserve">Later study (2026; related_study_or_model): </w:t>
      </w:r>
      <w:r>
        <w:t>CO2 Emissions Scenarios in the European Union—The Urgency of Carbon Capture and Controlled Economic Growth | https://doi.org/10.3390/su18021043</w:t>
      </w:r>
    </w:p>
    <w:p>
      <w:r>
        <w:rPr>
          <w:b/>
        </w:rPr>
        <w:t xml:space="preserve">Later study (2024; related_study_or_model): </w:t>
      </w:r>
      <w:r>
        <w:t>Global spillovers of US climate policy risk: Evidence from EU carbon emissions futures | https://doi.org/10.1016/j.eneco.2024.107931</w:t>
      </w:r>
    </w:p>
    <w:p>
      <w:r>
        <w:rPr>
          <w:b/>
        </w:rPr>
        <w:t xml:space="preserve">Later study (2022; related_study_or_model): </w:t>
      </w:r>
      <w:r>
        <w:t>GHG emissions, trade balance, and carbon leakage: Insights from modeling thirty-one European decarbonization pathways towards 2050 | https://doi.org/10.1016/j.eneco.2022.106240</w:t>
      </w:r>
    </w:p>
    <w:p>
      <w:r>
        <w:rPr>
          <w:b/>
        </w:rPr>
        <w:t xml:space="preserve">Later study (2022; related_study_or_model): </w:t>
      </w:r>
      <w:r>
        <w:t>Global Spillovers of US Climate Policy Risk: Evidence from EU Carbon Emissions Futures | https://doi.org/10.2139/ssrn.4170198</w:t>
      </w:r>
    </w:p>
    <w:p>
      <w:pPr>
        <w:pStyle w:val="Heading2"/>
      </w:pPr>
      <w:r>
        <w:t>12. Potential impacts of climate change on European wind energy resource under the CMIP5 future climate projections</w:t>
      </w:r>
    </w:p>
    <w:p>
      <w:r>
        <w:rPr>
          <w:b/>
        </w:rPr>
        <w:t xml:space="preserve">WHAT WAS SAID / EXPECTED: </w:t>
      </w:r>
      <w:r>
        <w:t>Potential impacts of climate change on European wind energy resource under the CMIP5 future climate projections</w:t>
      </w:r>
    </w:p>
    <w:p>
      <w:r>
        <w:rPr>
          <w:b/>
        </w:rPr>
        <w:t xml:space="preserve">LATER STUDIES / WHAT THEY REPORT: </w:t>
      </w:r>
      <w:r>
        <w:t>4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https://doi.org/10.1016/j.renene.2016.08.036</w:t>
      </w:r>
    </w:p>
    <w:p>
      <w:r>
        <w:rPr>
          <w:b/>
        </w:rPr>
        <w:t xml:space="preserve">Search method and date: </w:t>
      </w:r>
      <w:r>
        <w:t>existing_scanner_catalogue (saved OpenAlex/Crossref records) | 2026-10-20T15:19</w:t>
      </w:r>
    </w:p>
    <w:p>
      <w:r>
        <w:rPr>
          <w:b/>
        </w:rPr>
        <w:t xml:space="preserve">Later study (2025; related_study_or_model): </w:t>
      </w:r>
      <w:r>
        <w:t>Mapping out the scenarios of ocean energy scale-up based on the development of offshore wind | https://doi.org/10.12688/openreseurope.15906.2</w:t>
      </w:r>
    </w:p>
    <w:p>
      <w:r>
        <w:rPr>
          <w:b/>
        </w:rPr>
        <w:t xml:space="preserve">Later study (2023; related_study_or_model): </w:t>
      </w:r>
      <w:r>
        <w:t>Mapping out the scenarios of ocean energy scale-up based on the development of offshore wind | https://doi.org/10.12688/openreseurope.15906.1</w:t>
      </w:r>
    </w:p>
    <w:p>
      <w:r>
        <w:rPr>
          <w:b/>
        </w:rPr>
        <w:t xml:space="preserve">Later study (2022; related_study_or_model): </w:t>
      </w:r>
      <w:r>
        <w:t>Projections of energy yield- and complementarity-driven wind energy expansion scenarios in the European Union | https://doi.org/10.1016/j.enconman.2022.116160</w:t>
      </w:r>
    </w:p>
    <w:p>
      <w:r>
        <w:rPr>
          <w:b/>
        </w:rPr>
        <w:t xml:space="preserve">Later study (2021; related_study_or_model): </w:t>
      </w:r>
      <w:r>
        <w:t>Extreme wind projections over Europe from the Euro-CORDEX regional climate models | https://doi.org/10.1016/j.wace.2021.100363</w:t>
      </w:r>
    </w:p>
    <w:p>
      <w:pPr>
        <w:pStyle w:val="Heading2"/>
      </w:pPr>
      <w:r>
        <w:t>13. The EU and artificial intelligence: A human-centred perspective</w:t>
      </w:r>
    </w:p>
    <w:p>
      <w:r>
        <w:rPr>
          <w:b/>
        </w:rPr>
        <w:t xml:space="preserve">WHAT WAS SAID / EXPECTED: </w:t>
      </w:r>
      <w:r>
        <w:t>This article analyses the potential benefits and drawbacks of artificial intelligence (AI). It argues that the EU should become a leading force in AI development. As a goal that captures the public imagination and mobilises a variety of actors, the EU should develop mission-based innovations that focus on using this technological leadership to solve the most pressing societal problems of our time whilst avoiding potential dangers and risks. This leadership could be achieved either by adapting the EU’s available instruments to focus on AI development or by designing new ones. Be it seeking a visionary future for AI or addressing concerns about it, progress should always be driven with the human-centred perspective in mind, that is, one that seeks to augment human intelligence and capacity, and not to supersede it.</w:t>
      </w:r>
    </w:p>
    <w:p>
      <w:r>
        <w:rPr>
          <w:b/>
        </w:rPr>
        <w:t xml:space="preserve">LATER STUDIES / WHAT THEY REPORT: </w:t>
      </w:r>
      <w:r>
        <w:t>4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Technology and digital</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https://doi.org/10.1177/1781685818764821</w:t>
      </w:r>
    </w:p>
    <w:p>
      <w:r>
        <w:rPr>
          <w:b/>
        </w:rPr>
        <w:t xml:space="preserve">Search method and date: </w:t>
      </w:r>
      <w:r>
        <w:t>existing_scanner_catalogue (saved OpenAlex/Crossref records) | 2026-10-20T15:19</w:t>
      </w:r>
    </w:p>
    <w:p>
      <w:r>
        <w:rPr>
          <w:b/>
        </w:rPr>
        <w:t xml:space="preserve">Later study (2026; related_study_or_model): </w:t>
      </w:r>
      <w:r>
        <w:t>Citizenwashing EU Tech Policy: EU Deliberative Mini‐Publics on Virtual Worlds and Artificial Intelligence | https://doi.org/10.17645/pag.10468</w:t>
      </w:r>
    </w:p>
    <w:p>
      <w:r>
        <w:rPr>
          <w:b/>
        </w:rPr>
        <w:t xml:space="preserve">Later study (2025; related_study_or_model): </w:t>
      </w:r>
      <w:r>
        <w:t>Artificial Intelligence in the Public Sphere: Legal and Security Culture in the EU | https://doi.org/10.32084/tkp.9640</w:t>
      </w:r>
    </w:p>
    <w:p>
      <w:r>
        <w:rPr>
          <w:b/>
        </w:rPr>
        <w:t xml:space="preserve">Later study (2020; related_study_or_model): </w:t>
      </w:r>
      <w:r>
        <w:t>Peculiarities of application of artificial intelligence in the financial services sector: EU experience | https://doi.org/10.37772/2309-9275-2020-1(14)-9</w:t>
      </w:r>
    </w:p>
    <w:p>
      <w:r>
        <w:rPr>
          <w:b/>
        </w:rPr>
        <w:t xml:space="preserve">Later study (2020; related_study_or_model): </w:t>
      </w:r>
      <w:r>
        <w:t>Prospective Policy Study on Artificial Intelligence and EU Trade Policy | https://doi.org/10.2139/ssrn.3524254</w:t>
      </w:r>
    </w:p>
    <w:p>
      <w:pPr>
        <w:pStyle w:val="Heading2"/>
      </w:pPr>
      <w:r>
        <w:t>14. Road transport and power system scenarios for Northern Europe in 2030</w:t>
      </w:r>
    </w:p>
    <w:p>
      <w:r>
        <w:rPr>
          <w:b/>
        </w:rPr>
        <w:t xml:space="preserve">WHAT WAS SAID / EXPECTED: </w:t>
      </w:r>
      <w:r>
        <w:t>Road transport and power system scenarios for Northern Europe in 2030</w:t>
      </w:r>
    </w:p>
    <w:p>
      <w:r>
        <w:rPr>
          <w:b/>
        </w:rPr>
        <w:t xml:space="preserve">LATER STUDIES / WHAT THEY REPORT: </w:t>
      </w:r>
      <w:r>
        <w:t>3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Other European foresight research</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https://doi.org/10.1016/j.apenergy.2011.11.074</w:t>
      </w:r>
    </w:p>
    <w:p>
      <w:r>
        <w:rPr>
          <w:b/>
        </w:rPr>
        <w:t xml:space="preserve">Search method and date: </w:t>
      </w:r>
      <w:r>
        <w:t>existing_scanner_catalogue (saved OpenAlex/Crossref records) | 2026-10-20T15:19</w:t>
      </w:r>
    </w:p>
    <w:p>
      <w:r>
        <w:rPr>
          <w:b/>
        </w:rPr>
        <w:t xml:space="preserve">Later study (2016; related_study_or_model): </w:t>
      </w:r>
      <w:r>
        <w:t>A system dynamics based market agent model simulating future powertrain technology transition: Scenarios in the EU light duty vehicle road transport sector | https://doi.org/10.1016/j.techfore.2015.11.028</w:t>
      </w:r>
    </w:p>
    <w:p>
      <w:r>
        <w:rPr>
          <w:b/>
        </w:rPr>
        <w:t xml:space="preserve">Later study (2023; related_study_or_model): </w:t>
      </w:r>
      <w:r>
        <w:t>The European Solar Communication—Will It Pave the Road to Achieve 1 TW of Photovoltaic System Capacity in the European Union by 2030? | https://doi.org/10.3390/su15086531</w:t>
      </w:r>
    </w:p>
    <w:p>
      <w:r>
        <w:rPr>
          <w:b/>
        </w:rPr>
        <w:t xml:space="preserve">Later study (2016; related_study_or_model): </w:t>
      </w:r>
      <w:r>
        <w:t>A scenario discovery study of the impact of uncertainties in the global container transport system on European ports | https://doi.org/10.1016/j.futures.2015.09.004</w:t>
      </w:r>
    </w:p>
    <w:p>
      <w:pPr>
        <w:pStyle w:val="Heading2"/>
      </w:pPr>
      <w:r>
        <w:t>15. WEB 2.0 FORESIGHT FOR INNOVATION POLICY: A CASE OF STRATEGIC AGENDA SETTING IN EUROPEAN INNOVATION</w:t>
      </w:r>
    </w:p>
    <w:p>
      <w:r>
        <w:rPr>
          <w:b/>
        </w:rPr>
        <w:t xml:space="preserve">WHAT WAS SAID / EXPECTED: </w:t>
      </w:r>
      <w:r>
        <w:t>WEB 2.0 FORESIGHT FOR INNOVATION POLICY: A CASE OF STRATEGIC AGENDA SETTING IN EUROPEAN INNOVATION</w:t>
      </w:r>
    </w:p>
    <w:p>
      <w:r>
        <w:rPr>
          <w:b/>
        </w:rPr>
        <w:t xml:space="preserve">LATER STUDIES / WHAT THEY REPORT: </w:t>
      </w:r>
      <w:r>
        <w:t>3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Technology and digital</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https://doi.org/10.5172/impp.2012.2461</w:t>
      </w:r>
    </w:p>
    <w:p>
      <w:r>
        <w:rPr>
          <w:b/>
        </w:rPr>
        <w:t xml:space="preserve">Search method and date: </w:t>
      </w:r>
      <w:r>
        <w:t>existing_scanner_catalogue (saved OpenAlex/Crossref records) | 2026-10-20T15:19</w:t>
      </w:r>
    </w:p>
    <w:p>
      <w:r>
        <w:rPr>
          <w:b/>
        </w:rPr>
        <w:t xml:space="preserve">Later study (2021; related_study_or_model): </w:t>
      </w:r>
      <w:r>
        <w:t>Participatory foresight and reflexive innovation: setting policy goals and developing strategies in a bottom-up, mission-oriented, sustainable way | https://doi.org/10.1186/s40309-021-00171-6</w:t>
      </w:r>
    </w:p>
    <w:p>
      <w:r>
        <w:rPr>
          <w:b/>
        </w:rPr>
        <w:t xml:space="preserve">Later study (2021; related_study_or_model): </w:t>
      </w:r>
      <w:r>
        <w:t>Democratising utopian thought in participatory agenda setting | https://doi.org/10.1186/s40309-021-00174-3</w:t>
      </w:r>
    </w:p>
    <w:p>
      <w:r>
        <w:rPr>
          <w:b/>
        </w:rPr>
        <w:t xml:space="preserve">Later study (2018; related_study_or_model): </w:t>
      </w:r>
      <w:r>
        <w:t>Toward a Socially Desirable EU Research and Innovation Agenda on Urban Waste: A Transnational EU Citizen Consultation | https://doi.org/10.3390/su10051641</w:t>
      </w:r>
    </w:p>
    <w:p>
      <w:pPr>
        <w:pStyle w:val="Heading2"/>
      </w:pPr>
      <w:r>
        <w:t>16. MARKET DRIVEN POWER PLANT INVESTMENT PERSPECTIVES IN EUROPE: CLIMATE POLICY AND TECHNOLOGY SCENARIOS UNTIL 2050 IN THE M</w:t>
      </w:r>
    </w:p>
    <w:p>
      <w:r>
        <w:rPr>
          <w:b/>
        </w:rPr>
        <w:t xml:space="preserve">WHAT WAS SAID / EXPECTED: </w:t>
      </w:r>
      <w:r>
        <w:t>In the framework of the Energy Modeling Forum 28, we investigate how climate policy regimes affect market developments under different technology availabilities on the European power markets. We use the partial equilibrium model EMELIE-ESY with focus on electricity markets in order to determine how private investors optimize their generation capacity investment and operation over the horizon 2010 to 2050. For the year 2050, the model projects a minor increase of power consumption of 10% under current climate policy, and a balanced pathway for consumption under ambitious climate policy compared to 2010 levels. These results contrast with findings of POLES and PRIMES models that predict strong consumption increases of 44% to 48% by 2050 and claim competitiveness of nuclear power and CCS options. Under ambitious climate policy, our findings correspond with major increases of wholesale electricity market prices and comparatively less pronounced emission price increases, which trigger no investments into Carbon Capture and Storage (CCS) and a strongly diminishing share of nuclear energy.</w:t>
      </w:r>
    </w:p>
    <w:p>
      <w:r>
        <w:rPr>
          <w:b/>
        </w:rPr>
        <w:t xml:space="preserve">LATER STUDIES / WHAT THEY REPORT: </w:t>
      </w:r>
      <w:r>
        <w:t>3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https://doi.org/10.1142/s2010007813400071</w:t>
      </w:r>
    </w:p>
    <w:p>
      <w:r>
        <w:rPr>
          <w:b/>
        </w:rPr>
        <w:t xml:space="preserve">Search method and date: </w:t>
      </w:r>
      <w:r>
        <w:t>existing_scanner_catalogue (saved OpenAlex/Crossref records) | 2026-10-20T15:19</w:t>
      </w:r>
    </w:p>
    <w:p>
      <w:r>
        <w:rPr>
          <w:b/>
        </w:rPr>
        <w:t xml:space="preserve">Later study (2016; related_study_or_model): </w:t>
      </w:r>
      <w:r>
        <w:t>A system dynamics based market agent model simulating future powertrain technology transition: Scenarios in the EU light duty vehicle road transport sector | https://doi.org/10.1016/j.techfore.2015.11.028</w:t>
      </w:r>
    </w:p>
    <w:p>
      <w:r>
        <w:rPr>
          <w:b/>
        </w:rPr>
        <w:t xml:space="preserve">Later study (2016; related_study_or_model): </w:t>
      </w:r>
      <w:r>
        <w:t>European Scenarios of CO2 Infrastructure Investment until 2050 | https://doi.org/10.5547/01956574.37.si3.poei.ojea</w:t>
      </w:r>
    </w:p>
    <w:p>
      <w:r>
        <w:rPr>
          <w:b/>
        </w:rPr>
        <w:t xml:space="preserve">Later study (2016; related_study_or_model): </w:t>
      </w:r>
      <w:r>
        <w:t>European Scenarios of CO2 Infrastructure Investment until 2050 | https://doi.org/10.5547/01956574.37.si3.poei</w:t>
      </w:r>
    </w:p>
    <w:p>
      <w:pPr>
        <w:pStyle w:val="Heading2"/>
      </w:pPr>
      <w:r>
        <w:t>17. Web 2.0 foresight for innovation policy: A case of strategic agenda setting in European innovation</w:t>
      </w:r>
    </w:p>
    <w:p>
      <w:r>
        <w:rPr>
          <w:b/>
        </w:rPr>
        <w:t xml:space="preserve">WHAT WAS SAID / EXPECTED: </w:t>
      </w:r>
      <w:r>
        <w:t>Web 2.0 foresight for innovation policy: A case of strategic agenda setting in European innovation</w:t>
      </w:r>
    </w:p>
    <w:p>
      <w:r>
        <w:rPr>
          <w:b/>
        </w:rPr>
        <w:t xml:space="preserve">LATER STUDIES / WHAT THEY REPORT: </w:t>
      </w:r>
      <w:r>
        <w:t>3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Technology and digital</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https://doi.org/10.5172/impp.2012.14.3.446</w:t>
      </w:r>
    </w:p>
    <w:p>
      <w:r>
        <w:rPr>
          <w:b/>
        </w:rPr>
        <w:t xml:space="preserve">Search method and date: </w:t>
      </w:r>
      <w:r>
        <w:t>existing_scanner_catalogue (saved OpenAlex/Crossref records) | 2026-10-20T15:19</w:t>
      </w:r>
    </w:p>
    <w:p>
      <w:r>
        <w:rPr>
          <w:b/>
        </w:rPr>
        <w:t xml:space="preserve">Later study (2021; related_study_or_model): </w:t>
      </w:r>
      <w:r>
        <w:t>Participatory foresight and reflexive innovation: setting policy goals and developing strategies in a bottom-up, mission-oriented, sustainable way | https://doi.org/10.1186/s40309-021-00171-6</w:t>
      </w:r>
    </w:p>
    <w:p>
      <w:r>
        <w:rPr>
          <w:b/>
        </w:rPr>
        <w:t xml:space="preserve">Later study (2021; related_study_or_model): </w:t>
      </w:r>
      <w:r>
        <w:t>Democratising utopian thought in participatory agenda setting | https://doi.org/10.1186/s40309-021-00174-3</w:t>
      </w:r>
    </w:p>
    <w:p>
      <w:r>
        <w:rPr>
          <w:b/>
        </w:rPr>
        <w:t xml:space="preserve">Later study (2018; related_study_or_model): </w:t>
      </w:r>
      <w:r>
        <w:t>Toward a Socially Desirable EU Research and Innovation Agenda on Urban Waste: A Transnational EU Citizen Consultation | https://doi.org/10.3390/su10051641</w:t>
      </w:r>
    </w:p>
    <w:p>
      <w:pPr>
        <w:pStyle w:val="Heading2"/>
      </w:pPr>
      <w:r>
        <w:t>18. Carbon Content of Electricity Futures in Phase II of the EU ETS</w:t>
      </w:r>
    </w:p>
    <w:p>
      <w:r>
        <w:rPr>
          <w:b/>
        </w:rPr>
        <w:t xml:space="preserve">WHAT WAS SAID / EXPECTED: </w:t>
      </w:r>
      <w:r>
        <w:t>We estimate the relationship between electricity, fuel and carbon prices in Germany, France, the Netherlands, the Nord Pool market and Spain, using one-year futures for base and peakload prices for the years 2008-2011, corresponding to physical settlement during the second market phase of the EU ETS. We employ a series of estimation methods that allow for an increasing interaction between electricity and input prices on the one hand, and between electricity markets on the other. The results vary by country due to different generation portfolios. Overall, we find that (a) carbon costs are passed through fully in most countries; (b) under some model specifications, cost pass-through is higher during peakload than during baseload for France, Germany and the Netherlands; and (c) the results are sensitive to the degree of cross-commodity and cross-market interaction allowed.</w:t>
      </w:r>
    </w:p>
    <w:p>
      <w:r>
        <w:rPr>
          <w:b/>
        </w:rPr>
        <w:t xml:space="preserve">LATER STUDIES / WHAT THEY REPORT: </w:t>
      </w:r>
      <w:r>
        <w:t>3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https://doi.org/10.5547/01956574.36.4.hfel</w:t>
      </w:r>
    </w:p>
    <w:p>
      <w:r>
        <w:rPr>
          <w:b/>
        </w:rPr>
        <w:t xml:space="preserve">Search method and date: </w:t>
      </w:r>
      <w:r>
        <w:t>existing_scanner_catalogue (saved OpenAlex/Crossref records) | 2026-10-20T15:19</w:t>
      </w:r>
    </w:p>
    <w:p>
      <w:r>
        <w:rPr>
          <w:b/>
        </w:rPr>
        <w:t xml:space="preserve">Later study (2024; related_study_or_model): </w:t>
      </w:r>
      <w:r>
        <w:t>Investment Scenarios for Low Carbon Electricity in Europe | https://doi.org/10.24084/repqj11.323</w:t>
      </w:r>
    </w:p>
    <w:p>
      <w:r>
        <w:rPr>
          <w:b/>
        </w:rPr>
        <w:t xml:space="preserve">Later study (2023; related_study_or_model): </w:t>
      </w:r>
      <w:r>
        <w:t>Re-examining the efficiency of the EU carbon futures market in phase Ⅱ: price discovery and intertemporal arbitrage | https://doi.org/10.3389/fenrg.2023.1236488</w:t>
      </w:r>
    </w:p>
    <w:p>
      <w:r>
        <w:rPr>
          <w:b/>
        </w:rPr>
        <w:t xml:space="preserve">Later study (2020; related_study_or_model): </w:t>
      </w:r>
      <w:r>
        <w:t>The Linkages of Carbon Spot-Futures: Evidence from EU-ETS in the Third Phase | https://doi.org/10.3390/su12062517</w:t>
      </w:r>
    </w:p>
    <w:p>
      <w:pPr>
        <w:pStyle w:val="Heading2"/>
      </w:pPr>
      <w:r>
        <w:t>19. Horizon Scanning in Foresight – Why Horizon Scanning is only a part of the game</w:t>
      </w:r>
    </w:p>
    <w:p>
      <w:r>
        <w:rPr>
          <w:b/>
        </w:rPr>
        <w:t xml:space="preserve">WHAT WAS SAID / EXPECTED: </w:t>
      </w:r>
      <w:r>
        <w:t>Abstract Foresight and Horizon Scanning are often regarded as identical concepts with identical models and purposes. But they can be completely different activities, both in and for any kind of prospective activity as well as for strategy purposes. Scanning is no debate and no strategy building. Whereas Foresight is more process‐oriented and always includes a Horizon Scanning phase, Horizon Scanning is rather found at the beginning of any forward‐looking activity and can be an automatized stand‐alone approach for identifying “things to come” ‐ which often means the identification of new science and technology and providing information about them. This paper wants to shed light on some of the confusions in Foresight and Horizon Scanning (HS) that often occur in organizations, among researchers and practitioners being thus of practical and scientific relevance for using an integrated model. The contribution is backed up by a study conducted for the European Commission (Cuhls et al., 2015) conducted to clarify for the Commission’s Foresight department (A6) how the strategic intelligence</w:t>
      </w:r>
    </w:p>
    <w:p>
      <w:r>
        <w:rPr>
          <w:b/>
        </w:rPr>
        <w:t xml:space="preserve">LATER STUDIES / WHAT THEY REPORT: </w:t>
      </w:r>
      <w:r>
        <w:t>3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Other European foresight research</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https://doi.org/10.1002/ffo2.23</w:t>
      </w:r>
    </w:p>
    <w:p>
      <w:r>
        <w:rPr>
          <w:b/>
        </w:rPr>
        <w:t xml:space="preserve">Search method and date: </w:t>
      </w:r>
      <w:r>
        <w:t>existing_scanner_catalogue (saved OpenAlex/Crossref records) | 2026-10-20T15:19</w:t>
      </w:r>
    </w:p>
    <w:p>
      <w:r>
        <w:rPr>
          <w:b/>
        </w:rPr>
        <w:t xml:space="preserve">Later study (2026; related_study_or_model): </w:t>
      </w:r>
      <w:r>
        <w:t>Evaluating international collaboration on horizon scanning for pharmaceuticals: developing key performance indicators for the international horizon scanning initiative | https://doi.org/10.1017/s0266462325103358</w:t>
      </w:r>
    </w:p>
    <w:p>
      <w:r>
        <w:rPr>
          <w:b/>
        </w:rPr>
        <w:t xml:space="preserve">Later study (2025; related_study_or_model): </w:t>
      </w:r>
      <w:r>
        <w:t>PP66 International Horizon Scanning Initiative (IHSI) : Time to Review the Need for Stand-Alone National Horizon Scanning? | https://doi.org/10.1017/s026646232400237x</w:t>
      </w:r>
    </w:p>
    <w:p>
      <w:r>
        <w:rPr>
          <w:b/>
        </w:rPr>
        <w:t xml:space="preserve">Later study (2025; related_study_or_model): </w:t>
      </w:r>
      <w:r>
        <w:t>Health Technology Assessment and Horizon Scanning: A Review | https://doi.org/10.70852/tmj.1786306</w:t>
      </w:r>
    </w:p>
    <w:p>
      <w:pPr>
        <w:pStyle w:val="Heading2"/>
      </w:pPr>
      <w:r>
        <w:t>20. Energy Transition Scenarios for Energy Poverty Alleviation: Analysis of the Delphi Study</w:t>
      </w:r>
    </w:p>
    <w:p>
      <w:r>
        <w:rPr>
          <w:b/>
        </w:rPr>
        <w:t xml:space="preserve">WHAT WAS SAID / EXPECTED: </w:t>
      </w:r>
      <w:r>
        <w:t>Energy poverty is a phenomenon that is affecting an increasing number of EU citizens. It occurs when people are unable to buy enough energy to meet their needs at a socially acceptable level. Despite the many efforts and measures taken to prevent this negative phenomenon, the looming energy crisis could exacerbate it. On the one hand, efforts towards energy transition are intended to prevent this phenomenon, but on the other hand, inadequate restraint on the energy market may lead to its escalation. Various scenarios need to be analysed to ensure that the risks associated with energy shortages do not lead to even greater levels of energy poverty, with negative consequences for societies, economies, and the environment. Using a scenario approach and expert research, as well as mathematical–statistical tools, the article presents possible scenarios related to the implementation of measures affecting energy transformation and the transition to renewable energy sources in economies. These measures can change the phenomenon of energy poverty. The results of the analysis conducted in the a</w:t>
      </w:r>
    </w:p>
    <w:p>
      <w:r>
        <w:rPr>
          <w:b/>
        </w:rPr>
        <w:t xml:space="preserve">LATER STUDIES / WHAT THEY REPORT: </w:t>
      </w:r>
      <w:r>
        <w:t>3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https://doi.org/10.3390/en16041870</w:t>
      </w:r>
    </w:p>
    <w:p>
      <w:r>
        <w:rPr>
          <w:b/>
        </w:rPr>
        <w:t xml:space="preserve">Search method and date: </w:t>
      </w:r>
      <w:r>
        <w:t>existing_scanner_catalogue (saved OpenAlex/Crossref records) | 2026-10-20T15:19</w:t>
      </w:r>
    </w:p>
    <w:p>
      <w:r>
        <w:rPr>
          <w:b/>
        </w:rPr>
        <w:t xml:space="preserve">Later study (2025; related_study_or_model): </w:t>
      </w:r>
      <w:r>
        <w:t>Modelling in support of the European energy transition: Pathways towards the 2030 targets and the vision of climate neutrality by 2050 | https://doi.org/10.1016/j.energy.2025.136441</w:t>
      </w:r>
    </w:p>
    <w:p>
      <w:r>
        <w:rPr>
          <w:b/>
        </w:rPr>
        <w:t xml:space="preserve">Later study (2025; related_study_or_model): </w:t>
      </w:r>
      <w:r>
        <w:t>The evolution of agricultural energy transition in Eastern European Union countries between 1993 and 2022 | https://doi.org/10.34659/eis.2025.94.3.1046</w:t>
      </w:r>
    </w:p>
    <w:p>
      <w:r>
        <w:rPr>
          <w:b/>
        </w:rPr>
        <w:t xml:space="preserve">Later study (2025; related_study_or_model): </w:t>
      </w:r>
      <w:r>
        <w:t>ENERGY TRANSITION IN ROMANIA AND THE EUROPEAN UNION: DEVELOPMENTS, CHALLENGES AND PERSPECTIVES | https://doi.org/10.56043/reveco-2025-0018</w:t>
      </w:r>
    </w:p>
    <w:p>
      <w:pPr>
        <w:pStyle w:val="Heading2"/>
      </w:pPr>
      <w:r>
        <w:t>21. Analysis of uncertainty in large scale climate change projections over Europe</w:t>
      </w:r>
    </w:p>
    <w:p>
      <w:r>
        <w:rPr>
          <w:b/>
        </w:rPr>
        <w:t xml:space="preserve">WHAT WAS SAID / EXPECTED: </w:t>
      </w:r>
      <w:r>
        <w:t>Analysis of uncertainty in large scale climate change projections over Europe</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https://doi.org/10.1127/0941-2948/2011/0286</w:t>
      </w:r>
    </w:p>
    <w:p>
      <w:r>
        <w:rPr>
          <w:b/>
        </w:rPr>
        <w:t xml:space="preserve">Search method and date: </w:t>
      </w:r>
      <w:r>
        <w:t>existing_scanner_catalogue (saved OpenAlex/Crossref records) | 2026-10-20T15:19</w:t>
      </w:r>
    </w:p>
    <w:p>
      <w:r>
        <w:rPr>
          <w:b/>
        </w:rPr>
        <w:t xml:space="preserve">Later study (2022; related_study_or_model): </w:t>
      </w:r>
      <w:r>
        <w:t>Water resources availability in southern Europe at the basin scale in response to climate change scenarios | https://doi.org/10.1186/s12302-022-00649-5</w:t>
      </w:r>
    </w:p>
    <w:p>
      <w:r>
        <w:rPr>
          <w:b/>
        </w:rPr>
        <w:t xml:space="preserve">Later study (2017; related_study_or_model): </w:t>
      </w:r>
      <w:r>
        <w:t>A Simulation and Mapping Tool for the Evaluation of Building Systems for Future Climate Scenarios on European Scale | https://doi.org/10.1016/j.egypro.2017.09.705</w:t>
      </w:r>
    </w:p>
    <w:p>
      <w:pPr>
        <w:pStyle w:val="Heading2"/>
      </w:pPr>
      <w:r>
        <w:t>22. Carbon capture &amp; storage in power generation and wind energy: Flexibility and reliability issues in scenarios for Northw</w:t>
      </w:r>
    </w:p>
    <w:p>
      <w:r>
        <w:rPr>
          <w:b/>
        </w:rPr>
        <w:t xml:space="preserve">WHAT WAS SAID / EXPECTED: </w:t>
      </w:r>
      <w:r>
        <w:t>Carbon capture &amp; storage in power generation and wind energy: Flexibility and reliability issues in scenarios for Northwest Europe</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https://doi.org/10.1016/j.egypro.2011.02.587</w:t>
      </w:r>
    </w:p>
    <w:p>
      <w:r>
        <w:rPr>
          <w:b/>
        </w:rPr>
        <w:t xml:space="preserve">Search method and date: </w:t>
      </w:r>
      <w:r>
        <w:t>existing_scanner_catalogue (saved OpenAlex/Crossref records) | 2026-10-20T15:19</w:t>
      </w:r>
    </w:p>
    <w:p>
      <w:r>
        <w:rPr>
          <w:b/>
        </w:rPr>
        <w:t xml:space="preserve">Later study (2022; related_study_or_model): </w:t>
      </w:r>
      <w:r>
        <w:t>Projections of energy yield- and complementarity-driven wind energy expansion scenarios in the European Union | https://doi.org/10.1016/j.enconman.2022.116160</w:t>
      </w:r>
    </w:p>
    <w:p>
      <w:r>
        <w:rPr>
          <w:b/>
        </w:rPr>
        <w:t xml:space="preserve">Later study (2017; related_study_or_model): </w:t>
      </w:r>
      <w:r>
        <w:t>Potential impacts of climate change on European wind energy resource under the CMIP5 future climate projections | https://doi.org/10.1016/j.renene.2016.08.036</w:t>
      </w:r>
    </w:p>
    <w:p>
      <w:pPr>
        <w:pStyle w:val="Heading2"/>
      </w:pPr>
      <w:r>
        <w:t>23. Modelling the dynamics of European carbon futures price: A Zipf analysis</w:t>
      </w:r>
    </w:p>
    <w:p>
      <w:r>
        <w:rPr>
          <w:b/>
        </w:rPr>
        <w:t xml:space="preserve">WHAT WAS SAID / EXPECTED: </w:t>
      </w:r>
      <w:r>
        <w:t>Modelling the dynamics of European carbon futures price: A Zipf analysis</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https://doi.org/10.1016/j.econmod.2014.01.020</w:t>
      </w:r>
    </w:p>
    <w:p>
      <w:r>
        <w:rPr>
          <w:b/>
        </w:rPr>
        <w:t xml:space="preserve">Search method and date: </w:t>
      </w:r>
      <w:r>
        <w:t>existing_scanner_catalogue (saved OpenAlex/Crossref records) | 2026-10-20T15:19</w:t>
      </w:r>
    </w:p>
    <w:p>
      <w:r>
        <w:rPr>
          <w:b/>
        </w:rPr>
        <w:t xml:space="preserve">Later study (2023; related_study_or_model): </w:t>
      </w:r>
      <w:r>
        <w:t>Re-examining the efficiency of the EU carbon futures market in phase Ⅱ: price discovery and intertemporal arbitrage | https://doi.org/10.3389/fenrg.2023.1236488</w:t>
      </w:r>
    </w:p>
    <w:p>
      <w:r>
        <w:rPr>
          <w:b/>
        </w:rPr>
        <w:t xml:space="preserve">Later study (2021; related_study_or_model): </w:t>
      </w:r>
      <w:r>
        <w:t>Research on the Correlation Between WTI Crude Oil Futures Price and European Carbon Futures Price | https://doi.org/10.3389/fenrg.2021.735665</w:t>
      </w:r>
    </w:p>
    <w:p>
      <w:pPr>
        <w:pStyle w:val="Heading2"/>
      </w:pPr>
      <w:r>
        <w:t>24. The relationship between European electricity markets and emission allowance futures prices in phase II of the EU (Europ</w:t>
      </w:r>
    </w:p>
    <w:p>
      <w:r>
        <w:rPr>
          <w:b/>
        </w:rPr>
        <w:t xml:space="preserve">WHAT WAS SAID / EXPECTED: </w:t>
      </w:r>
      <w:r>
        <w:t>The relationship between European electricity markets and emission allowance futures prices in phase II of the EU (European Union) emission trading scheme</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https://doi.org/10.1016/j.energy.2014.07.024</w:t>
      </w:r>
    </w:p>
    <w:p>
      <w:r>
        <w:rPr>
          <w:b/>
        </w:rPr>
        <w:t xml:space="preserve">Search method and date: </w:t>
      </w:r>
      <w:r>
        <w:t>existing_scanner_catalogue (saved OpenAlex/Crossref records) | 2026-10-20T15:19</w:t>
      </w:r>
    </w:p>
    <w:p>
      <w:r>
        <w:rPr>
          <w:b/>
        </w:rPr>
        <w:t xml:space="preserve">Later study (2024; related_study_or_model): </w:t>
      </w:r>
      <w:r>
        <w:t>Research on the risk spillover effect of carbon emission trading market and various industry markets in China and the European Union | https://doi.org/10.1002/ese3.1907</w:t>
      </w:r>
    </w:p>
    <w:p>
      <w:r>
        <w:rPr>
          <w:b/>
        </w:rPr>
        <w:t xml:space="preserve">Later study (2015; related_study_or_model): </w:t>
      </w:r>
      <w:r>
        <w:t>Carbon Content of Electricity Futures in Phase II of the EU ETS | https://doi.org/10.5547/01956574.36.4.hfel</w:t>
      </w:r>
    </w:p>
    <w:p>
      <w:pPr>
        <w:pStyle w:val="Heading2"/>
      </w:pPr>
      <w:r>
        <w:t>25. Investigating scenario planning – a European tourism perspective</w:t>
      </w:r>
    </w:p>
    <w:p>
      <w:r>
        <w:rPr>
          <w:b/>
        </w:rPr>
        <w:t xml:space="preserve">WHAT WAS SAID / EXPECTED: </w:t>
      </w:r>
      <w:r>
        <w:t>Purpose The purpose of this paper is to discuss the scenario planning approach developed and used by the European Tourism Futures Institute (ETFI). Design/methodology/approach This paper contains the following sections: mission and aims of the research group; epistemological and methodological positioning, conceptual framework and research lines for an applied scenario planning approach. Findings This paper highlights the research methodology of the scenario planning group of the European Tourism Research Institute. It provides insight in the research foundations of the scenario planning approach in a tourism context and ETFI's conceptual framework for scenario planning. Originality/value The paper provides an insight to how Europe's first tourism futures research centre developed and uses a conceptual framework for scenario planning thus demonstrating best practice success.</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Other European foresight research</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https://doi.org/10.1108/jtf-12-2014-0020</w:t>
      </w:r>
    </w:p>
    <w:p>
      <w:r>
        <w:rPr>
          <w:b/>
        </w:rPr>
        <w:t xml:space="preserve">Search method and date: </w:t>
      </w:r>
      <w:r>
        <w:t>existing_scanner_catalogue (saved OpenAlex/Crossref records) | 2026-10-20T15:19</w:t>
      </w:r>
    </w:p>
    <w:p>
      <w:r>
        <w:rPr>
          <w:b/>
        </w:rPr>
        <w:t xml:space="preserve">Later study (2024; related_study_or_model): </w:t>
      </w:r>
      <w:r>
        <w:t>The future of tourism: evolution and future of scenario planning and strategic foresight in tourism with Albert Postma | https://doi.org/10.1108/jtf-09-2024-0213</w:t>
      </w:r>
    </w:p>
    <w:p>
      <w:r>
        <w:rPr>
          <w:b/>
        </w:rPr>
        <w:t xml:space="preserve">Later study (2022; related_study_or_model): </w:t>
      </w:r>
      <w:r>
        <w:t>A scenario planning framework for (post-)pandemic tourism in European destinations | https://doi.org/10.1080/09654313.2022.2045571</w:t>
      </w:r>
    </w:p>
    <w:p>
      <w:pPr>
        <w:pStyle w:val="Heading2"/>
      </w:pPr>
      <w:r>
        <w:t>26. Demographic Challenges in Central and Eastern Europe in 21st Century</w:t>
      </w:r>
    </w:p>
    <w:p>
      <w:r>
        <w:rPr>
          <w:b/>
        </w:rPr>
        <w:t xml:space="preserve">WHAT WAS SAID / EXPECTED: </w:t>
      </w:r>
      <w:r>
        <w:t>Due to the fact that the least favorable situation in terms of population is in the countries of Central and Eastern Europe, the article presents the demographic position of these countries, the challenges and risks associated with the demographic crisis, the existing policy guidelines for families and points to the long-term perspective to the next 60 years (graying society). The aim of this article is to present the scale of the demographic crisis but also describe the consequences associated with it, and the challenges faced by each country in the future in the relation to the aging population. The research methods used in this work is desk research, analysis and interpretation of available statistical data and descriptive method based on the available literature.</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Population and work</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https://doi.org/10.17770/sie2015vol3.370</w:t>
      </w:r>
    </w:p>
    <w:p>
      <w:r>
        <w:rPr>
          <w:b/>
        </w:rPr>
        <w:t xml:space="preserve">Search method and date: </w:t>
      </w:r>
      <w:r>
        <w:t>existing_scanner_catalogue (saved OpenAlex/Crossref records) | 2026-10-20T15:19</w:t>
      </w:r>
    </w:p>
    <w:p>
      <w:r>
        <w:rPr>
          <w:b/>
        </w:rPr>
        <w:t xml:space="preserve">Later study (2026; related_study_or_model): </w:t>
      </w:r>
      <w:r>
        <w:t>A Paradigm Shift: The Geopolitical Awakening of the European Union and Central and Eastern Europe States as Full-Fledged Security Actors in the Context of Russia’s War in Ukraine | https://doi.org/10.1177/08883254251394658</w:t>
      </w:r>
    </w:p>
    <w:p>
      <w:r>
        <w:rPr>
          <w:b/>
        </w:rPr>
        <w:t xml:space="preserve">Later study (2018; related_study_or_model): </w:t>
      </w:r>
      <w:r>
        <w:t>Educational policies in Central and Eastern Europe: legacies of state socialism, modernization aspirations and challenges of semi-peripheral contexts | https://doi.org/10.1177/1478210318777415</w:t>
      </w:r>
    </w:p>
    <w:p>
      <w:pPr>
        <w:pStyle w:val="Heading2"/>
      </w:pPr>
      <w:r>
        <w:t>27. Trans-national horizon scanning for invasive non-native species: a case study in western Europe</w:t>
      </w:r>
    </w:p>
    <w:p>
      <w:r>
        <w:rPr>
          <w:b/>
        </w:rPr>
        <w:t xml:space="preserve">WHAT WAS SAID / EXPECTED: </w:t>
      </w:r>
      <w:r>
        <w:t>Trans-national horizon scanning for invasive non-native species: a case study in western Europe</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Other European foresight research</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https://doi.org/10.1007/s10530-015-0986-0</w:t>
      </w:r>
    </w:p>
    <w:p>
      <w:r>
        <w:rPr>
          <w:b/>
        </w:rPr>
        <w:t xml:space="preserve">Search method and date: </w:t>
      </w:r>
      <w:r>
        <w:t>existing_scanner_catalogue (saved OpenAlex/Crossref records) | 2026-10-20T15:19</w:t>
      </w:r>
    </w:p>
    <w:p>
      <w:r>
        <w:rPr>
          <w:b/>
        </w:rPr>
        <w:t xml:space="preserve">Later study (2025; related_study_or_model): </w:t>
      </w:r>
      <w:r>
        <w:t>Health Technology Assessment and Horizon Scanning: A Review | https://doi.org/10.70852/tmj.1786306</w:t>
      </w:r>
    </w:p>
    <w:p>
      <w:r>
        <w:rPr>
          <w:b/>
        </w:rPr>
        <w:t xml:space="preserve">Later study (2019; related_study_or_model): </w:t>
      </w:r>
      <w:r>
        <w:t>Horizon Scanning in Foresight – Why Horizon Scanning is only a part of the game | https://doi.org/10.1002/ffo2.23</w:t>
      </w:r>
    </w:p>
    <w:p>
      <w:pPr>
        <w:pStyle w:val="Heading2"/>
      </w:pPr>
      <w:r>
        <w:t>28. A scenario discovery study of the impact of uncertainties in the global container transport system on European ports</w:t>
      </w:r>
    </w:p>
    <w:p>
      <w:r>
        <w:rPr>
          <w:b/>
        </w:rPr>
        <w:t xml:space="preserve">WHAT WAS SAID / EXPECTED: </w:t>
      </w:r>
      <w:r>
        <w:t>A scenario discovery study of the impact of uncertainties in the global container transport system on European ports</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Other European foresight research</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https://doi.org/10.1016/j.futures.2015.09.004</w:t>
      </w:r>
    </w:p>
    <w:p>
      <w:r>
        <w:rPr>
          <w:b/>
        </w:rPr>
        <w:t xml:space="preserve">Search method and date: </w:t>
      </w:r>
      <w:r>
        <w:t>existing_scanner_catalogue (saved OpenAlex/Crossref records) | 2026-10-20T15:19</w:t>
      </w:r>
    </w:p>
    <w:p>
      <w:r>
        <w:rPr>
          <w:b/>
        </w:rPr>
        <w:t xml:space="preserve">Later study (2020; related_study_or_model): </w:t>
      </w:r>
      <w:r>
        <w:t>China’s participation in European container ports: Drivers and possible future scenarios | https://doi.org/10.3917/e.ris.117.0041</w:t>
      </w:r>
    </w:p>
    <w:p>
      <w:r>
        <w:rPr>
          <w:b/>
        </w:rPr>
        <w:t xml:space="preserve">Later study (2020; related_study_or_model): </w:t>
      </w:r>
      <w:r>
        <w:t>China’s Participation in European Container Ports: Drivers and Possible Future Scenarios | https://doi.org/10.3917/ris.117.0041</w:t>
      </w:r>
    </w:p>
    <w:p>
      <w:pPr>
        <w:pStyle w:val="Heading2"/>
      </w:pPr>
      <w:r>
        <w:t>29. Renewable energy scenarios for costs reductions in the European Union</w:t>
      </w:r>
    </w:p>
    <w:p>
      <w:r>
        <w:rPr>
          <w:b/>
        </w:rPr>
        <w:t xml:space="preserve">WHAT WAS SAID / EXPECTED: </w:t>
      </w:r>
      <w:r>
        <w:t>Renewable energy scenarios for costs reductions in the European Union</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https://doi.org/10.1016/j.renene.2016.04.024</w:t>
      </w:r>
    </w:p>
    <w:p>
      <w:r>
        <w:rPr>
          <w:b/>
        </w:rPr>
        <w:t xml:space="preserve">Search method and date: </w:t>
      </w:r>
      <w:r>
        <w:t>existing_scanner_catalogue (saved OpenAlex/Crossref records) | 2026-10-20T15:19</w:t>
      </w:r>
    </w:p>
    <w:p>
      <w:r>
        <w:rPr>
          <w:b/>
        </w:rPr>
        <w:t xml:space="preserve">Later study (2021; related_study_or_model): </w:t>
      </w:r>
      <w:r>
        <w:t>Sustainable renewable energy supply networks optimization – The gradual transition to a renewable energy system within the European Union by 2050 | https://doi.org/10.1016/j.rser.2021.111186</w:t>
      </w:r>
    </w:p>
    <w:p>
      <w:r>
        <w:rPr>
          <w:b/>
        </w:rPr>
        <w:t xml:space="preserve">Later study (2020; related_study_or_model): </w:t>
      </w:r>
      <w:r>
        <w:t>Fifty shades of binding: Appraising the enforcement toolkit for the EU’s 2030 renewable energy targets | https://doi.org/10.1111/reel.12330</w:t>
      </w:r>
    </w:p>
    <w:p>
      <w:pPr>
        <w:pStyle w:val="Heading2"/>
      </w:pPr>
      <w:r>
        <w:t>30. Volatility Spillovers and Causality of Carbon Emissions, Oil and Coal Spot and Futures for the EU and USA</w:t>
      </w:r>
    </w:p>
    <w:p>
      <w:r>
        <w:rPr>
          <w:b/>
        </w:rPr>
        <w:t xml:space="preserve">WHAT WAS SAID / EXPECTED: </w:t>
      </w:r>
      <w:r>
        <w:t>Recent research shows that the efforts to limit climate change should focus on reducing the emissions of carbon dioxide over other greenhouse gases or air pollutants. Many countries are paying substantial attention to carbon emissions to improve air quality and public health. The largest source of carbon emissions from human activities in some countries in Europe and elsewhere is from burning fossil fuels for electricity, heat, and transportation. The prices of fuel and carbon emissions can influence each other. Owing to the importance of carbon emissions and their connection to fossil fuels, and the possibility of [1] Granger (1980) causality in spot and futures prices, returns, and volatility of carbon emissions, crude oil and coal have recently become very important research topics. For the USA, daily spot and futures prices are available for crude oil and coal, but there are no daily futures prices for carbon emissions. For the European Union (EU), there are no daily spot prices for coal or carbon emissions, but there are daily futures prices for crude oil, coal and carbon emissi</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https://doi.org/10.3390/su9101789</w:t>
      </w:r>
    </w:p>
    <w:p>
      <w:r>
        <w:rPr>
          <w:b/>
        </w:rPr>
        <w:t xml:space="preserve">Search method and date: </w:t>
      </w:r>
      <w:r>
        <w:t>existing_scanner_catalogue (saved OpenAlex/Crossref records) | 2026-10-20T15:19</w:t>
      </w:r>
    </w:p>
    <w:p>
      <w:r>
        <w:rPr>
          <w:b/>
        </w:rPr>
        <w:t xml:space="preserve">Later study (2024; related_study_or_model): </w:t>
      </w:r>
      <w:r>
        <w:t>Global spillovers of US climate policy risk: Evidence from EU carbon emissions futures | https://doi.org/10.1016/j.eneco.2024.107931</w:t>
      </w:r>
    </w:p>
    <w:p>
      <w:r>
        <w:rPr>
          <w:b/>
        </w:rPr>
        <w:t xml:space="preserve">Later study (2022; related_study_or_model): </w:t>
      </w:r>
      <w:r>
        <w:t>Global Spillovers of US Climate Policy Risk: Evidence from EU Carbon Emissions Futures | https://doi.org/10.2139/ssrn.4170198</w:t>
      </w:r>
    </w:p>
    <w:p>
      <w:pPr>
        <w:pStyle w:val="Heading2"/>
      </w:pPr>
      <w:r>
        <w:t>31. The Court of Justice and the Ban on Bulk Data Retention: Expansive Potential and Future Scenarios</w:t>
      </w:r>
    </w:p>
    <w:p>
      <w:r>
        <w:rPr>
          <w:b/>
        </w:rPr>
        <w:t xml:space="preserve">WHAT WAS SAID / EXPECTED: </w:t>
      </w:r>
      <w:r>
        <w:t>Data retention saga – Interpretative strategy of the Court of Justice – Expansive potential of the principles set by the Court of Justice – ‘Reverse’ effet utile and conflict of competence – EU acts under threat – Domino effect on national security measures – Future scenarios – Twilight of the model of bulk data retention – Modulation of the ban on bulk data retention according to the vulnerability of data processing or depending on the prior unknowability of the threats – Divergence from the European Court of Human Rights – Legitimisation of bulk data retention ‘ Equo ne credite, Teucri! Quidquid id est, timeo Danaos et dona ferentes ’ — Virgil, Aeneid , II, 48-49</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Other European foresight research</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https://doi.org/10.1017/s1574019619000038</w:t>
      </w:r>
    </w:p>
    <w:p>
      <w:r>
        <w:rPr>
          <w:b/>
        </w:rPr>
        <w:t xml:space="preserve">Search method and date: </w:t>
      </w:r>
      <w:r>
        <w:t>existing_scanner_catalogue (saved OpenAlex/Crossref records) | 2026-10-20T15:19</w:t>
      </w:r>
    </w:p>
    <w:p>
      <w:r>
        <w:rPr>
          <w:b/>
        </w:rPr>
        <w:t xml:space="preserve">Later study (2026; related_study_or_model): </w:t>
      </w:r>
      <w:r>
        <w:t>The politics of the Court of Justice of the European Union: A review | https://doi.org/10.1177/14651165251405487</w:t>
      </w:r>
    </w:p>
    <w:p>
      <w:r>
        <w:rPr>
          <w:b/>
        </w:rPr>
        <w:t xml:space="preserve">Later study (2025; related_study_or_model): </w:t>
      </w:r>
      <w:r>
        <w:t>The European Court of Justice and legal European integration | https://doi.org/10.1177/14651165251395303</w:t>
      </w:r>
    </w:p>
    <w:p>
      <w:pPr>
        <w:pStyle w:val="Heading2"/>
      </w:pPr>
      <w:r>
        <w:t>32. Aligning integrated assessment modelling with socio-technical transition insights: An application to low-carbon energy s</w:t>
      </w:r>
    </w:p>
    <w:p>
      <w:r>
        <w:rPr>
          <w:b/>
        </w:rPr>
        <w:t xml:space="preserve">WHAT WAS SAID / EXPECTED: </w:t>
      </w:r>
      <w:r>
        <w:t>Aligning integrated assessment modelling with socio-technical transition insights: An application to low-carbon energy scenario analysis in Europe</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https://doi.org/10.1016/j.techfore.2017.10.024</w:t>
      </w:r>
    </w:p>
    <w:p>
      <w:r>
        <w:rPr>
          <w:b/>
        </w:rPr>
        <w:t xml:space="preserve">Search method and date: </w:t>
      </w:r>
      <w:r>
        <w:t>existing_scanner_catalogue (saved OpenAlex/Crossref records) | 2026-10-20T15:19</w:t>
      </w:r>
    </w:p>
    <w:p>
      <w:r>
        <w:rPr>
          <w:b/>
        </w:rPr>
        <w:t xml:space="preserve">Later study (2025; related_study_or_model): </w:t>
      </w:r>
      <w:r>
        <w:t>ENERGY TRANSITION IN ROMANIA AND THE EUROPEAN UNION: DEVELOPMENTS, CHALLENGES AND PERSPECTIVES | https://doi.org/10.56043/reveco-2025-0018</w:t>
      </w:r>
    </w:p>
    <w:p>
      <w:r>
        <w:rPr>
          <w:b/>
        </w:rPr>
        <w:t xml:space="preserve">Later study (2023; related_study_or_model): </w:t>
      </w:r>
      <w:r>
        <w:t>Energy Transition Scenarios for Energy Poverty Alleviation: Analysis of the Delphi Study | https://doi.org/10.3390/en16041870</w:t>
      </w:r>
    </w:p>
    <w:p>
      <w:pPr>
        <w:pStyle w:val="Heading2"/>
      </w:pPr>
      <w:r>
        <w:t>33. Prospective Policy Study on Artificial Intelligence and EU Trade Policy</w:t>
      </w:r>
    </w:p>
    <w:p>
      <w:r>
        <w:rPr>
          <w:b/>
        </w:rPr>
        <w:t xml:space="preserve">WHAT WAS SAID / EXPECTED: </w:t>
      </w:r>
      <w:r>
        <w:t>Prospective Policy Study on Artificial Intelligence and EU Trade Policy</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Economy and finance</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https://doi.org/10.2139/ssrn.3524254</w:t>
      </w:r>
    </w:p>
    <w:p>
      <w:r>
        <w:rPr>
          <w:b/>
        </w:rPr>
        <w:t xml:space="preserve">Search method and date: </w:t>
      </w:r>
      <w:r>
        <w:t>existing_scanner_catalogue (saved OpenAlex/Crossref records) | 2026-10-20T15:19</w:t>
      </w:r>
    </w:p>
    <w:p>
      <w:r>
        <w:rPr>
          <w:b/>
        </w:rPr>
        <w:t xml:space="preserve">Later study (2026; related_study_or_model): </w:t>
      </w:r>
      <w:r>
        <w:t>Citizenwashing EU Tech Policy: EU Deliberative Mini‐Publics on Virtual Worlds and Artificial Intelligence | https://doi.org/10.17645/pag.10468</w:t>
      </w:r>
    </w:p>
    <w:p>
      <w:r>
        <w:rPr>
          <w:b/>
        </w:rPr>
        <w:t xml:space="preserve">Later study (2025; related_study_or_model): </w:t>
      </w:r>
      <w:r>
        <w:t>Artificial Intelligence in the Public Sphere: Legal and Security Culture in the EU | https://doi.org/10.32084/tkp.9640</w:t>
      </w:r>
    </w:p>
    <w:p>
      <w:pPr>
        <w:pStyle w:val="Heading2"/>
      </w:pPr>
      <w:r>
        <w:t>34. Sustainable renewable energy supply networks optimization – The gradual transition to a renewable energy system within t</w:t>
      </w:r>
    </w:p>
    <w:p>
      <w:r>
        <w:rPr>
          <w:b/>
        </w:rPr>
        <w:t xml:space="preserve">WHAT WAS SAID / EXPECTED: </w:t>
      </w:r>
      <w:r>
        <w:t>Sustainable renewable energy supply networks optimization – The gradual transition to a renewable energy system within the European Union by 2050</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https://doi.org/10.1016/j.rser.2021.111186</w:t>
      </w:r>
    </w:p>
    <w:p>
      <w:r>
        <w:rPr>
          <w:b/>
        </w:rPr>
        <w:t xml:space="preserve">Search method and date: </w:t>
      </w:r>
      <w:r>
        <w:t>existing_scanner_catalogue (saved OpenAlex/Crossref records) | 2026-10-20T15:19</w:t>
      </w:r>
    </w:p>
    <w:p>
      <w:r>
        <w:rPr>
          <w:b/>
        </w:rPr>
        <w:t xml:space="preserve">Later study (2025; related_study_or_model): </w:t>
      </w:r>
      <w:r>
        <w:t>ENERGY TRANSITION IN ROMANIA AND THE EUROPEAN UNION: DEVELOPMENTS, CHALLENGES AND PERSPECTIVES | https://doi.org/10.56043/reveco-2025-0018</w:t>
      </w:r>
    </w:p>
    <w:p>
      <w:r>
        <w:rPr>
          <w:b/>
        </w:rPr>
        <w:t xml:space="preserve">Later study (2023; related_study_or_model): </w:t>
      </w:r>
      <w:r>
        <w:t>Energy Transition Scenarios for Energy Poverty Alleviation: Analysis of the Delphi Study | https://doi.org/10.3390/en16041870</w:t>
      </w:r>
    </w:p>
    <w:p>
      <w:pPr>
        <w:pStyle w:val="Heading2"/>
      </w:pPr>
      <w:r>
        <w:t>35. Projections of energy yield- and complementarity-driven wind energy expansion scenarios in the European Union</w:t>
      </w:r>
    </w:p>
    <w:p>
      <w:r>
        <w:rPr>
          <w:b/>
        </w:rPr>
        <w:t xml:space="preserve">WHAT WAS SAID / EXPECTED: </w:t>
      </w:r>
      <w:r>
        <w:t>Projections of energy yield- and complementarity-driven wind energy expansion scenarios in the European Union</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https://doi.org/10.1016/j.enconman.2022.116160</w:t>
      </w:r>
    </w:p>
    <w:p>
      <w:r>
        <w:rPr>
          <w:b/>
        </w:rPr>
        <w:t xml:space="preserve">Search method and date: </w:t>
      </w:r>
      <w:r>
        <w:t>existing_scanner_catalogue (saved OpenAlex/Crossref records) | 2026-10-20T15:19</w:t>
      </w:r>
    </w:p>
    <w:p>
      <w:r>
        <w:rPr>
          <w:b/>
        </w:rPr>
        <w:t xml:space="preserve">Later study (2025; related_study_or_model): </w:t>
      </w:r>
      <w:r>
        <w:t>Mapping out the scenarios of ocean energy scale-up based on the development of offshore wind | https://doi.org/10.12688/openreseurope.15906.2</w:t>
      </w:r>
    </w:p>
    <w:p>
      <w:r>
        <w:rPr>
          <w:b/>
        </w:rPr>
        <w:t xml:space="preserve">Later study (2023; related_study_or_model): </w:t>
      </w:r>
      <w:r>
        <w:t>Mapping out the scenarios of ocean energy scale-up based on the development of offshore wind | https://doi.org/10.12688/openreseurope.15906.1</w:t>
      </w:r>
    </w:p>
    <w:p>
      <w:pPr>
        <w:pStyle w:val="Heading2"/>
      </w:pPr>
      <w:r>
        <w:t>36. Evaluating current effects of upcoming EU Carbon Border Adjustment Mechanism: Evidence from China's futures market</w:t>
      </w:r>
    </w:p>
    <w:p>
      <w:r>
        <w:rPr>
          <w:b/>
        </w:rPr>
        <w:t xml:space="preserve">WHAT WAS SAID / EXPECTED: </w:t>
      </w:r>
      <w:r>
        <w:t>Evaluating current effects of upcoming EU Carbon Border Adjustment Mechanism: Evidence from China's futures market</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https://doi.org/10.1016/j.enpol.2023.113573</w:t>
      </w:r>
    </w:p>
    <w:p>
      <w:r>
        <w:rPr>
          <w:b/>
        </w:rPr>
        <w:t xml:space="preserve">Search method and date: </w:t>
      </w:r>
      <w:r>
        <w:t>existing_scanner_catalogue (saved OpenAlex/Crossref records) | 2026-10-20T15:19</w:t>
      </w:r>
    </w:p>
    <w:p>
      <w:r>
        <w:rPr>
          <w:b/>
        </w:rPr>
        <w:t xml:space="preserve">Later study (2025; related_study_or_model): </w:t>
      </w:r>
      <w:r>
        <w:t>Scenarios for embedding phosphorus recovery into the international regime through EU’s carbon border adjustment mechanism | https://doi.org/10.1016/j.sftr.2025.101504</w:t>
      </w:r>
    </w:p>
    <w:p>
      <w:r>
        <w:rPr>
          <w:b/>
        </w:rPr>
        <w:t xml:space="preserve">Later study (2024; related_study_or_model): </w:t>
      </w:r>
      <w:r>
        <w:t>Research on the risk spillover effect of carbon emission trading market and various industry markets in China and the European Union | https://doi.org/10.1002/ese3.1907</w:t>
      </w:r>
    </w:p>
    <w:p>
      <w:pPr>
        <w:pStyle w:val="Heading2"/>
      </w:pPr>
      <w:r>
        <w:t>37. Future of European Security Policies: Is Geopolitical Europe Possible?</w:t>
      </w:r>
    </w:p>
    <w:p>
      <w:r>
        <w:rPr>
          <w:b/>
        </w:rPr>
        <w:t xml:space="preserve">WHAT WAS SAID / EXPECTED: </w:t>
      </w:r>
      <w:r>
        <w:t>Since the aftermath of World War II, the pursuit of European autonomy in ensuring its security began with the 1950s French proposal for a pan-European defense force, though never realized. The Lisbon Treaty facilitated Union representation as a legal entity and introduced Permanent Structured Cooperation (PESCO) to deepen defense ties. Geopolitical ambitions increased with von Der Leyen's 2019 call for a Geopolitical Commission, preceding the Russia-Ukraine conflict. Global geopolitical shifts amplify the need for a robust European role. However, EU's historical struggle in forging a strong security policy fuels skepticism. This study assesses the EU's foreign policy in the Mediterranean and Black Sea amidst regional turmoil, employing a neo-classical realist lens and a global perspective.</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Security and governance</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https://doi.org/10.32450/aacd.1439529</w:t>
      </w:r>
    </w:p>
    <w:p>
      <w:r>
        <w:rPr>
          <w:b/>
        </w:rPr>
        <w:t xml:space="preserve">Search method and date: </w:t>
      </w:r>
      <w:r>
        <w:t>existing_scanner_catalogue (saved OpenAlex/Crossref records) | 2026-10-20T15:19</w:t>
      </w:r>
    </w:p>
    <w:p>
      <w:r>
        <w:rPr>
          <w:b/>
        </w:rPr>
        <w:t xml:space="preserve">Later study (2026; related_study_or_model): </w:t>
      </w:r>
      <w:r>
        <w:t>A Paradigm Shift: The Geopolitical Awakening of the European Union and Central and Eastern Europe States as Full-Fledged Security Actors in the Context of Russia’s War in Ukraine | https://doi.org/10.1177/08883254251394658</w:t>
      </w:r>
    </w:p>
    <w:p>
      <w:r>
        <w:rPr>
          <w:b/>
        </w:rPr>
        <w:t xml:space="preserve">Later study (2024; related_study_or_model): </w:t>
      </w:r>
      <w:r>
        <w:t>The Inﬂuence of a New Geopolitical Environment on the Peace and Security of the Western Balkans | https://doi.org/10.33067/se.3.2024.3</w:t>
      </w:r>
    </w:p>
    <w:p>
      <w:pPr>
        <w:pStyle w:val="Heading2"/>
      </w:pPr>
      <w:r>
        <w:t>38. Towards a ‘security-centred’ energy transition: balancing the European Union’s ambitions and geopolitical realities</w:t>
      </w:r>
    </w:p>
    <w:p>
      <w:r>
        <w:rPr>
          <w:b/>
        </w:rPr>
        <w:t xml:space="preserve">WHAT WAS SAID / EXPECTED: </w:t>
      </w:r>
      <w:r>
        <w:t>Abstract The European Union (EU) faces a pressing, multi-level energy crisis propelled by the perfect storm of Russia’s war in Ukraine and rapidly progressing climate change. As a result, the EU is scrambling to ensure it has sufficient energy supplies for the foreseeable future while reinventing its energy strategy in the long term. Since the EU is at a critical juncture for squaring EU energy security with European and international legal commitments, this article surveys this radical shift and its consequences. It analyses new EU-wide crisis-response tools and ad hoc bilateral arrangements with third countries against existing legal commitments. Recent developments are only the beginning of a much larger re-evaluation of core notions of the ‘trade-energy security’ nexus. To decarbonize, the EU must move towards a ‘security-centred’ energy transition, premised on ‘security first, compliance second’. This requires reassessing the notion of ‘protectionism’ in geopolitically sensitive areas and the current division of energy competences between the EU and its Member States.</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https://doi.org/10.1093/jiel/jgad043</w:t>
      </w:r>
    </w:p>
    <w:p>
      <w:r>
        <w:rPr>
          <w:b/>
        </w:rPr>
        <w:t xml:space="preserve">Search method and date: </w:t>
      </w:r>
      <w:r>
        <w:t>existing_scanner_catalogue (saved OpenAlex/Crossref records) | 2026-10-20T15:19</w:t>
      </w:r>
    </w:p>
    <w:p>
      <w:r>
        <w:rPr>
          <w:b/>
        </w:rPr>
        <w:t xml:space="preserve">Later study (2025; related_study_or_model): </w:t>
      </w:r>
      <w:r>
        <w:t>Geopolitical Realities and Digital Futures: Technological Challenges and Opportunities for the European Union | https://doi.org/10.58679/ii36708</w:t>
      </w:r>
    </w:p>
    <w:p>
      <w:r>
        <w:rPr>
          <w:b/>
        </w:rPr>
        <w:t xml:space="preserve">Later study (2025; related_study_or_model): </w:t>
      </w:r>
      <w:r>
        <w:t>ENERGY TRANSITION IN ROMANIA AND THE EUROPEAN UNION: DEVELOPMENTS, CHALLENGES AND PERSPECTIVES | https://doi.org/10.56043/reveco-2025-0018</w:t>
      </w:r>
    </w:p>
    <w:p>
      <w:pPr>
        <w:pStyle w:val="Heading2"/>
      </w:pPr>
      <w:r>
        <w:t xml:space="preserve">39. Assessment of Hungary's transition to environmental sustainability: the integration of green taxation in alignment with </w:t>
      </w:r>
    </w:p>
    <w:p>
      <w:r>
        <w:rPr>
          <w:b/>
        </w:rPr>
        <w:t xml:space="preserve">WHAT WAS SAID / EXPECTED: </w:t>
      </w:r>
      <w:r>
        <w:t>The European Green Deal represents a significant development priority of the European Union to become the world's first climateneutral continent by 2050, as it is emerging as the most important tool in mitigating climate change. Environmental taxation is one of the most crucial mechanisms for determining the effectiveness of the implementation of the Green Deal policy. Hungary's government has begun to adopt the European Green Deal strategy by increasing its climate ambitions by legislating a carbon neutrality target for 2050. Achieving the 2050 target is possible if Hungary develops well-defined policy roadmaps with key milestones per sector. This study provides a comprehensive assessment of Hungary's commitments to environmental sustainability, with a particular focus on the integration of environmental taxation and carbon pricing measures. Hungary is aiming to align its environmental policies with the European Green Deal. The analysis examines Hungary's ongoing transition towards environmental sustainability. It assesses the effectiveness of the environmental tax initiative, inclu</w:t>
      </w:r>
    </w:p>
    <w:p>
      <w:r>
        <w:rPr>
          <w:b/>
        </w:rPr>
        <w:t xml:space="preserve">LATER STUDIES / WHAT THEY REPORT: </w:t>
      </w:r>
      <w:r>
        <w:t>2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Other European foresight research</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https://doi.org/10.47833/2024.3.eco.001</w:t>
      </w:r>
    </w:p>
    <w:p>
      <w:r>
        <w:rPr>
          <w:b/>
        </w:rPr>
        <w:t xml:space="preserve">Search method and date: </w:t>
      </w:r>
      <w:r>
        <w:t>existing_scanner_catalogue (saved OpenAlex/Crossref records) | 2026-10-20T15:19</w:t>
      </w:r>
    </w:p>
    <w:p>
      <w:r>
        <w:rPr>
          <w:b/>
        </w:rPr>
        <w:t xml:space="preserve">Later study (2025; related_study_or_model): </w:t>
      </w:r>
      <w:r>
        <w:t>Evaluating the European Union’s Green Deal Role in Climate Change Mitigation and Sustainability Transitions (2030-2050) | https://doi.org/10.47772/ijriss.2025.90500026</w:t>
      </w:r>
    </w:p>
    <w:p>
      <w:r>
        <w:rPr>
          <w:b/>
        </w:rPr>
        <w:t xml:space="preserve">Later study (2025; related_study_or_model): </w:t>
      </w:r>
      <w:r>
        <w:t>Modeling the Green Transition in the European Union: An Organic Market-Oriented Perspective | https://doi.org/10.14207/ejsd.2025.v14n3p103</w:t>
      </w:r>
    </w:p>
    <w:p>
      <w:pPr>
        <w:pStyle w:val="Heading2"/>
      </w:pPr>
      <w:r>
        <w:t>40. Climate changes, environment and infection: Facts, scenarios and growing awareness from the public health community with</w:t>
      </w:r>
    </w:p>
    <w:p>
      <w:r>
        <w:rPr>
          <w:b/>
        </w:rPr>
        <w:t xml:space="preserve">WHAT WAS SAID / EXPECTED: </w:t>
      </w:r>
      <w:r>
        <w:t>Climate changes, environment and infection: Facts, scenarios and growing awareness from the public health community within Europe</w:t>
      </w:r>
    </w:p>
    <w:p>
      <w:r>
        <w:rPr>
          <w:b/>
        </w:rPr>
        <w:t xml:space="preserve">LATER STUDIES / WHAT THEY REPORT: </w:t>
      </w:r>
      <w:r>
        <w:t>1 related later studies were identified on this subject. Their available abstracts do not provide directly comparable measured outcomes.</w:t>
      </w:r>
    </w:p>
    <w:p>
      <w:r>
        <w:rPr>
          <w:b/>
        </w:rPr>
        <w:t xml:space="preserve">TENTATIVE ASSESSMENT: </w:t>
      </w:r>
      <w:r>
        <w:t>The subject remains under research; no supported accuracy judgment can be drawn from these papers alone.</w:t>
      </w:r>
    </w:p>
    <w:p>
      <w:r>
        <w:rPr>
          <w:b/>
        </w:rPr>
        <w:t xml:space="preserve">Confidence / limitations: </w:t>
      </w:r>
      <w:r>
        <w:t>Original record is a research lead, not a validated dated forecast. This is a topic-level comparison.</w:t>
      </w:r>
    </w:p>
    <w:p>
      <w:r>
        <w:rPr>
          <w:b/>
        </w:rPr>
        <w:t xml:space="preserve">Topic: </w:t>
      </w:r>
      <w:r>
        <w:t>Climate and energy</w:t>
      </w:r>
    </w:p>
    <w:p>
      <w:r>
        <w:rPr>
          <w:b/>
        </w:rPr>
        <w:t xml:space="preserve">EU institutional attribution: </w:t>
      </w:r>
      <w:r>
        <w:t>EU institutional authorship NOT established (EU-related research is not necessarily EU Commission foresight)</w:t>
      </w:r>
    </w:p>
    <w:p>
      <w:r>
        <w:rPr>
          <w:b/>
        </w:rPr>
        <w:t xml:space="preserve">Original research: </w:t>
      </w:r>
      <w:r>
        <w:t>https://doi.org/10.1016/j.anaerobe.2011.05.016</w:t>
      </w:r>
    </w:p>
    <w:p>
      <w:r>
        <w:rPr>
          <w:b/>
        </w:rPr>
        <w:t xml:space="preserve">Search method and date: </w:t>
      </w:r>
      <w:r>
        <w:t>existing_scanner_catalogue (saved OpenAlex/Crossref records) | 2026-10-20T15:19</w:t>
      </w:r>
    </w:p>
    <w:p>
      <w:r>
        <w:rPr>
          <w:b/>
        </w:rPr>
        <w:t xml:space="preserve">Later study (2022; related_study_or_model): </w:t>
      </w:r>
      <w:r>
        <w:t>3.Q. Workshop: Using foresight to anticipate future public health challenges | https://doi.org/10.1093/eurpub/ckac129.198</w:t>
      </w:r>
    </w:p>
    <w:p>
      <w:pPr>
        <w:pStyle w:val="Heading1"/>
      </w:pPr>
      <w:r>
        <w:t>4 | Forecast passages needing original-source validation</w:t>
      </w:r>
    </w:p>
    <w:p>
      <w:r>
        <w:t>The following are candidates from abstracts only, NOT authenticated predictions. They have no source-reviewed actual-outcome verdict. Source-linked machine research, where available, is recorded as a lead for review only.</w:t>
      </w:r>
    </w:p>
    <w:p>
      <w:pPr>
        <w:pStyle w:val="Heading2"/>
      </w:pPr>
      <w:r>
        <w:t>1. Three Environments, One Problem: Forecasting Water Temperature in Central Europe in Response to Climate Change</w:t>
      </w:r>
    </w:p>
    <w:p>
      <w:r>
        <w:rPr>
          <w:b/>
        </w:rPr>
        <w:t xml:space="preserve">WHAT WAS EXPECTED (unverified abstract excerpt): </w:t>
      </w:r>
      <w:r>
        <w:t>Under the SSP2-4.5 and SSP5-8.5 scenario-based simulations, projected air temperature increases in the period 2021–2100 could range from 1.5 °C to 1.7 °C and 4.7 to 5.1 °C.</w:t>
      </w:r>
    </w:p>
    <w:p>
      <w:r>
        <w:rPr>
          <w:b/>
        </w:rPr>
        <w:t xml:space="preserve">Original research URL: </w:t>
      </w:r>
      <w:r>
        <w:t>https://doi.org/10.3390/forecast7020024</w:t>
      </w:r>
    </w:p>
    <w:p>
      <w:r>
        <w:rPr>
          <w:b/>
        </w:rPr>
        <w:t xml:space="preserve">Possible target year (unconfirmed): </w:t>
      </w:r>
      <w:r>
        <w:t>2021</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2026-10-20T12:23:42.772990+00:00</w:t>
      </w:r>
    </w:p>
    <w:p>
      <w:pPr>
        <w:pStyle w:val="Heading2"/>
      </w:pPr>
      <w:r>
        <w:t>2. Climate, Energy – and Environment? Reconciliation of EU Environmental Law with the Implementation Realities of EU Climate Law</w:t>
      </w:r>
    </w:p>
    <w:p>
      <w:r>
        <w:rPr>
          <w:b/>
        </w:rPr>
        <w:t xml:space="preserve">WHAT WAS EXPECTED (unverified abstract excerpt): </w:t>
      </w:r>
      <w:r>
        <w:t>The European Union’s revised Trans European Network – Energy ( ten-E ) Regulation (June 2022) provides that energy infrastructure in the form of projects of common interest shall be deemed to be in the overriding public interest in the context of the Habitats Directive, an exception to that Directive’s prohibition on development that could negatively impact protected Natura 2000 features.</w:t>
      </w:r>
    </w:p>
    <w:p>
      <w:r>
        <w:rPr>
          <w:b/>
        </w:rPr>
        <w:t xml:space="preserve">Original research URL: </w:t>
      </w:r>
      <w:r>
        <w:t>https://doi.org/10.1163/18786561-12030003</w:t>
      </w:r>
    </w:p>
    <w:p>
      <w:r>
        <w:rPr>
          <w:b/>
        </w:rPr>
        <w:t xml:space="preserve">Possible target year (unconfirmed): </w:t>
      </w:r>
      <w:r>
        <w:t>2022</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2026-10-20T12:48:12.960111+00:00</w:t>
      </w:r>
    </w:p>
    <w:p>
      <w:pPr>
        <w:pStyle w:val="Heading2"/>
      </w:pPr>
      <w:r>
        <w:t>3. Mapping out the scenarios of ocean energy scale-up based on the development of offshore wind</w:t>
      </w:r>
    </w:p>
    <w:p>
      <w:r>
        <w:rPr>
          <w:b/>
        </w:rPr>
        <w:t xml:space="preserve">WHAT WAS EXPECTED (unverified abstract excerpt): </w:t>
      </w:r>
      <w:r>
        <w:t>By 2022, ocean energy, and in particular wave and tidal energy have reached a pre-commercial phase in their development.</w:t>
      </w:r>
    </w:p>
    <w:p>
      <w:r>
        <w:rPr>
          <w:b/>
        </w:rPr>
        <w:t xml:space="preserve">Original research URL: </w:t>
      </w:r>
      <w:r>
        <w:t>https://doi.org/10.12688/openreseurope.15906.1</w:t>
      </w:r>
    </w:p>
    <w:p>
      <w:r>
        <w:rPr>
          <w:b/>
        </w:rPr>
        <w:t xml:space="preserve">Possible target year (unconfirmed): </w:t>
      </w:r>
      <w:r>
        <w:t>2022</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2026-10-20T12:48:02.487316+00:00</w:t>
      </w:r>
    </w:p>
    <w:p>
      <w:pPr>
        <w:pStyle w:val="Heading2"/>
      </w:pPr>
      <w:r>
        <w:t>4. Mapping out the scenarios of ocean energy scale-up based on the development of offshore wind</w:t>
      </w:r>
    </w:p>
    <w:p>
      <w:r>
        <w:rPr>
          <w:b/>
        </w:rPr>
        <w:t xml:space="preserve">WHAT WAS EXPECTED (unverified abstract excerpt): </w:t>
      </w:r>
      <w:r>
        <w:t>By 2022, marine energy, and in particular wave and tidal energy have reached a pre-commercial phase in their development.</w:t>
      </w:r>
    </w:p>
    <w:p>
      <w:r>
        <w:rPr>
          <w:b/>
        </w:rPr>
        <w:t xml:space="preserve">Original research URL: </w:t>
      </w:r>
      <w:r>
        <w:t>https://doi.org/10.12688/openreseurope.15906.2</w:t>
      </w:r>
    </w:p>
    <w:p>
      <w:r>
        <w:rPr>
          <w:b/>
        </w:rPr>
        <w:t xml:space="preserve">Possible target year (unconfirmed): </w:t>
      </w:r>
      <w:r>
        <w:t>2022</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2026-10-20T12:48:06.942217+00:00</w:t>
      </w:r>
    </w:p>
    <w:p>
      <w:pPr>
        <w:pStyle w:val="Heading2"/>
      </w:pPr>
      <w:r>
        <w:t>5. The European Solar Communication—Will It Pave the Road to Achieve 1 TW of Photovoltaic System Capacity in the European Union by 2030?</w:t>
      </w:r>
    </w:p>
    <w:p>
      <w:r>
        <w:rPr>
          <w:b/>
        </w:rPr>
        <w:t xml:space="preserve">WHAT WAS EXPECTED (unverified abstract excerpt): </w:t>
      </w:r>
      <w:r>
        <w:t>According to the market trend between 2017 and 2022, the currently average EU installed capacity of 474.55 Wp/capita will not reach the necessary 2246 Wp/capita or 1 TWp target by 2030.</w:t>
      </w:r>
    </w:p>
    <w:p>
      <w:r>
        <w:rPr>
          <w:b/>
        </w:rPr>
        <w:t xml:space="preserve">Original research URL: </w:t>
      </w:r>
      <w:r>
        <w:t>https://doi.org/10.3390/su15086531</w:t>
      </w:r>
    </w:p>
    <w:p>
      <w:r>
        <w:rPr>
          <w:b/>
        </w:rPr>
        <w:t xml:space="preserve">Possible target year (unconfirmed): </w:t>
      </w:r>
      <w:r>
        <w:t>2022</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2026-10-20T12:48:18.837620+00:00</w:t>
      </w:r>
    </w:p>
    <w:p>
      <w:pPr>
        <w:pStyle w:val="Heading2"/>
      </w:pPr>
      <w:r>
        <w:t>6. 28.G. Workshop: Foresight studies at the global, European and national level: what can we learn from them?</w:t>
      </w:r>
    </w:p>
    <w:p>
      <w:r>
        <w:rPr>
          <w:b/>
        </w:rPr>
        <w:t xml:space="preserve">WHAT WAS EXPECTED (unverified abstract excerpt): </w:t>
      </w:r>
      <w:r>
        <w:t>Next, EURO-HEALTHY project will present the Scenarios for population health inequalities in 2030 in Europe, partly based on a Web-Delphi process with a multidisciplinary panel.</w:t>
      </w:r>
    </w:p>
    <w:p>
      <w:r>
        <w:rPr>
          <w:b/>
        </w:rPr>
        <w:t xml:space="preserve">Original research URL: </w:t>
      </w:r>
      <w:r>
        <w:t>https://doi.org/10.1093/eurpub/ckaa165.1286</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2026-10-20T12:46:49.522059+00:00</w:t>
      </w:r>
    </w:p>
    <w:p>
      <w:pPr>
        <w:pStyle w:val="Heading2"/>
      </w:pPr>
      <w:r>
        <w:t>7. Achieving agricultural greenhouse gas emission reductions in the EU post‐2030: What options do we have?</w:t>
      </w:r>
    </w:p>
    <w:p>
      <w:r>
        <w:rPr>
          <w:b/>
        </w:rPr>
        <w:t xml:space="preserve">WHAT WAS EXPECTED (unverified abstract excerpt): </w:t>
      </w:r>
      <w:r>
        <w:t>Abstract By 2030, the European Union (EU) must have regulatory instruments in place that not only reduce greenhouse gas emissions from agriculture, but that also increase carbon sequestration, increase resilience of agricultural production, improve biodiversity in rural areas and contribute to providing nutritious and healthy food to a growing world population.</w:t>
      </w:r>
    </w:p>
    <w:p>
      <w:r>
        <w:rPr>
          <w:b/>
        </w:rPr>
        <w:t xml:space="preserve">Original research URL: </w:t>
      </w:r>
      <w:r>
        <w:t>https://doi.org/10.1111/reel.12448</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2026-10-20T12:47:44.438062+00:00</w:t>
      </w:r>
    </w:p>
    <w:p>
      <w:pPr>
        <w:pStyle w:val="Heading2"/>
      </w:pPr>
      <w:r>
        <w:t>8. Carbon Neutrality and Resilient Districts, a Common Strategy in European Union Countries in 2050</w:t>
      </w:r>
    </w:p>
    <w:p>
      <w:r>
        <w:rPr>
          <w:b/>
        </w:rPr>
        <w:t xml:space="preserve">WHAT WAS EXPECTED (unverified abstract excerpt): </w:t>
      </w:r>
      <w:r>
        <w:t>Most European Union (EU) member states have pledged to cut their net greenhouse gas emissions by at least 55% by 2030 and reach full carbon neutrality by 2050, using 1990 as the baseline year.</w:t>
      </w:r>
    </w:p>
    <w:p>
      <w:r>
        <w:rPr>
          <w:b/>
        </w:rPr>
        <w:t xml:space="preserve">Original research URL: </w:t>
      </w:r>
      <w:r>
        <w:t>https://doi.org/10.3390/atmos16050508</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2026-10-20T12:47:59.291696+00:00</w:t>
      </w:r>
    </w:p>
    <w:p>
      <w:pPr>
        <w:pStyle w:val="Heading2"/>
      </w:pPr>
      <w:r>
        <w:t>9. ECONOMIC GROWTH PROJECTION FOR EUROPEAN UNION BY 2030</w:t>
      </w:r>
    </w:p>
    <w:p>
      <w:r>
        <w:rPr>
          <w:b/>
        </w:rPr>
        <w:t xml:space="preserve">WHAT WAS EXPECTED (unverified abstract excerpt): </w:t>
      </w:r>
      <w:r>
        <w:t>Feeding the estimated production function for the 2018-2030 forecast has employed projected population by Eurostat, while private capital investment has been generated by an ARIMA model.</w:t>
      </w:r>
    </w:p>
    <w:p>
      <w:r>
        <w:rPr>
          <w:b/>
        </w:rPr>
        <w:t xml:space="preserve">Original research URL: </w:t>
      </w:r>
      <w:r>
        <w:t>https://doi.org/10.5755/j01.eis.0.13.23709</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2026-10-20T12:23:35.822034+00:00</w:t>
      </w:r>
    </w:p>
    <w:p>
      <w:pPr>
        <w:pStyle w:val="Heading2"/>
      </w:pPr>
      <w:r>
        <w:t>10. Fifty shades of binding: Appraising the enforcement toolkit for the EU’s 2030 renewable energy targets</w:t>
      </w:r>
    </w:p>
    <w:p>
      <w:r>
        <w:rPr>
          <w:b/>
        </w:rPr>
        <w:t xml:space="preserve">WHAT WAS EXPECTED (unverified abstract excerpt): </w:t>
      </w:r>
      <w:r>
        <w:t>In December 2018, the European Union (EU) adopted a recast of the Renewable Energy Directive (RED II), which introduces a new target of 32 percent renewable energy to be reached at the EU level by 2030.</w:t>
      </w:r>
    </w:p>
    <w:p>
      <w:r>
        <w:rPr>
          <w:b/>
        </w:rPr>
        <w:t xml:space="preserve">Original research URL: </w:t>
      </w:r>
      <w:r>
        <w:t>https://doi.org/10.1111/reel.12330</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2026-10-20T12:47:43.427675+00:00</w:t>
      </w:r>
    </w:p>
    <w:p>
      <w:pPr>
        <w:pStyle w:val="Heading2"/>
      </w:pPr>
      <w:r>
        <w:t>11. Foresighting Scenarios for Green Hydrogen in Portugal: Systematization of Potential Futures and Identification of Bottlenecks and Const</w:t>
      </w:r>
    </w:p>
    <w:p>
      <w:r>
        <w:rPr>
          <w:b/>
        </w:rPr>
        <w:t xml:space="preserve">WHAT WAS EXPECTED (unverified abstract excerpt): </w:t>
      </w:r>
      <w:r>
        <w:t>This study intends to provide stakeholders a deep understanding of the factors influencing green hydrogen's role in Portugal's push towards a sustainable energy landscape by 2030.</w:t>
      </w:r>
    </w:p>
    <w:p>
      <w:r>
        <w:rPr>
          <w:b/>
        </w:rPr>
        <w:t xml:space="preserve">Original research URL: </w:t>
      </w:r>
      <w:r>
        <w:t>https://doi.org/10.1002/ffo2.70022</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2026-10-20T12:23:48.266710+00:00</w:t>
      </w:r>
    </w:p>
    <w:p>
      <w:pPr>
        <w:pStyle w:val="Heading2"/>
      </w:pPr>
      <w:r>
        <w:t>12. Improved local weather forecasting using machine learning</w:t>
      </w:r>
    </w:p>
    <w:p>
      <w:r>
        <w:rPr>
          <w:b/>
        </w:rPr>
        <w:t xml:space="preserve">WHAT WAS EXPECTED (unverified abstract excerpt): </w:t>
      </w:r>
      <w:r>
        <w:t>Despite its primary reliance on mainland energy supplies, the German North Sea Island Borkum, integrates local renewable energy sources and storage solutions, aiming to phase out fossil fuel sources by 2030.</w:t>
      </w:r>
    </w:p>
    <w:p>
      <w:r>
        <w:rPr>
          <w:b/>
        </w:rPr>
        <w:t xml:space="preserve">Original research URL: </w:t>
      </w:r>
      <w:r>
        <w:t>https://doi.org/10.12688/openreseurope.20255.1</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2026-10-20T12:48:18.084269+00:00</w:t>
      </w:r>
    </w:p>
    <w:p>
      <w:pPr>
        <w:pStyle w:val="Heading2"/>
      </w:pPr>
      <w:r>
        <w:t>13. International migration by 2030: impact of immigration policies scenarios on growth and employment</w:t>
      </w:r>
    </w:p>
    <w:p>
      <w:r>
        <w:rPr>
          <w:b/>
        </w:rPr>
        <w:t xml:space="preserve">WHAT WAS EXPECTED (unverified abstract excerpt): </w:t>
      </w:r>
      <w:r>
        <w:t>Purpose – The aim of this paper is to estimate the dynamic of international migration between the different regions of the world for 2030 and to measure the impact of different kind of migration policies on the economic and social evolution.</w:t>
      </w:r>
    </w:p>
    <w:p>
      <w:r>
        <w:rPr>
          <w:b/>
        </w:rPr>
        <w:t xml:space="preserve">Original research URL: </w:t>
      </w:r>
      <w:r>
        <w:t>https://doi.org/10.1108/fs-06-2012-0045</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2026-10-20T12:47:40.484264+00:00</w:t>
      </w:r>
    </w:p>
    <w:p>
      <w:pPr>
        <w:pStyle w:val="Heading2"/>
      </w:pPr>
      <w:r>
        <w:t>14. Investigating European Union Decarbonization Strategies: Evaluating the Pathway to Carbon Neutrality by 2050</w:t>
      </w:r>
    </w:p>
    <w:p>
      <w:r>
        <w:rPr>
          <w:b/>
        </w:rPr>
        <w:t xml:space="preserve">WHAT WAS EXPECTED (unverified abstract excerpt): </w:t>
      </w:r>
      <w:r>
        <w:t>Despite the rich and extensive documentation provided by European Member States and the European Commission in describing National Energy and Climates Plans and Long-Term Strategy plans, it is still very difficult to evaluate where and how the European Union as a whole has positioned itself on the path to achieving the Green Deal objectives, named the Fit 55% package in 2030 and the achievement of carbon neutrality by 2050.</w:t>
      </w:r>
    </w:p>
    <w:p>
      <w:r>
        <w:rPr>
          <w:b/>
        </w:rPr>
        <w:t xml:space="preserve">Original research URL: </w:t>
      </w:r>
      <w:r>
        <w:t>https://doi.org/10.3390/su14084728</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2026-10-20T12:23:54.079298+00:00</w:t>
      </w:r>
    </w:p>
    <w:p>
      <w:pPr>
        <w:pStyle w:val="Heading2"/>
      </w:pPr>
      <w:r>
        <w:t>15. Poverty and social exclusion in the EU: third-order priorities, hybrid governance and the future potential of the field</w:t>
      </w:r>
    </w:p>
    <w:p>
      <w:r>
        <w:rPr>
          <w:b/>
        </w:rPr>
        <w:t xml:space="preserve">WHAT WAS EXPECTED (unverified abstract excerpt): </w:t>
      </w:r>
      <w:r>
        <w:t>EU leaders have agreed to reduce the number of people who are at risk of poverty or social exclusion by 15 million (including at least five million children) by 2030.</w:t>
      </w:r>
    </w:p>
    <w:p>
      <w:r>
        <w:rPr>
          <w:b/>
        </w:rPr>
        <w:t xml:space="preserve">Original research URL: </w:t>
      </w:r>
      <w:r>
        <w:t>https://doi.org/10.1177/10242589231171091</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2026-10-20T12:48:12.597246+00:00</w:t>
      </w:r>
    </w:p>
    <w:p>
      <w:pPr>
        <w:pStyle w:val="Heading2"/>
      </w:pPr>
      <w:r>
        <w:t xml:space="preserve">16. Renewable jet fuel supply scenarios in the European Union in 2021–2030 in the context of proposed biofuel policy and competing biomass </w:t>
      </w:r>
    </w:p>
    <w:p>
      <w:r>
        <w:rPr>
          <w:b/>
        </w:rPr>
        <w:t xml:space="preserve">WHAT WAS EXPECTED (unverified abstract excerpt): </w:t>
      </w:r>
      <w:r>
        <w:t>RJF reduces aviation‐related combustion emission by 12–19 Mt/year CO 2 ‐eq by 2030, offsetting 53%–84% of projected emission growth of the sector in the EU relative to 2020.</w:t>
      </w:r>
    </w:p>
    <w:p>
      <w:r>
        <w:rPr>
          <w:b/>
        </w:rPr>
        <w:t xml:space="preserve">Original research URL: </w:t>
      </w:r>
      <w:r>
        <w:t>https://doi.org/10.1111/gcbb.12525</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2026-10-20T12:47:58.565851+00:00</w:t>
      </w:r>
    </w:p>
    <w:p>
      <w:pPr>
        <w:pStyle w:val="Heading2"/>
      </w:pPr>
      <w:r>
        <w:t>17. The Extraterritorial Effects of EU Energy and Climate Law</w:t>
      </w:r>
    </w:p>
    <w:p>
      <w:r>
        <w:rPr>
          <w:b/>
        </w:rPr>
        <w:t xml:space="preserve">WHAT WAS EXPECTED (unverified abstract excerpt): </w:t>
      </w:r>
      <w:r>
        <w:t>The EU has adopted a comprehensive set of laws aiming to reduce EU greenhouse gas emissions by at least 55% by 2030 and achieve climate neutrality by 2050.</w:t>
      </w:r>
    </w:p>
    <w:p>
      <w:r>
        <w:rPr>
          <w:b/>
        </w:rPr>
        <w:t xml:space="preserve">Original research URL: </w:t>
      </w:r>
      <w:r>
        <w:t>https://doi.org/10.3366/gels.2026.0150</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2026-10-20T12:48:04.117401+00:00</w:t>
      </w:r>
    </w:p>
    <w:p>
      <w:pPr>
        <w:pStyle w:val="Heading2"/>
      </w:pPr>
      <w:r>
        <w:t>18. The evolution of agricultural energy transition in Eastern European Union countries between 1993 and 2022</w:t>
      </w:r>
    </w:p>
    <w:p>
      <w:r>
        <w:rPr>
          <w:b/>
        </w:rPr>
        <w:t xml:space="preserve">WHAT WAS EXPECTED (unverified abstract excerpt): </w:t>
      </w:r>
      <w:r>
        <w:t>In response, the EU has set itself the target of reducing greenhouse gas emissions by 55% by 2030 and becoming completely carbon neutral by 2050.</w:t>
      </w:r>
    </w:p>
    <w:p>
      <w:r>
        <w:rPr>
          <w:b/>
        </w:rPr>
        <w:t xml:space="preserve">Original research URL: </w:t>
      </w:r>
      <w:r>
        <w:t>https://doi.org/10.34659/eis.2025.94.3.1046</w:t>
      </w:r>
    </w:p>
    <w:p>
      <w:r>
        <w:rPr>
          <w:b/>
        </w:rPr>
        <w:t xml:space="preserve">Possible target year (unconfirmed): </w:t>
      </w:r>
      <w:r>
        <w:t>2030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2026-10-20T12:23:38.601963+00:00</w:t>
      </w:r>
    </w:p>
    <w:p>
      <w:pPr>
        <w:pStyle w:val="Heading2"/>
      </w:pPr>
      <w:r>
        <w:t>19. Forecasting Renewable Scenarios and Uncertainty Analysis in Microgrids for Self-Sufficiency and Reliability: Estimation of Extreme Scen</w:t>
      </w:r>
    </w:p>
    <w:p>
      <w:r>
        <w:rPr>
          <w:b/>
        </w:rPr>
        <w:t xml:space="preserve">WHAT WAS EXPECTED (unverified abstract excerpt): </w:t>
      </w:r>
      <w:r>
        <w:t>By 2040, the island’s energy demand is projected to reach 80–110 GWh annually, assuming full economic decarbonization.</w:t>
      </w:r>
    </w:p>
    <w:p>
      <w:r>
        <w:rPr>
          <w:b/>
        </w:rPr>
        <w:t xml:space="preserve">Original research URL: </w:t>
      </w:r>
      <w:r>
        <w:t>https://doi.org/10.3390/app152111815</w:t>
      </w:r>
    </w:p>
    <w:p>
      <w:r>
        <w:rPr>
          <w:b/>
        </w:rPr>
        <w:t xml:space="preserve">Possible target year (unconfirmed): </w:t>
      </w:r>
      <w:r>
        <w:t>2040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2026-10-20T12:48:15.492258+00:00</w:t>
      </w:r>
    </w:p>
    <w:p>
      <w:pPr>
        <w:pStyle w:val="Heading2"/>
      </w:pPr>
      <w:r>
        <w:t>20. Hydrological drought projections across Europe under climate change</w:t>
      </w:r>
    </w:p>
    <w:p>
      <w:r>
        <w:rPr>
          <w:b/>
        </w:rPr>
        <w:t xml:space="preserve">WHAT WAS EXPECTED (unverified abstract excerpt): </w:t>
      </w:r>
      <w:r>
        <w:t>SRI was calculated at 1- and 3-month timescales for the historical period (1990–2014) and near-future period (2015–2049) based on downscaled climate data from Coupled Model Intercomparison Project Phase 6 (CMIP6) under two emission scenarios: SSP1-2.6 and SSP5-8.5, where SSP stands for shared socioeconomic pathways.</w:t>
      </w:r>
    </w:p>
    <w:p>
      <w:r>
        <w:rPr>
          <w:b/>
        </w:rPr>
        <w:t xml:space="preserve">Original research URL: </w:t>
      </w:r>
      <w:r>
        <w:t>https://doi.org/10.1038/s44304-025-00152-w</w:t>
      </w:r>
    </w:p>
    <w:p>
      <w:r>
        <w:rPr>
          <w:b/>
        </w:rPr>
        <w:t xml:space="preserve">Possible target year (unconfirmed): </w:t>
      </w:r>
      <w:r>
        <w:t>2049</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2026-10-20T12:23:24.271102+00:00</w:t>
      </w:r>
    </w:p>
    <w:p>
      <w:pPr>
        <w:pStyle w:val="Heading2"/>
      </w:pPr>
      <w:r>
        <w:t>21. European Water Footprint Scenarios for 2050</w:t>
      </w:r>
    </w:p>
    <w:p>
      <w:r>
        <w:rPr>
          <w:b/>
        </w:rPr>
        <w:t xml:space="preserve">WHAT WAS EXPECTED (unverified abstract excerpt): </w:t>
      </w:r>
      <w:r>
        <w:t>This study develops water footprint scenarios for Europe for 2050, at the country level, based on projections regarding population and economic growth, production and trade patterns, consumption patterns (diets and bioenergy use) and technological development.</w:t>
      </w:r>
    </w:p>
    <w:p>
      <w:r>
        <w:rPr>
          <w:b/>
        </w:rPr>
        <w:t xml:space="preserve">Original research URL: </w:t>
      </w:r>
      <w:r>
        <w:t>https://doi.org/10.3390/w8060226</w:t>
      </w:r>
    </w:p>
    <w:p>
      <w:r>
        <w:rPr>
          <w:b/>
        </w:rPr>
        <w:t xml:space="preserve">Possible target year (unconfirmed): </w:t>
      </w:r>
      <w:r>
        <w:t>2050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2026-10-20T12:48:11.326632+00:00</w:t>
      </w:r>
    </w:p>
    <w:p>
      <w:pPr>
        <w:pStyle w:val="Heading2"/>
      </w:pPr>
      <w:r>
        <w:t>22. Evaluating the European Union’s Green Deal Role in Climate Change Mitigation and Sustainability Transitions (2030-2050)</w:t>
      </w:r>
    </w:p>
    <w:p>
      <w:r>
        <w:rPr>
          <w:b/>
        </w:rPr>
        <w:t xml:space="preserve">WHAT WAS EXPECTED (unverified abstract excerpt): </w:t>
      </w:r>
      <w:r>
        <w:t>In parallel, observation techniques were employed in both formal and informal settings such as public climate forums, municipal planning meetings, and grassroots environmental campaigns to document behaviours, interactions, and decision-making processes related to climate change mitigation and adaptation The study identifies that, in order to achieve the ambitious climate goals of the European Green Deal by 2050, the EU must strengthen its efforts in several key areas like: accelerating renewable energy deployment, improving energy efficiency, promoting sustainable agriculture, and enhancing climate adaptation measures are critical.</w:t>
      </w:r>
    </w:p>
    <w:p>
      <w:r>
        <w:rPr>
          <w:b/>
        </w:rPr>
        <w:t xml:space="preserve">Original research URL: </w:t>
      </w:r>
      <w:r>
        <w:t>https://doi.org/10.47772/ijriss.2025.90500026</w:t>
      </w:r>
    </w:p>
    <w:p>
      <w:r>
        <w:rPr>
          <w:b/>
        </w:rPr>
        <w:t xml:space="preserve">Possible target year (unconfirmed): </w:t>
      </w:r>
      <w:r>
        <w:t>2050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2026-10-20T12:46:56.504220+00:00</w:t>
      </w:r>
    </w:p>
    <w:p>
      <w:pPr>
        <w:pStyle w:val="Heading2"/>
      </w:pPr>
      <w:r>
        <w:t>23. Future Projections of Heat Mortality Risk for Major European Cities</w:t>
      </w:r>
    </w:p>
    <w:p>
      <w:r>
        <w:rPr>
          <w:b/>
        </w:rPr>
        <w:t xml:space="preserve">WHAT WAS EXPECTED (unverified abstract excerpt): </w:t>
      </w:r>
      <w:r>
        <w:t>Our results illustrate that heat mortality increases by about 0.9%/decade in Germany, 1.7%/decade in France and 7.9%/decade in Spain for RCP8.5 by 2050.</w:t>
      </w:r>
    </w:p>
    <w:p>
      <w:r>
        <w:rPr>
          <w:b/>
        </w:rPr>
        <w:t xml:space="preserve">Original research URL: </w:t>
      </w:r>
      <w:r>
        <w:t>https://doi.org/10.1175/wcas-d-20-0142.1</w:t>
      </w:r>
    </w:p>
    <w:p>
      <w:r>
        <w:rPr>
          <w:b/>
        </w:rPr>
        <w:t xml:space="preserve">Possible target year (unconfirmed): </w:t>
      </w:r>
      <w:r>
        <w:t>2050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2026-10-20T12:23:48.039696+00:00</w:t>
      </w:r>
    </w:p>
    <w:p>
      <w:pPr>
        <w:pStyle w:val="Heading2"/>
      </w:pPr>
      <w:r>
        <w:t>24. Modeling the Green Transition in the European Union: An Organic Market-Oriented Perspective</w:t>
      </w:r>
    </w:p>
    <w:p>
      <w:r>
        <w:rPr>
          <w:b/>
        </w:rPr>
        <w:t xml:space="preserve">WHAT WAS EXPECTED (unverified abstract excerpt): </w:t>
      </w:r>
      <w:r>
        <w:t>In the context created by the short-term energy market disruptions generated by the war in Ukraine and the longer-term concern for achieving a climate-neutral continent by 2050, the European Commission issued, in May 2022, the REPowerEU plan aiming to reduce significantly the dependence on fossil-based energy sources by 2027.</w:t>
      </w:r>
    </w:p>
    <w:p>
      <w:r>
        <w:rPr>
          <w:b/>
        </w:rPr>
        <w:t xml:space="preserve">Original research URL: </w:t>
      </w:r>
      <w:r>
        <w:t>https://doi.org/10.14207/ejsd.2025.v14n3p103</w:t>
      </w:r>
    </w:p>
    <w:p>
      <w:r>
        <w:rPr>
          <w:b/>
        </w:rPr>
        <w:t xml:space="preserve">Possible target year (unconfirmed): </w:t>
      </w:r>
      <w:r>
        <w:t>2050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2026-10-20T12:47:46.914028+00:00</w:t>
      </w:r>
    </w:p>
    <w:p>
      <w:pPr>
        <w:pStyle w:val="Heading2"/>
      </w:pPr>
      <w:r>
        <w:t>25. Modelling Bioeconomy Scenario Pathways for the Forest Products Markets with Emerging Lignocellulosic Products</w:t>
      </w:r>
    </w:p>
    <w:p>
      <w:r>
        <w:rPr>
          <w:b/>
        </w:rPr>
        <w:t xml:space="preserve">WHAT WAS EXPECTED (unverified abstract excerpt): </w:t>
      </w:r>
      <w:r>
        <w:t>Simultaneously, wood-based panels are finding increasing application (+196% by 2050) and thus are taking over potential markets for sawn wood, for which production growth remains limited.</w:t>
      </w:r>
    </w:p>
    <w:p>
      <w:r>
        <w:rPr>
          <w:b/>
        </w:rPr>
        <w:t xml:space="preserve">Original research URL: </w:t>
      </w:r>
      <w:r>
        <w:t>https://doi.org/10.3390/su122410540</w:t>
      </w:r>
    </w:p>
    <w:p>
      <w:r>
        <w:rPr>
          <w:b/>
        </w:rPr>
        <w:t xml:space="preserve">Possible target year (unconfirmed): </w:t>
      </w:r>
      <w:r>
        <w:t>2050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failed automated attempt: </w:t>
      </w:r>
      <w:r>
        <w:t>2026-10-20T12:48:15.895468+00:00</w:t>
      </w:r>
    </w:p>
    <w:p>
      <w:pPr>
        <w:pStyle w:val="Heading2"/>
      </w:pPr>
      <w:r>
        <w:t>26. Pathways to Decarbonise the European Car Fleet: A Scenario Analysis Using the Backcasting Approach</w:t>
      </w:r>
    </w:p>
    <w:p>
      <w:r>
        <w:rPr>
          <w:b/>
        </w:rPr>
        <w:t xml:space="preserve">WHAT WAS EXPECTED (unverified abstract excerpt): </w:t>
      </w:r>
      <w:r>
        <w:t>The analysis showed that if car mobility and ownership continue to increase as expected in a ‘business as usual’ case, a share of 97% plug-in hybrid or battery electric vehicles might be required by 2050, together with a substantial decrease in greenhouse gas emission from electricity production.</w:t>
      </w:r>
    </w:p>
    <w:p>
      <w:r>
        <w:rPr>
          <w:b/>
        </w:rPr>
        <w:t xml:space="preserve">Original research URL: </w:t>
      </w:r>
      <w:r>
        <w:t>https://doi.org/10.3390/en11010020</w:t>
      </w:r>
    </w:p>
    <w:p>
      <w:r>
        <w:rPr>
          <w:b/>
        </w:rPr>
        <w:t xml:space="preserve">Possible target year (unconfirmed): </w:t>
      </w:r>
      <w:r>
        <w:t>2050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2026-10-20T12:23:20.439756+00:00</w:t>
      </w:r>
    </w:p>
    <w:p>
      <w:pPr>
        <w:pStyle w:val="Heading2"/>
      </w:pPr>
      <w:r>
        <w:t>27. Policy Modelling for Ambitious Energy Efficiency Investment in the EU Residential Buildings</w:t>
      </w:r>
    </w:p>
    <w:p>
      <w:r>
        <w:rPr>
          <w:b/>
        </w:rPr>
        <w:t xml:space="preserve">WHAT WAS EXPECTED (unverified abstract excerpt): </w:t>
      </w:r>
      <w:r>
        <w:t>This paper presents the challenges of increasing the energy efficiency investments in European Union (EU) residential buildings in the context of achieving climate neutrality by 2050.</w:t>
      </w:r>
    </w:p>
    <w:p>
      <w:r>
        <w:rPr>
          <w:b/>
        </w:rPr>
        <w:t xml:space="preserve">Original research URL: </w:t>
      </w:r>
      <w:r>
        <w:t>https://doi.org/10.3390/en15062233</w:t>
      </w:r>
    </w:p>
    <w:p>
      <w:r>
        <w:rPr>
          <w:b/>
        </w:rPr>
        <w:t xml:space="preserve">Possible target year (unconfirmed): </w:t>
      </w:r>
      <w:r>
        <w:t>2050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2026-10-20T12:23:37.894843+00:00</w:t>
      </w:r>
    </w:p>
    <w:p>
      <w:pPr>
        <w:pStyle w:val="Heading2"/>
      </w:pPr>
      <w:r>
        <w:t>28. Toward sustainability of territorial agro-food systems in Europe: indicators for assessing alternative scenarios</w:t>
      </w:r>
    </w:p>
    <w:p>
      <w:r>
        <w:rPr>
          <w:b/>
        </w:rPr>
        <w:t xml:space="preserve">WHAT WAS EXPECTED (unverified abstract excerpt): </w:t>
      </w:r>
      <w:r>
        <w:t>Both scenarios consider the projected European population at 2050, a dietary change toward less animal protein (30% and 20%, instead of 57% for the reference situation, Ref 2015–2019) and are based on the widespread use of organic crop rotations and the banning of synthetic fertilizers and feed imports.</w:t>
      </w:r>
    </w:p>
    <w:p>
      <w:r>
        <w:rPr>
          <w:b/>
        </w:rPr>
        <w:t xml:space="preserve">Original research URL: </w:t>
      </w:r>
      <w:r>
        <w:t>https://doi.org/10.1088/1748-9326/adf97e</w:t>
      </w:r>
    </w:p>
    <w:p>
      <w:r>
        <w:rPr>
          <w:b/>
        </w:rPr>
        <w:t xml:space="preserve">Possible target year (unconfirmed): </w:t>
      </w:r>
      <w:r>
        <w:t>2050</w:t>
      </w:r>
    </w:p>
    <w:p>
      <w:r>
        <w:rPr>
          <w:b/>
        </w:rPr>
        <w:t xml:space="preserve">WHAT ACTUALLY HAPPENED: </w:t>
      </w:r>
      <w:r>
        <w:t>Not established by independent, source-reviewed comparable evidence.</w:t>
      </w:r>
    </w:p>
    <w:p>
      <w:r>
        <w:rPr>
          <w:b/>
        </w:rPr>
        <w:t xml:space="preserve">Verification status: </w:t>
      </w:r>
      <w:r>
        <w:t>Needs original passage, published date, metric/geography/target and later official observations</w:t>
      </w:r>
    </w:p>
    <w:p>
      <w:r>
        <w:rPr>
          <w:b/>
        </w:rPr>
        <w:t xml:space="preserve">Last automated evidence-search attempt: </w:t>
      </w:r>
      <w:r>
        <w:t>2026-10-20T12:23:31.832345+00:00</w:t>
      </w:r>
    </w:p>
    <w:p>
      <w:pPr>
        <w:pStyle w:val="Heading1"/>
      </w:pPr>
      <w:r>
        <w:t>5 | Coverage and method</w:t>
      </w:r>
    </w:p>
    <w:p>
      <w:r>
        <w:t>487 additional catalogued leads are not listed as forecasts because their metadata did not contain an extractable time-bounded prediction. All 515 source records are in research-leads.json and retrospective-results.json; the 28 candidates and next actions are in outcome-review-queue.json. Only validated comparisons entered in verified-outcomes.json count toward reviewed verdicts.</w:t>
      </w:r>
    </w:p>
    <w:p>
      <w:r>
        <w:t>Automated web research can find useful links but cannot certify the content of a source or the comparability of statistics. A human reviewer must validate original wording, dates, metrics, independent outcome documents and limitations before an outcome is labeled verified.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