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claim-to-publication leads. These are NOT verified outcomes or final findings. Some may be irrelevant. Check original sources, scope and later evidence before interpretation.</w:t>
      </w:r>
    </w:p>
    <w:p/>
    <w:p>
      <w:pPr>
        <w:pStyle w:val="Heading2"/>
      </w:pPr>
      <w:r>
        <w:t>1. Claim + two later sources: Retirement timing in a future welfare state: a Finnish Delphi study</w:t>
      </w:r>
    </w:p>
    <w:p>
      <w:pPr>
        <w:pStyle w:val="SourceNote"/>
      </w:pPr>
      <w:r>
        <w:rPr>
          <w:b/>
        </w:rPr>
        <w:t>Group ID:</w:t>
      </w:r>
      <w:r>
        <w:t xml:space="preserve"> group-79aec264a8d4ad79bda1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Urban cooperation for sustainable development in Europe: a co-designed methodology to foster multi-level governance — https://doi.org/10.1108/ijpsm-12-2025-0662</w:t>
      </w:r>
    </w:p>
    <w:p>
      <w:pPr/>
      <w:r>
        <w:rPr>
          <w:b/>
        </w:rPr>
        <w:t>Later source:</w:t>
      </w:r>
      <w:r>
        <w:t xml:space="preserve"> Methodologies for the design of positive energy districts: A scoping literature review and a proposal for a new approach (PlanPED) — https://doi.org/10.1016/j.buildenv.2024.111667</w:t>
      </w:r>
    </w:p>
    <w:p>
      <w:pPr>
        <w:pStyle w:val="SourceNote"/>
      </w:pPr>
      <w:r>
        <w:rPr>
          <w:b/>
        </w:rPr>
        <w:t>Review status:</w:t>
      </w:r>
      <w:r>
        <w:t xml:space="preserve"> unchecked — group association only; no outcome judgment</w:t>
      </w:r>
    </w:p>
    <w:p>
      <w:pPr>
        <w:pStyle w:val="Heading2"/>
      </w:pPr>
      <w:r>
        <w:t>2. Claim + two later sources: Population Projection Revisions and Their Impact on Economic Growth – The Case of Malta</w:t>
      </w:r>
    </w:p>
    <w:p>
      <w:pPr>
        <w:pStyle w:val="SourceNote"/>
      </w:pPr>
      <w:r>
        <w:rPr>
          <w:b/>
        </w:rPr>
        <w:t>Group ID:</w:t>
      </w:r>
      <w:r>
        <w:t xml:space="preserve"> group-00bdbb0525623c3e5583</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Current and projected regional economic impacts of heatwaves in Europe — https://doi.org/10.1038/s41467-021-26050-z</w:t>
      </w:r>
    </w:p>
    <w:p>
      <w:pPr/>
      <w:r>
        <w:rPr>
          <w:b/>
        </w:rPr>
        <w:t>Later source:</w:t>
      </w:r>
      <w:r>
        <w:t xml:space="preserve"> Economic Burden of Physical Inactivity in Europe — https://doi.org/10.71125/sporteconres.25</w:t>
      </w:r>
    </w:p>
    <w:p>
      <w:pPr>
        <w:pStyle w:val="SourceNote"/>
      </w:pPr>
      <w:r>
        <w:rPr>
          <w:b/>
        </w:rPr>
        <w:t>Review status:</w:t>
      </w:r>
      <w:r>
        <w:t xml:space="preserve"> unchecked — group association only; no outcome judgment</w:t>
      </w:r>
    </w:p>
    <w:p>
      <w:pPr>
        <w:pStyle w:val="Heading2"/>
      </w:pPr>
      <w:r>
        <w:t>3. Claim + two later sources: Pathways to Decarbonise the European Car Fleet: A Scenario Analysis Using the Backcasting Approach</w:t>
      </w:r>
    </w:p>
    <w:p>
      <w:pPr>
        <w:pStyle w:val="SourceNote"/>
      </w:pPr>
      <w:r>
        <w:rPr>
          <w:b/>
        </w:rPr>
        <w:t>Group ID:</w:t>
      </w:r>
      <w:r>
        <w:t xml:space="preserve"> group-e72d66e78b72ef6b75d7</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EU Railways: Contribution to Decarbonisation Solution — https://doi.org/10.31857/s0201708324020062</w:t>
      </w:r>
    </w:p>
    <w:p>
      <w:pPr/>
      <w:r>
        <w:rPr>
          <w:b/>
        </w:rPr>
        <w:t>Later source:</w:t>
      </w:r>
      <w:r>
        <w:t xml:space="preserve"> “The impact of energy efficiency and decarbonisation policies on the European road transport sector” — https://doi.org/10.1016/j.tra.2023.103623</w:t>
      </w:r>
    </w:p>
    <w:p>
      <w:pPr>
        <w:pStyle w:val="SourceNote"/>
      </w:pPr>
      <w:r>
        <w:rPr>
          <w:b/>
        </w:rPr>
        <w:t>Review status:</w:t>
      </w:r>
      <w:r>
        <w:t xml:space="preserve"> unchecked — group association only; no outcome judgment</w:t>
      </w:r>
    </w:p>
    <w:p>
      <w:pPr>
        <w:pStyle w:val="Heading2"/>
      </w:pPr>
      <w:r>
        <w:t>4.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group association only; no outcome judgment</w:t>
      </w:r>
    </w:p>
    <w:p>
      <w:pPr>
        <w:pStyle w:val="Heading2"/>
      </w:pPr>
      <w:r>
        <w:t>5. Claim + two later sources: Record dry summer in 2015 challenges precipitation projections in Central Europe</w:t>
      </w:r>
    </w:p>
    <w:p>
      <w:pPr>
        <w:pStyle w:val="SourceNote"/>
      </w:pPr>
      <w:r>
        <w:rPr>
          <w:b/>
        </w:rPr>
        <w:t>Group ID:</w:t>
      </w:r>
      <w:r>
        <w:t xml:space="preserve"> group-95a5afad95a686a30531</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Projections of streamflow intermittence under climate change in European drying river networks — https://doi.org/10.5194/hess-29-1615-2025</w:t>
      </w:r>
    </w:p>
    <w:p>
      <w:pPr/>
      <w:r>
        <w:rPr>
          <w:b/>
        </w:rPr>
        <w:t>Later source:</w:t>
      </w:r>
      <w:r>
        <w:t xml:space="preserve"> Changes in universal thermal climate index from regional climate model projections over European beaches — https://doi.org/10.1016/j.cliser.2024.100447</w:t>
      </w:r>
    </w:p>
    <w:p>
      <w:pPr>
        <w:pStyle w:val="SourceNote"/>
      </w:pPr>
      <w:r>
        <w:rPr>
          <w:b/>
        </w:rPr>
        <w:t>Review status:</w:t>
      </w:r>
      <w:r>
        <w:t xml:space="preserve"> unchecked — group association only; no outcome judgment</w:t>
      </w:r>
    </w:p>
    <w:p>
      <w:pPr>
        <w:pStyle w:val="Heading2"/>
      </w:pPr>
      <w:r>
        <w:t>6. Claim + two later sources: Policy-based Population Projections for the European Union: A Complementary Approach</w:t>
      </w:r>
    </w:p>
    <w:p>
      <w:pPr>
        <w:pStyle w:val="SourceNote"/>
      </w:pPr>
      <w:r>
        <w:rPr>
          <w:b/>
        </w:rPr>
        <w:t>Group ID:</w:t>
      </w:r>
      <w:r>
        <w:t xml:space="preserve"> group-b1d659edae3729afb891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Population exposure to multiple air pollutants and its compound episodes in Europe — https://doi.org/10.1038/s41467-024-46103-3</w:t>
      </w:r>
    </w:p>
    <w:p>
      <w:pPr/>
      <w:r>
        <w:rPr>
          <w:b/>
        </w:rPr>
        <w:t>Later source:</w:t>
      </w:r>
      <w:r>
        <w:t xml:space="preserve"> Population Genetics and Invasion History of the European Starling Across Aotearoa New Zealand — https://doi.org/10.1111/mec.17579</w:t>
      </w:r>
    </w:p>
    <w:p>
      <w:pPr>
        <w:pStyle w:val="SourceNote"/>
      </w:pPr>
      <w:r>
        <w:rPr>
          <w:b/>
        </w:rPr>
        <w:t>Review status:</w:t>
      </w:r>
      <w:r>
        <w:t xml:space="preserve"> unchecked — group association only; no outcome judgment</w:t>
      </w:r>
    </w:p>
    <w:p>
      <w:pPr>
        <w:pStyle w:val="Heading2"/>
      </w:pPr>
      <w:r>
        <w:t>7. Claim + two later sources: Life cycle assessment integration into energy system models: An application for Power-to-Methane in the EU</w:t>
      </w:r>
    </w:p>
    <w:p>
      <w:pPr>
        <w:pStyle w:val="SourceNote"/>
      </w:pPr>
      <w:r>
        <w:rPr>
          <w:b/>
        </w:rPr>
        <w:t>Group ID:</w:t>
      </w:r>
      <w:r>
        <w:t xml:space="preserve"> group-7950399ceee1d2c18f86</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Background report of ex-ante LCAs for CBE JU application IRIS — https://openalex.org/W7112006283</w:t>
      </w:r>
    </w:p>
    <w:p>
      <w:pPr/>
      <w:r>
        <w:rPr>
          <w:b/>
        </w:rPr>
        <w:t>Later source:</w:t>
      </w:r>
      <w:r>
        <w:t xml:space="preserve"> Prospective Environmental Assessment of Citric Acid Production: An Integrated Framework of Ex-Ante LCA and Technological Learning — https://doi.org/10.3390/su18062848</w:t>
      </w:r>
    </w:p>
    <w:p>
      <w:pPr>
        <w:pStyle w:val="SourceNote"/>
      </w:pPr>
      <w:r>
        <w:rPr>
          <w:b/>
        </w:rPr>
        <w:t>Review status:</w:t>
      </w:r>
      <w:r>
        <w:t xml:space="preserve"> unchecked — group association only; no outcome judgment</w:t>
      </w:r>
    </w:p>
    <w:p>
      <w:pPr>
        <w:pStyle w:val="Heading2"/>
      </w:pPr>
      <w:r>
        <w:t>8. Claim + two later sources: A vibrant European labor market with full employment</w:t>
      </w:r>
    </w:p>
    <w:p>
      <w:pPr>
        <w:pStyle w:val="SourceNote"/>
      </w:pPr>
      <w:r>
        <w:rPr>
          <w:b/>
        </w:rPr>
        <w:t>Group ID:</w:t>
      </w:r>
      <w:r>
        <w:t xml:space="preserve"> group-8009a25556f948a63788</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Format of emergency department electronic health records in Europe. The European initiative and the eCREAM proposal — https://doi.org/10.3389/femer.2025.1558208</w:t>
      </w:r>
    </w:p>
    <w:p>
      <w:pPr/>
      <w:r>
        <w:rPr>
          <w:b/>
        </w:rPr>
        <w:t>Later source:</w:t>
      </w:r>
      <w:r>
        <w:t xml:space="preserve"> A Monetary Hope for Europe — https://openalex.org/W7137600050</w:t>
      </w:r>
    </w:p>
    <w:p>
      <w:pPr>
        <w:pStyle w:val="SourceNote"/>
      </w:pPr>
      <w:r>
        <w:rPr>
          <w:b/>
        </w:rPr>
        <w:t>Review status:</w:t>
      </w:r>
      <w:r>
        <w:t xml:space="preserve"> unchecked — group association only; no outcome judgment</w:t>
      </w:r>
    </w:p>
    <w:p>
      <w:pPr>
        <w:pStyle w:val="Heading2"/>
      </w:pPr>
      <w:r>
        <w:t>9.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group-5d19683ac9ca8ee44978</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Collaborative effort between fishers and scientists reveals first-time evidence of the smalltooth sandtiger shark (Odontaspis ferox) in Puerto Rico — https://doi.org/10.1017/s0025315425100246</w:t>
      </w:r>
    </w:p>
    <w:p>
      <w:pPr/>
      <w:r>
        <w:rPr>
          <w:b/>
        </w:rPr>
        <w:t>Later source:</w:t>
      </w:r>
      <w:r>
        <w:t xml:space="preserve"> Bioassay tests reveal for the first time pyrethroid resistance in — https://doi.org/10.1051/parasite/2025036/pdf</w:t>
      </w:r>
    </w:p>
    <w:p>
      <w:pPr>
        <w:pStyle w:val="SourceNote"/>
      </w:pPr>
      <w:r>
        <w:rPr>
          <w:b/>
        </w:rPr>
        <w:t>Review status:</w:t>
      </w:r>
      <w:r>
        <w:t xml:space="preserve"> unchecked — group association only; no outcome judgment</w:t>
      </w:r>
    </w:p>
    <w:p>
      <w:pPr>
        <w:pStyle w:val="Heading2"/>
      </w:pPr>
      <w:r>
        <w:t>10. Claim + two later sources: Surveillance and Foresight Process of the Sustainable City Context: Innovation Potential Niches and Trends at the European Level</w:t>
      </w:r>
    </w:p>
    <w:p>
      <w:pPr>
        <w:pStyle w:val="SourceNote"/>
      </w:pPr>
      <w:r>
        <w:rPr>
          <w:b/>
        </w:rPr>
        <w:t>Group ID:</w:t>
      </w:r>
      <w:r>
        <w:t xml:space="preserve"> group-a8984ac5e5fb7d31bc0b</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hotspots in the European Union: A city-level risk assessment — https://doi.org/10.18686/cest622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group association only; no outcome judgment</w:t>
      </w:r>
    </w:p>
    <w:p>
      <w:pPr>
        <w:pStyle w:val="Heading2"/>
      </w:pPr>
      <w:r>
        <w:t>11. Claim + two later sources: ENERGY: DEVELOPMENT FORECASTS, BIFURCATION POINTS (OVERVIEW)</w:t>
      </w:r>
    </w:p>
    <w:p>
      <w:pPr>
        <w:pStyle w:val="SourceNote"/>
      </w:pPr>
      <w:r>
        <w:rPr>
          <w:b/>
        </w:rPr>
        <w:t>Group ID:</w:t>
      </w:r>
      <w:r>
        <w:t xml:space="preserve"> group-ff4fc662ebe00e0f0377</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CLIMATE CHANGE AND GLOBAL POLITICS IN CONTEMPORARY AGE — https://doi.org/10.56815/ijmrr.v5i7.2026.395-411</w:t>
      </w:r>
    </w:p>
    <w:p>
      <w:pPr/>
      <w:r>
        <w:rPr>
          <w:b/>
        </w:rPr>
        <w:t>Later source:</w:t>
      </w:r>
      <w:r>
        <w:t xml:space="preserve"> Bodily Autonomy and Identity Politics: Feminist Approaches in the Era of Global Political Changes : Editors’ Note — https://openalex.org/W7125467776</w:t>
      </w:r>
    </w:p>
    <w:p>
      <w:pPr>
        <w:pStyle w:val="SourceNote"/>
      </w:pPr>
      <w:r>
        <w:rPr>
          <w:b/>
        </w:rPr>
        <w:t>Review status:</w:t>
      </w:r>
      <w:r>
        <w:t xml:space="preserve"> unchecked — group association only; no outcome judgment</w:t>
      </w:r>
    </w:p>
    <w:p>
      <w:pPr>
        <w:pStyle w:val="Heading2"/>
      </w:pPr>
      <w:r>
        <w:t>12. Claim + two later sources: Foresight Research as а Strategic Planning Component</w:t>
      </w:r>
    </w:p>
    <w:p>
      <w:pPr>
        <w:pStyle w:val="SourceNote"/>
      </w:pPr>
      <w:r>
        <w:rPr>
          <w:b/>
        </w:rPr>
        <w:t>Group ID:</w:t>
      </w:r>
      <w:r>
        <w:t xml:space="preserve"> group-9b270b1ea48f04fd1c55</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Significance of Anatomical Constraints in Virtual Try-On — https://doi.org/10.1109/tetci.2024.3353080</w:t>
      </w:r>
    </w:p>
    <w:p>
      <w:pPr/>
      <w:r>
        <w:rPr>
          <w:b/>
        </w:rPr>
        <w:t>Later source:</w:t>
      </w:r>
      <w:r>
        <w:t xml:space="preserve"> Hybrid Visual Predictive Control for Single and Multi-Agent Systems — https://doi.org/10.32920/25234732</w:t>
      </w:r>
    </w:p>
    <w:p>
      <w:pPr>
        <w:pStyle w:val="SourceNote"/>
      </w:pPr>
      <w:r>
        <w:rPr>
          <w:b/>
        </w:rPr>
        <w:t>Review status:</w:t>
      </w:r>
      <w:r>
        <w:t xml:space="preserve"> unchecked — group association only; no outcome judgment</w:t>
      </w:r>
    </w:p>
    <w:p>
      <w:pPr>
        <w:pStyle w:val="Heading2"/>
      </w:pPr>
      <w:r>
        <w:t>13. Claim + two later sources: Scenarios for Chemistry Teacher Training and Practice in Romania in 2030: Views of Chemistry Students</w:t>
      </w:r>
    </w:p>
    <w:p>
      <w:pPr>
        <w:pStyle w:val="SourceNote"/>
      </w:pPr>
      <w:r>
        <w:rPr>
          <w:b/>
        </w:rPr>
        <w:t>Group ID:</w:t>
      </w:r>
      <w:r>
        <w:t xml:space="preserve"> group-9e58680c2ebb121619e7</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Envisioning chemistry education in the anthropocene — https://doi.org/10.24834/isbn.9789178775132</w:t>
      </w:r>
    </w:p>
    <w:p>
      <w:pPr/>
      <w:r>
        <w:rPr>
          <w:b/>
        </w:rPr>
        <w:t>Later source:</w:t>
      </w:r>
      <w:r>
        <w:t xml:space="preserve"> Team Chemistry and COVID in European Football — https://doi.org/10.2174/1875399x-v16-e230510-2022-37</w:t>
      </w:r>
    </w:p>
    <w:p>
      <w:pPr>
        <w:pStyle w:val="SourceNote"/>
      </w:pPr>
      <w:r>
        <w:rPr>
          <w:b/>
        </w:rPr>
        <w:t>Review status:</w:t>
      </w:r>
      <w:r>
        <w:t xml:space="preserve"> unchecked — group association only; no outcome judgment</w:t>
      </w:r>
    </w:p>
    <w:p>
      <w:pPr>
        <w:pStyle w:val="Heading2"/>
      </w:pPr>
      <w:r>
        <w:t>14. Claim + two later sources: Global food security: assessing trends in view of guiding future EU policies</w:t>
      </w:r>
    </w:p>
    <w:p>
      <w:pPr>
        <w:pStyle w:val="SourceNote"/>
      </w:pPr>
      <w:r>
        <w:rPr>
          <w:b/>
        </w:rPr>
        <w:t>Group ID:</w:t>
      </w:r>
      <w:r>
        <w:t xml:space="preserve"> group-a073486a1da6c33f2caa</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From Reaction to Foresight: EUPHA’s vision for health security in Europe — https://doi.org/10.1093/eurpub/ckaf071</w:t>
      </w:r>
    </w:p>
    <w:p>
      <w:pPr/>
      <w:r>
        <w:rPr>
          <w:b/>
        </w:rPr>
        <w:t>Later source:</w:t>
      </w:r>
      <w:r>
        <w:t xml:space="preserve"> Foresight in heritage: fostering future consciousness to proactively face change — https://doi.org/10.1108/jchmsd-12-2024-0298</w:t>
      </w:r>
    </w:p>
    <w:p>
      <w:pPr>
        <w:pStyle w:val="SourceNote"/>
      </w:pPr>
      <w:r>
        <w:rPr>
          <w:b/>
        </w:rPr>
        <w:t>Review status:</w:t>
      </w:r>
      <w:r>
        <w:t xml:space="preserve"> unchecked — group association only; no outcome judgment</w:t>
      </w:r>
    </w:p>
    <w:p>
      <w:pPr>
        <w:pStyle w:val="Heading2"/>
      </w:pPr>
      <w:r>
        <w:t>15. Claim + two later sources: Transition pathways for a UK low-carbon electricity system: Comparing scenarios and technology implications</w:t>
      </w:r>
    </w:p>
    <w:p>
      <w:pPr>
        <w:pStyle w:val="SourceNote"/>
      </w:pPr>
      <w:r>
        <w:rPr>
          <w:b/>
        </w:rPr>
        <w:t>Group ID:</w:t>
      </w:r>
      <w:r>
        <w:t xml:space="preserve"> group-453932d9a9dfd977350d</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Foreign Aid — https://doi.org/10.4324/9781003265320</w:t>
      </w:r>
    </w:p>
    <w:p>
      <w:pPr/>
      <w:r>
        <w:rPr>
          <w:b/>
        </w:rPr>
        <w:t>Later source:</w:t>
      </w:r>
      <w:r>
        <w:t xml:space="preserve"> The Ethics of Food Aid and Famine Relief — https://doi.org/10.1093/oso/9780197744727.003.0004</w:t>
      </w:r>
    </w:p>
    <w:p>
      <w:pPr>
        <w:pStyle w:val="SourceNote"/>
      </w:pPr>
      <w:r>
        <w:rPr>
          <w:b/>
        </w:rPr>
        <w:t>Review status:</w:t>
      </w:r>
      <w:r>
        <w:t xml:space="preserve"> unchecked — group association only; no outcome judgment</w:t>
      </w:r>
    </w:p>
    <w:p>
      <w:pPr>
        <w:pStyle w:val="Heading2"/>
      </w:pPr>
      <w:r>
        <w:t>16. Claim + two later sources: Alternative scenarios investigation of 1990..2016 CO 2 emission from Public Electricity and Heat Production sectors in Europe</w:t>
      </w:r>
    </w:p>
    <w:p>
      <w:pPr>
        <w:pStyle w:val="SourceNote"/>
      </w:pPr>
      <w:r>
        <w:rPr>
          <w:b/>
        </w:rPr>
        <w:t>Group ID:</w:t>
      </w:r>
      <w:r>
        <w:t xml:space="preserve"> group-1c21a371edf3df4d6990</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European Language Grid: An Overview — https://doi.org/10.48550/arxiv.2003.13551</w:t>
      </w:r>
    </w:p>
    <w:p>
      <w:pPr/>
      <w:r>
        <w:rPr>
          <w:b/>
        </w:rPr>
        <w:t>Later source:</w:t>
      </w:r>
      <w:r>
        <w:t xml:space="preserve"> A graphical analysis of the intellectual structure of The Australian Journal of Indigenous Education — https://doi.org/10.55146/ajie.v54i2.2031</w:t>
      </w:r>
    </w:p>
    <w:p>
      <w:pPr>
        <w:pStyle w:val="SourceNote"/>
      </w:pPr>
      <w:r>
        <w:rPr>
          <w:b/>
        </w:rPr>
        <w:t>Review status:</w:t>
      </w:r>
      <w:r>
        <w:t xml:space="preserve"> unchecked — group association only; no outcome judgment</w:t>
      </w:r>
    </w:p>
    <w:p>
      <w:pPr>
        <w:pStyle w:val="Heading2"/>
      </w:pPr>
      <w:r>
        <w:t>17. Claim + two later sources: Pathways for Low-Carbon Transition of the Steel Industry—A Swedish Case Study</w:t>
      </w:r>
    </w:p>
    <w:p>
      <w:pPr>
        <w:pStyle w:val="SourceNote"/>
      </w:pPr>
      <w:r>
        <w:rPr>
          <w:b/>
        </w:rPr>
        <w:t>Group ID:</w:t>
      </w:r>
      <w:r>
        <w:t xml:space="preserve"> group-5f45351bdea666869ce5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Kickstarting CCS Adoption: Tailoring Subsidies to Emitters' Needs — https://openalex.org/W4400372560</w:t>
      </w:r>
    </w:p>
    <w:p>
      <w:pPr/>
      <w:r>
        <w:rPr>
          <w:b/>
        </w:rPr>
        <w:t>Later source:</w:t>
      </w:r>
      <w:r>
        <w:t xml:space="preserve"> Cost estimation of CCS integration into thermal power plants in Japan — https://doi.org/10.1299/mej.22-00028</w:t>
      </w:r>
    </w:p>
    <w:p>
      <w:pPr>
        <w:pStyle w:val="SourceNote"/>
      </w:pPr>
      <w:r>
        <w:rPr>
          <w:b/>
        </w:rPr>
        <w:t>Review status:</w:t>
      </w:r>
      <w:r>
        <w:t xml:space="preserve"> unchecked — group association only; no outcome judgment</w:t>
      </w:r>
    </w:p>
    <w:p>
      <w:pPr>
        <w:pStyle w:val="Heading2"/>
      </w:pPr>
      <w:r>
        <w:t>18. Claim + two later sources: Alternative future energy pathways: Assessment of the potential of innovative decentralised energy systems in the UK</w:t>
      </w:r>
    </w:p>
    <w:p>
      <w:pPr>
        <w:pStyle w:val="SourceNote"/>
      </w:pPr>
      <w:r>
        <w:rPr>
          <w:b/>
        </w:rPr>
        <w:t>Group ID:</w:t>
      </w:r>
      <w:r>
        <w:t xml:space="preserve"> group-f3331823567429fcbf18</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Nuclear Data Uncertainty Analysis to Meet the Target Accuracy Requirements on the MYRRHAkeff — https://doi.org/10.1051/epjconf/202328408012</w:t>
      </w:r>
    </w:p>
    <w:p>
      <w:pPr/>
      <w:r>
        <w:rPr>
          <w:b/>
        </w:rPr>
        <w:t>Later source:</w:t>
      </w:r>
      <w:r>
        <w:t xml:space="preserve"> Growing Double Materiality into Corporate Sustainability Reporting in Order to Meet Green Deal Targets — https://doi.org/10.2478/9788367405546-034</w:t>
      </w:r>
    </w:p>
    <w:p>
      <w:pPr>
        <w:pStyle w:val="SourceNote"/>
      </w:pPr>
      <w:r>
        <w:rPr>
          <w:b/>
        </w:rPr>
        <w:t>Review status:</w:t>
      </w:r>
      <w:r>
        <w:t xml:space="preserve"> unchecked — group association only; no outcome judgment</w:t>
      </w:r>
    </w:p>
    <w:p>
      <w:pPr>
        <w:pStyle w:val="Heading2"/>
      </w:pPr>
      <w:r>
        <w:t>19. Claim + two later sources: Reform of experimental structures in animal science in France: From exploratory foresight to operational set-up</w:t>
      </w:r>
    </w:p>
    <w:p>
      <w:pPr>
        <w:pStyle w:val="SourceNote"/>
      </w:pPr>
      <w:r>
        <w:rPr>
          <w:b/>
        </w:rPr>
        <w:t>Group ID:</w:t>
      </w:r>
      <w:r>
        <w:t xml:space="preserve"> group-c79db56034b7d9c4220d</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Eye of Europe Foresight Training Manual — https://openalex.org/W7220785974</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group association only; no outcome judgment</w:t>
      </w:r>
    </w:p>
    <w:p>
      <w:pPr>
        <w:pStyle w:val="Heading2"/>
      </w:pPr>
      <w:r>
        <w:t>20. Claim + two later sources: First-mover advantages of the European Union's climate change mitigation strategy</w:t>
      </w:r>
    </w:p>
    <w:p>
      <w:pPr>
        <w:pStyle w:val="SourceNote"/>
      </w:pPr>
      <w:r>
        <w:rPr>
          <w:b/>
        </w:rPr>
        <w:t>Group ID:</w:t>
      </w:r>
      <w:r>
        <w:t xml:space="preserve"> group-a52812ae21430934dbed</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Famines in medieval and early modern Europe—Connecting climate and society — https://doi.org/10.1002/wcc.859</w:t>
      </w:r>
    </w:p>
    <w:p>
      <w:pPr/>
      <w:r>
        <w:rPr>
          <w:b/>
        </w:rPr>
        <w:t>Later source:</w:t>
      </w:r>
      <w:r>
        <w:t xml:space="preserve"> Emergent vulnerability to climate-driven disturbances in European forests — https://doi.org/10.1038/s41467-021-21399-7</w:t>
      </w:r>
    </w:p>
    <w:p>
      <w:pPr>
        <w:pStyle w:val="SourceNote"/>
      </w:pPr>
      <w:r>
        <w:rPr>
          <w:b/>
        </w:rPr>
        <w:t>Review status:</w:t>
      </w:r>
      <w:r>
        <w:t xml:space="preserve"> unchecked — group association only; no outcome judgment</w:t>
      </w:r>
    </w:p>
    <w:p>
      <w:pPr>
        <w:pStyle w:val="Heading2"/>
      </w:pPr>
      <w:r>
        <w:t>21. Claim + two later sources: Decarbonizing Sweden’s energy and transportation system by 2050</w:t>
      </w:r>
    </w:p>
    <w:p>
      <w:pPr>
        <w:pStyle w:val="SourceNote"/>
      </w:pPr>
      <w:r>
        <w:rPr>
          <w:b/>
        </w:rPr>
        <w:t>Group ID:</w:t>
      </w:r>
      <w:r>
        <w:t xml:space="preserve"> group-90cc6ed5382d9ae26824</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with induced technical change: Exploring the niche potential of hydrogen in heavy transportation — https://doi.org/10.1016/j.jclepro.2024.140743</w:t>
      </w:r>
    </w:p>
    <w:p>
      <w:pPr/>
      <w:r>
        <w:rPr>
          <w:b/>
        </w:rPr>
        <w:t>Later source:</w:t>
      </w:r>
      <w:r>
        <w:t xml:space="preserve"> The Impact of Deep Decarbonization Policy on the Level of Greenhouse Gas Emissions in the European Union — https://doi.org/10.3390/en17051245</w:t>
      </w:r>
    </w:p>
    <w:p>
      <w:pPr>
        <w:pStyle w:val="SourceNote"/>
      </w:pPr>
      <w:r>
        <w:rPr>
          <w:b/>
        </w:rPr>
        <w:t>Review status:</w:t>
      </w:r>
      <w:r>
        <w:t xml:space="preserve"> unchecked — group association only; no outcome judgment</w:t>
      </w:r>
    </w:p>
    <w:p>
      <w:pPr>
        <w:pStyle w:val="Heading2"/>
      </w:pPr>
      <w:r>
        <w:t>22. Claim + two later sources: Boosting the EU forest-based bioeconomy: Market, climate, and employment impacts</w:t>
      </w:r>
    </w:p>
    <w:p>
      <w:pPr>
        <w:pStyle w:val="SourceNote"/>
      </w:pPr>
      <w:r>
        <w:rPr>
          <w:b/>
        </w:rPr>
        <w:t>Group ID:</w:t>
      </w:r>
      <w:r>
        <w:t xml:space="preserve"> group-a3eb909648688e9e359c</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CHANGES IN FRUIT PRODUCTION AND IMPORTS FROM TURKEY TO EUROPEAN UNION COUNTRIES — https://doi.org/10.5604/01.3001.0055.6187</w:t>
      </w:r>
    </w:p>
    <w:p>
      <w:pPr/>
      <w:r>
        <w:rPr>
          <w:b/>
        </w:rPr>
        <w:t>Later source:</w:t>
      </w:r>
      <w:r>
        <w:t xml:space="preserve"> THE IMPORT OF THE NATURAL GAS FROM THE REPUBLIC OF AZERBAIJAN IN THE CONTEXT OF THE ENERGY POLICY OF THE EUROPEAN UNION — https://doi.org/10.48137/26870703_2026_35_3_61</w:t>
      </w:r>
    </w:p>
    <w:p>
      <w:pPr>
        <w:pStyle w:val="SourceNote"/>
      </w:pPr>
      <w:r>
        <w:rPr>
          <w:b/>
        </w:rPr>
        <w:t>Review status:</w:t>
      </w:r>
      <w:r>
        <w:t xml:space="preserve"> unchecked — group association only; no outcome judgment</w:t>
      </w:r>
    </w:p>
    <w:p>
      <w:pPr>
        <w:pStyle w:val="Heading2"/>
      </w:pPr>
      <w:r>
        <w:t>23. Claim + two later sources: The Great Future Debate and the Struggle for the World</w:t>
      </w:r>
    </w:p>
    <w:p>
      <w:pPr>
        <w:pStyle w:val="SourceNote"/>
      </w:pPr>
      <w:r>
        <w:rPr>
          <w:b/>
        </w:rPr>
        <w:t>Group ID:</w:t>
      </w:r>
      <w:r>
        <w:t xml:space="preserve"> group-fc4cb92561b6f03cad00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ANTI-THEATER OF FUTURISTS AND DADAISTS AS A REFUTATION OF ARISTOTLE’S CONCEPT OF MIMETIC THEATER — https://doi.org/10.30970/vas.26.2025.206-216</w:t>
      </w:r>
    </w:p>
    <w:p>
      <w:pPr/>
      <w:r>
        <w:rPr>
          <w:b/>
        </w:rPr>
        <w:t>Later source:</w:t>
      </w:r>
      <w:r>
        <w:t xml:space="preserve"> The Digital Divide and Futurist Imaginings of Zelle‐ous Resistors — https://doi.org/10.17645/si.v11i3.6867</w:t>
      </w:r>
    </w:p>
    <w:p>
      <w:pPr>
        <w:pStyle w:val="SourceNote"/>
      </w:pPr>
      <w:r>
        <w:rPr>
          <w:b/>
        </w:rPr>
        <w:t>Review status:</w:t>
      </w:r>
      <w:r>
        <w:t xml:space="preserve"> unchecked — group association only; no outcome judgment</w:t>
      </w:r>
    </w:p>
    <w:p>
      <w:pPr>
        <w:pStyle w:val="Heading2"/>
      </w:pPr>
      <w:r>
        <w:t>24. Claim + two later sources: Clean Disruption for Abundant Futures - Neo-Carbon Energy Futures Clinique III</w:t>
      </w:r>
    </w:p>
    <w:p>
      <w:pPr>
        <w:pStyle w:val="SourceNote"/>
      </w:pPr>
      <w:r>
        <w:rPr>
          <w:b/>
        </w:rPr>
        <w:t>Group ID:</w:t>
      </w:r>
      <w:r>
        <w:t xml:space="preserve"> group-3eae01917711a415b239</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SURPRISING ENERGY FUTURES : Neo-Carbon Energy Futures Clinique V — https://openalex.org/W2944828902</w:t>
      </w:r>
    </w:p>
    <w:p>
      <w:pPr/>
      <w:r>
        <w:rPr>
          <w:b/>
        </w:rPr>
        <w:t>Later source:</w:t>
      </w:r>
      <w:r>
        <w:t xml:space="preserve"> Continuous Transformation and Neo-Carbon Energy Scenarios — https://openalex.org/W2946377064</w:t>
      </w:r>
    </w:p>
    <w:p>
      <w:pPr>
        <w:pStyle w:val="SourceNote"/>
      </w:pPr>
      <w:r>
        <w:rPr>
          <w:b/>
        </w:rPr>
        <w:t>Review status:</w:t>
      </w:r>
      <w:r>
        <w:t xml:space="preserve"> unchecked — group association only; no outcome judgment</w:t>
      </w:r>
    </w:p>
    <w:p>
      <w:pPr>
        <w:pStyle w:val="Heading2"/>
      </w:pPr>
      <w:r>
        <w:t>25. Claim + two later sources: Pressures on soil functions from soil management in Germany. A foresight review</w:t>
      </w:r>
    </w:p>
    <w:p>
      <w:pPr>
        <w:pStyle w:val="SourceNote"/>
      </w:pPr>
      <w:r>
        <w:rPr>
          <w:b/>
        </w:rPr>
        <w:t>Group ID:</w:t>
      </w:r>
      <w:r>
        <w:t xml:space="preserve"> group-fe1dd6975a1449514440</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Integration matters: Combining socio-cultural and biophysical methods for mapping ecosystem service bundles — https://doi.org/10.1007/s13280-023-01830-7</w:t>
      </w:r>
    </w:p>
    <w:p>
      <w:pPr/>
      <w:r>
        <w:rPr>
          <w:b/>
        </w:rPr>
        <w:t>Later source:</w:t>
      </w:r>
      <w:r>
        <w:t xml:space="preserve"> Working in (Slow) Progress: Socio-Environmental and Economic Dynamics in the Forestry Sector and the Contribution to Sustainable Development in Europe — https://doi.org/10.3390/su151310271</w:t>
      </w:r>
    </w:p>
    <w:p>
      <w:pPr>
        <w:pStyle w:val="SourceNote"/>
      </w:pPr>
      <w:r>
        <w:rPr>
          <w:b/>
        </w:rPr>
        <w:t>Review status:</w:t>
      </w:r>
      <w:r>
        <w:t xml:space="preserve"> unchecked — group association only; no outcome judgment</w:t>
      </w:r>
    </w:p>
    <w:p>
      <w:pPr>
        <w:pStyle w:val="Heading2"/>
      </w:pPr>
      <w:r>
        <w:t>26. Claim + two later sources: Energy Vision Strategies for the EU Green New Deal: A Case Study of European Cities</w:t>
      </w:r>
    </w:p>
    <w:p>
      <w:pPr>
        <w:pStyle w:val="SourceNote"/>
      </w:pPr>
      <w:r>
        <w:rPr>
          <w:b/>
        </w:rPr>
        <w:t>Group ID:</w:t>
      </w:r>
      <w:r>
        <w:t xml:space="preserve"> group-81d26f7918e4394b5c8a</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Reassessing the benefits of European integration and the European Union's ability to achieve strategic autonomy — https://openalex.org/W7130901115</w:t>
      </w:r>
    </w:p>
    <w:p>
      <w:pPr/>
      <w:r>
        <w:rPr>
          <w:b/>
        </w:rPr>
        <w:t>Later source:</w:t>
      </w:r>
      <w:r>
        <w:t xml:space="preserve"> France's Strategic Gamble for Europe — https://doi.org/10.17613/cdevw-3gx51</w:t>
      </w:r>
    </w:p>
    <w:p>
      <w:pPr>
        <w:pStyle w:val="SourceNote"/>
      </w:pPr>
      <w:r>
        <w:rPr>
          <w:b/>
        </w:rPr>
        <w:t>Review status:</w:t>
      </w:r>
      <w:r>
        <w:t xml:space="preserve"> unchecked — group association only; no outcome judgment</w:t>
      </w:r>
    </w:p>
    <w:p>
      <w:pPr>
        <w:pStyle w:val="Heading2"/>
      </w:pPr>
      <w:r>
        <w:t>27. Claim + two later sources: Developed Foresight for Borders Model Predicts the Amount of Borders Traffic in Finland</w:t>
      </w:r>
    </w:p>
    <w:p>
      <w:pPr>
        <w:pStyle w:val="SourceNote"/>
      </w:pPr>
      <w:r>
        <w:rPr>
          <w:b/>
        </w:rPr>
        <w:t>Group ID:</w:t>
      </w:r>
      <w:r>
        <w:t xml:space="preserve"> group-1755c94c9ce574ed15b6</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Factors influencing antimicrobial resistance in the European food system and potential leverage points for intervention: A participatory, One Health study — https://doi.org/10.1371/journal.pone.0263914</w:t>
      </w:r>
    </w:p>
    <w:p>
      <w:pPr/>
      <w:r>
        <w:rPr>
          <w:b/>
        </w:rPr>
        <w:t>Later source:</w:t>
      </w:r>
      <w:r>
        <w:t xml:space="preserve"> INFLUENCE OF THE EUROPEAN INTEGRATION ON LINGUISTIC ASPECTS — https://doi.org/10.52058/2786-6165-2022-4(4)-8-21</w:t>
      </w:r>
    </w:p>
    <w:p>
      <w:pPr>
        <w:pStyle w:val="SourceNote"/>
      </w:pPr>
      <w:r>
        <w:rPr>
          <w:b/>
        </w:rPr>
        <w:t>Review status:</w:t>
      </w:r>
      <w:r>
        <w:t xml:space="preserve"> unchecked — group association only; no outcome judgment</w:t>
      </w:r>
    </w:p>
    <w:p>
      <w:pPr>
        <w:pStyle w:val="Heading2"/>
      </w:pPr>
      <w:r>
        <w:t>28. Claim + two later sources: Integrated energy planning to meet 2050 European targets: A Southern Italian region case study</w:t>
      </w:r>
    </w:p>
    <w:p>
      <w:pPr>
        <w:pStyle w:val="SourceNote"/>
      </w:pPr>
      <w:r>
        <w:rPr>
          <w:b/>
        </w:rPr>
        <w:t>Group ID:</w:t>
      </w:r>
      <w:r>
        <w:t xml:space="preserve"> group-4db101c63d7881c4a516</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Spatial Analysis of the Progress of Energy Transition in Europe — https://doi.org/10.3390/en19020353</w:t>
      </w:r>
    </w:p>
    <w:p>
      <w:pPr/>
      <w:r>
        <w:rPr>
          <w:b/>
        </w:rPr>
        <w:t>Later source:</w:t>
      </w:r>
      <w:r>
        <w:t xml:space="preserve"> UKRAINE’S TRANSITION TO THE EUROPEAN VERTICAL REFERENCE SYSTEM (EVRS): GEODETIC PRECONDITIONS AND SPATIAL IMPLICATIONS — https://doi.org/10.25128/2519-4577.26.1.13</w:t>
      </w:r>
    </w:p>
    <w:p>
      <w:pPr>
        <w:pStyle w:val="SourceNote"/>
      </w:pPr>
      <w:r>
        <w:rPr>
          <w:b/>
        </w:rPr>
        <w:t>Review status:</w:t>
      </w:r>
      <w:r>
        <w:t xml:space="preserve"> unchecked — group association only; no outcome judgment</w:t>
      </w:r>
    </w:p>
    <w:p>
      <w:pPr>
        <w:pStyle w:val="Heading2"/>
      </w:pPr>
      <w:r>
        <w:t>29.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group association only; no outcome judgment</w:t>
      </w:r>
    </w:p>
    <w:p>
      <w:pPr>
        <w:pStyle w:val="Heading2"/>
      </w:pPr>
      <w:r>
        <w:t>30. Claim + two later sources: Assessing the impact of the 2011 EU Transport White Paper - a rail freight demand forecast up to 2050 for the EU27</w:t>
      </w:r>
    </w:p>
    <w:p>
      <w:pPr>
        <w:pStyle w:val="SourceNote"/>
      </w:pPr>
      <w:r>
        <w:rPr>
          <w:b/>
        </w:rPr>
        <w:t>Group ID:</w:t>
      </w:r>
      <w:r>
        <w:t xml:space="preserve"> group-95293cf7e5dcd2111a9f</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Right-Wing Extremism and Terrorism in Europe: Current Developments and Issues for the Future — https://openalex.org/W2994049625</w:t>
      </w:r>
    </w:p>
    <w:p>
      <w:pPr/>
      <w:r>
        <w:rPr>
          <w:b/>
        </w:rPr>
        <w:t>Later source:</w:t>
      </w:r>
      <w:r>
        <w:t xml:space="preserve"> Vibrational Stark Effects: Ionic Influence on Local Fields — https://doi.org/10.1021/acs.jpclett.2c01048</w:t>
      </w:r>
    </w:p>
    <w:p>
      <w:pPr>
        <w:pStyle w:val="SourceNote"/>
      </w:pPr>
      <w:r>
        <w:rPr>
          <w:b/>
        </w:rPr>
        <w:t>Review status:</w:t>
      </w:r>
      <w:r>
        <w:t xml:space="preserve"> unchecked — group association only; no outcome judgment</w:t>
      </w:r>
    </w:p>
    <w:p>
      <w:pPr>
        <w:pStyle w:val="Heading2"/>
      </w:pPr>
      <w:r>
        <w:t>31. Claim + two later sources: Investigating syndromes of agricultural land degradation through past trajectories and future scenarios</w:t>
      </w:r>
    </w:p>
    <w:p>
      <w:pPr>
        <w:pStyle w:val="SourceNote"/>
      </w:pPr>
      <w:r>
        <w:rPr>
          <w:b/>
        </w:rPr>
        <w:t>Group ID:</w:t>
      </w:r>
      <w:r>
        <w:t xml:space="preserve"> group-f9578bf6d7a979931406</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Impact resistance of concrete and fibre-reinforced concrete: A review — https://doi.org/10.1016/j.ijimpeng.2023.104722</w:t>
      </w:r>
    </w:p>
    <w:p>
      <w:pPr/>
      <w:r>
        <w:rPr>
          <w:b/>
        </w:rPr>
        <w:t>Later source:</w:t>
      </w:r>
      <w:r>
        <w:t xml:space="preserve"> Influence of Graphene oxide on abrasion resistance and strength of concrete — https://doi.org/10.1016/j.conbuildmat.2023.133280</w:t>
      </w:r>
    </w:p>
    <w:p>
      <w:pPr>
        <w:pStyle w:val="SourceNote"/>
      </w:pPr>
      <w:r>
        <w:rPr>
          <w:b/>
        </w:rPr>
        <w:t>Review status:</w:t>
      </w:r>
      <w:r>
        <w:t xml:space="preserve"> unchecked — group association only; no outcome judgment</w:t>
      </w:r>
    </w:p>
    <w:p>
      <w:pPr>
        <w:pStyle w:val="Heading2"/>
      </w:pPr>
      <w:r>
        <w:t>32. Claim + two later sources: After crisis scenarios for Europe: alternative evolutions of structural adjustments</w:t>
      </w:r>
    </w:p>
    <w:p>
      <w:pPr>
        <w:pStyle w:val="SourceNote"/>
      </w:pPr>
      <w:r>
        <w:rPr>
          <w:b/>
        </w:rPr>
        <w:t>Group ID:</w:t>
      </w:r>
      <w:r>
        <w:t xml:space="preserve"> group-29c3dc4823a4000b9900</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Enabling 1.5 °C lifestyles in Europe: lifestyle options and structural change for transformation — https://doi.org/10.1080/15487733.2026.2657131</w:t>
      </w:r>
    </w:p>
    <w:p>
      <w:pPr>
        <w:pStyle w:val="SourceNote"/>
      </w:pPr>
      <w:r>
        <w:rPr>
          <w:b/>
        </w:rPr>
        <w:t>Review status:</w:t>
      </w:r>
      <w:r>
        <w:t xml:space="preserve"> unchecked — group association only; no outcome judgment</w:t>
      </w:r>
    </w:p>
    <w:p>
      <w:pPr>
        <w:pStyle w:val="Heading2"/>
      </w:pPr>
      <w:r>
        <w:t>33. Claim + two later sources: Post-normal times: re-thinking the futures of the EU-Africa relationship</w:t>
      </w:r>
    </w:p>
    <w:p>
      <w:pPr>
        <w:pStyle w:val="SourceNote"/>
      </w:pPr>
      <w:r>
        <w:rPr>
          <w:b/>
        </w:rPr>
        <w:t>Group ID:</w:t>
      </w:r>
      <w:r>
        <w:t xml:space="preserve"> group-ffb6baedbec1cecd4120</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The separation of powers and the administrative branch in the European Union — https://doi.org/10.1093/icon/moaf048</w:t>
      </w:r>
    </w:p>
    <w:p>
      <w:pPr/>
      <w:r>
        <w:rPr>
          <w:b/>
        </w:rPr>
        <w:t>Later source:</w:t>
      </w:r>
      <w:r>
        <w:t xml:space="preserve"> THE EUROPEAN UNION: THE HISTORY OF ESTABLISHMENT AND SIGNIFICANCE FOR UKRAINE — https://doi.org/10.30970/vla.2023.76.015</w:t>
      </w:r>
    </w:p>
    <w:p>
      <w:pPr>
        <w:pStyle w:val="SourceNote"/>
      </w:pPr>
      <w:r>
        <w:rPr>
          <w:b/>
        </w:rPr>
        <w:t>Review status:</w:t>
      </w:r>
      <w:r>
        <w:t xml:space="preserve"> unchecked — group association only; no outcome judgment</w:t>
      </w:r>
    </w:p>
    <w:p>
      <w:pPr>
        <w:pStyle w:val="Heading2"/>
      </w:pPr>
      <w:r>
        <w:t>34. Claim + two later sources: Problem of “Dinosauring” of European Union and Mapping of Its Future</w:t>
      </w:r>
    </w:p>
    <w:p>
      <w:pPr>
        <w:pStyle w:val="SourceNote"/>
      </w:pPr>
      <w:r>
        <w:rPr>
          <w:b/>
        </w:rPr>
        <w:t>Group ID:</w:t>
      </w:r>
      <w:r>
        <w:t xml:space="preserve"> group-29cf17fd7478af09fa0e</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Conan Fischer. A Vision of Europe: Franco-German Relations during the Great Depression, 1929–1932. — https://doi.org/10.1093/ahr/rhz1012</w:t>
      </w:r>
    </w:p>
    <w:p>
      <w:pPr/>
      <w:r>
        <w:rPr>
          <w:b/>
        </w:rPr>
        <w:t>Later source:</w:t>
      </w:r>
      <w:r>
        <w:t xml:space="preserve"> The European Rural Development Vision in Romanian Context — https://doi.org/10.15835/buasvmcn-hort:2022.0034</w:t>
      </w:r>
    </w:p>
    <w:p>
      <w:pPr>
        <w:pStyle w:val="SourceNote"/>
      </w:pPr>
      <w:r>
        <w:rPr>
          <w:b/>
        </w:rPr>
        <w:t>Review status:</w:t>
      </w:r>
      <w:r>
        <w:t xml:space="preserve"> unchecked — group association only; no outcome judgment</w:t>
      </w:r>
    </w:p>
    <w:p>
      <w:pPr>
        <w:pStyle w:val="Heading2"/>
      </w:pPr>
      <w:r>
        <w:t>35. Claim + two later sources: Comparison of temperature indices for three IPCC SRES scenarios based on RegCM simulations for Poland in 2011–2030 period</w:t>
      </w:r>
    </w:p>
    <w:p>
      <w:pPr>
        <w:pStyle w:val="SourceNote"/>
      </w:pPr>
      <w:r>
        <w:rPr>
          <w:b/>
        </w:rPr>
        <w:t>Group ID:</w:t>
      </w:r>
      <w:r>
        <w:t xml:space="preserve"> group-232d2bd01e80f3eb71ac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The impact of lakes on the European climate as simulated by a regional climate model — https://doi.org/10.60910/3pj6-v2hf</w:t>
      </w:r>
    </w:p>
    <w:p>
      <w:pPr/>
      <w:r>
        <w:rPr>
          <w:b/>
        </w:rPr>
        <w:t>Later source:</w:t>
      </w:r>
      <w:r>
        <w:t xml:space="preserve"> Short-term temperature variability in regional climate models in Europe — https://doi.org/10.5194/egusphere-egu23-9447</w:t>
      </w:r>
    </w:p>
    <w:p>
      <w:pPr>
        <w:pStyle w:val="SourceNote"/>
      </w:pPr>
      <w:r>
        <w:rPr>
          <w:b/>
        </w:rPr>
        <w:t>Review status:</w:t>
      </w:r>
      <w:r>
        <w:t xml:space="preserve"> unchecked — group association only; no outcome judgment</w:t>
      </w:r>
    </w:p>
    <w:p>
      <w:pPr>
        <w:pStyle w:val="Heading2"/>
      </w:pPr>
      <w:r>
        <w:t>36. Claim + two later sources: Use and perception of weather forecast information across Europe</w:t>
      </w:r>
    </w:p>
    <w:p>
      <w:pPr>
        <w:pStyle w:val="SourceNote"/>
      </w:pPr>
      <w:r>
        <w:rPr>
          <w:b/>
        </w:rPr>
        <w:t>Group ID:</w:t>
      </w:r>
      <w:r>
        <w:t xml:space="preserve"> group-49094787e96f4eda8c2b</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Management Measures and Trends of Biological Invasions in Europe: A Survey‐Based Assessment of Local Managers — https://doi.org/10.1111/gcb.70028</w:t>
      </w:r>
    </w:p>
    <w:p>
      <w:pPr/>
      <w:r>
        <w:rPr>
          <w:b/>
        </w:rPr>
        <w:t>Later source:</w:t>
      </w:r>
      <w:r>
        <w:t xml:space="preserve"> Bridging the gap between research and decision making: A European survey to enhance cooperation in wastewater-based epidemiology (WBE) for illicit drugs — https://doi.org/10.1016/j.puhe.2025.02.009</w:t>
      </w:r>
    </w:p>
    <w:p>
      <w:pPr>
        <w:pStyle w:val="SourceNote"/>
      </w:pPr>
      <w:r>
        <w:rPr>
          <w:b/>
        </w:rPr>
        <w:t>Review status:</w:t>
      </w:r>
      <w:r>
        <w:t xml:space="preserve"> unchecked — group association only; no outcome judgment</w:t>
      </w:r>
    </w:p>
    <w:p>
      <w:pPr>
        <w:pStyle w:val="Heading2"/>
      </w:pPr>
      <w:r>
        <w:t>37. Claim + two later sources: Douglas‐fir plantations in Europe: a retrospective test of assisted migration to address climate change</w:t>
      </w:r>
    </w:p>
    <w:p>
      <w:pPr>
        <w:pStyle w:val="SourceNote"/>
      </w:pPr>
      <w:r>
        <w:rPr>
          <w:b/>
        </w:rPr>
        <w:t>Group ID:</w:t>
      </w:r>
      <w:r>
        <w:t xml:space="preserve"> group-873fe26d37854b63c510</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Differing Trends in United States and European Severe Thunderstorm Environments in a Warming Climate — https://doi.org/10.1175/bams-d-20-0004.1</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group association only; no outcome judgment</w:t>
      </w:r>
    </w:p>
    <w:p>
      <w:pPr>
        <w:pStyle w:val="Heading2"/>
      </w:pPr>
      <w:r>
        <w:t>38. Claim + two later sources: Alternative futures for shared mobility systems: impacts on transport planning tools and techniques</w:t>
      </w:r>
    </w:p>
    <w:p>
      <w:pPr>
        <w:pStyle w:val="SourceNote"/>
      </w:pPr>
      <w:r>
        <w:rPr>
          <w:b/>
        </w:rPr>
        <w:t>Group ID:</w:t>
      </w:r>
      <w:r>
        <w:t xml:space="preserve"> group-ee9129f4102e6feb221b</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The Heritagemonitor: Exploring projects, works and institutions in cultural heritage across Europe — https://doi.org/10.5281/zenodo.20642926</w:t>
      </w:r>
    </w:p>
    <w:p>
      <w:pPr/>
      <w:r>
        <w:rPr>
          <w:b/>
        </w:rPr>
        <w:t>Later source:</w:t>
      </w:r>
      <w:r>
        <w:t xml:space="preserve"> The Heritagemonitor: Exploring projects, works and institutions in cultural heritage across Europe — https://doi.org/10.5281/zenodo.20643287</w:t>
      </w:r>
    </w:p>
    <w:p>
      <w:pPr>
        <w:pStyle w:val="SourceNote"/>
      </w:pPr>
      <w:r>
        <w:rPr>
          <w:b/>
        </w:rPr>
        <w:t>Review status:</w:t>
      </w:r>
      <w:r>
        <w:t xml:space="preserve"> unchecked — group association only; no outcome judgment</w:t>
      </w:r>
    </w:p>
    <w:p>
      <w:pPr>
        <w:pStyle w:val="Heading2"/>
      </w:pPr>
      <w:r>
        <w:t>39. Claim + two later sources: Integrated assessment of the role of bioenergy within the EU energy transition targets to 2050</w:t>
      </w:r>
    </w:p>
    <w:p>
      <w:pPr>
        <w:pStyle w:val="SourceNote"/>
      </w:pPr>
      <w:r>
        <w:rPr>
          <w:b/>
        </w:rPr>
        <w:t>Group ID:</w:t>
      </w:r>
      <w:r>
        <w:t xml:space="preserve"> group-2f56eff4c183098122ad</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Expert insights into future trajectories: assessing cost reductions and scalability of carbon dioxide removal technologies — https://doi.org/10.3389/fclim.2024.1331901</w:t>
      </w:r>
    </w:p>
    <w:p>
      <w:pPr/>
      <w:r>
        <w:rPr>
          <w:b/>
        </w:rPr>
        <w:t>Later source:</w:t>
      </w:r>
      <w:r>
        <w:t xml:space="preserve"> Capacity gaps in land-based mitigation technologies and practices: A first stock take — https://doi.org/10.1016/j.landusepol.2023.106888</w:t>
      </w:r>
    </w:p>
    <w:p>
      <w:pPr>
        <w:pStyle w:val="SourceNote"/>
      </w:pPr>
      <w:r>
        <w:rPr>
          <w:b/>
        </w:rPr>
        <w:t>Review status:</w:t>
      </w:r>
      <w:r>
        <w:t xml:space="preserve"> unchecked — group association only; no outcome judgment</w:t>
      </w:r>
    </w:p>
    <w:p>
      <w:pPr>
        <w:pStyle w:val="Heading2"/>
      </w:pPr>
      <w:r>
        <w:t>40. Claim + two later sources: GHG emissions, trade balance, and carbon leakage: Insights from modeling thirty-one European decarbonization pathways towards 2050</w:t>
      </w:r>
    </w:p>
    <w:p>
      <w:pPr>
        <w:pStyle w:val="SourceNote"/>
      </w:pPr>
      <w:r>
        <w:rPr>
          <w:b/>
        </w:rPr>
        <w:t>Group ID:</w:t>
      </w:r>
      <w:r>
        <w:t xml:space="preserve"> group-54be2934a7596a68d810</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Linguistic diversity of new minorities in Europe: A crossroads of rights and duties — https://doi.org/10.5281/zenodo.18845601</w:t>
      </w:r>
    </w:p>
    <w:p>
      <w:pPr/>
      <w:r>
        <w:rPr>
          <w:b/>
        </w:rPr>
        <w:t>Later source:</w:t>
      </w:r>
      <w:r>
        <w:t xml:space="preserve"> Antibiotic Use in Livestock Production and Progress Made with Regulations in Europe and Africa: Implications for Illness Prevention and Health Promotion — https://doi.org/10.1007/978-981-97-0821-5_104-1</w:t>
      </w:r>
    </w:p>
    <w:p>
      <w:pPr>
        <w:pStyle w:val="SourceNote"/>
      </w:pPr>
      <w:r>
        <w:rPr>
          <w:b/>
        </w:rPr>
        <w:t>Review status:</w:t>
      </w:r>
      <w:r>
        <w:t xml:space="preserve"> unchecked — group association only; no outcome judgment</w:t>
      </w:r>
    </w:p>
    <w:p>
      <w:pPr>
        <w:pStyle w:val="Heading2"/>
      </w:pPr>
      <w:r>
        <w:t>41. Claim + two later sources: Low-carbon energy scenarios 2050 in north-west European countries: Towards a more harmonised approach to achieve the EU targets</w:t>
      </w:r>
    </w:p>
    <w:p>
      <w:pPr>
        <w:pStyle w:val="SourceNote"/>
      </w:pPr>
      <w:r>
        <w:rPr>
          <w:b/>
        </w:rPr>
        <w:t>Group ID:</w:t>
      </w:r>
      <w:r>
        <w:t xml:space="preserve"> group-f764801de0c8e2787930</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Flood trends in Europe: are changes in small and big floods different? — https://doi.org/10.5194/hess-24-1805-2020</w:t>
      </w:r>
    </w:p>
    <w:p>
      <w:pPr/>
      <w:r>
        <w:rPr>
          <w:b/>
        </w:rPr>
        <w:t>Later source:</w:t>
      </w:r>
      <w:r>
        <w:t xml:space="preserve"> Regional climate downscaling over Europe: perspectives from the EURO-CORDEX community — https://doi.org/10.1007/s10113-020-01606-9</w:t>
      </w:r>
    </w:p>
    <w:p>
      <w:pPr>
        <w:pStyle w:val="SourceNote"/>
      </w:pPr>
      <w:r>
        <w:rPr>
          <w:b/>
        </w:rPr>
        <w:t>Review status:</w:t>
      </w:r>
      <w:r>
        <w:t xml:space="preserve"> unchecked — group association only; no outcome judgment</w:t>
      </w:r>
    </w:p>
    <w:p>
      <w:pPr>
        <w:pStyle w:val="Heading2"/>
      </w:pPr>
      <w:r>
        <w:t>42. Claim + two later sources: Drivers, trends and scenarios for the future of health in Europe. Impressions from the FRESHER project</w:t>
      </w:r>
    </w:p>
    <w:p>
      <w:pPr>
        <w:pStyle w:val="SourceNote"/>
      </w:pPr>
      <w:r>
        <w:rPr>
          <w:b/>
        </w:rPr>
        <w:t>Group ID:</w:t>
      </w:r>
      <w:r>
        <w:t xml:space="preserve"> group-779fcede7df8641ec800</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Shaping the Future of Health Data: A Scenario-Based Approach — https://doi.org/10.3233/shti220355</w:t>
      </w:r>
    </w:p>
    <w:p>
      <w:pPr/>
      <w:r>
        <w:rPr>
          <w:b/>
        </w:rPr>
        <w:t>Later source:</w:t>
      </w:r>
      <w:r>
        <w:t xml:space="preserve"> FRESHER: Challenges and opportunities for building Health/Healthy futures — https://doi.org/10.1093/eurpub/ckac129.121</w:t>
      </w:r>
    </w:p>
    <w:p>
      <w:pPr>
        <w:pStyle w:val="SourceNote"/>
      </w:pPr>
      <w:r>
        <w:rPr>
          <w:b/>
        </w:rPr>
        <w:t>Review status:</w:t>
      </w:r>
      <w:r>
        <w:t xml:space="preserve"> unchecked — group association only; no outcome judgment</w:t>
      </w:r>
    </w:p>
    <w:p>
      <w:pPr>
        <w:pStyle w:val="Heading2"/>
      </w:pPr>
      <w:r>
        <w:t>43. Claim + two later sources: Health impact assessment of waste management facilities in three European countries</w:t>
      </w:r>
    </w:p>
    <w:p>
      <w:pPr>
        <w:pStyle w:val="SourceNote"/>
      </w:pPr>
      <w:r>
        <w:rPr>
          <w:b/>
        </w:rPr>
        <w:t>Group ID:</w:t>
      </w:r>
      <w:r>
        <w:t xml:space="preserve"> group-dcfce777e25ff21308cc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Modelling the Potential Biogas Productivity Range from a MSW Landfill for Its Sustainable Exploitation — https://doi.org/10.3390/su7010482</w:t>
      </w:r>
    </w:p>
    <w:p>
      <w:pPr/>
      <w:r>
        <w:rPr>
          <w:b/>
        </w:rPr>
        <w:t>Later source:</w:t>
      </w:r>
      <w:r>
        <w:t xml:space="preserve"> Compositional Analysis and Numerical Simulation of Slagging Process on a Water-Cooled Wall of an MSW Incinerator — https://doi.org/10.3390/waste3010005</w:t>
      </w:r>
    </w:p>
    <w:p>
      <w:pPr>
        <w:pStyle w:val="SourceNote"/>
      </w:pPr>
      <w:r>
        <w:rPr>
          <w:b/>
        </w:rPr>
        <w:t>Review status:</w:t>
      </w:r>
      <w:r>
        <w:t xml:space="preserve"> unchecked — group association only; no outcome judgment</w:t>
      </w:r>
    </w:p>
    <w:p>
      <w:pPr>
        <w:pStyle w:val="Heading2"/>
      </w:pPr>
      <w:r>
        <w:t>44. Claim + two later sources: Linking Local Food Systems and the Social Economy? Future Roles for Farmers' Markets in Alberta and British Columbia*</w:t>
      </w:r>
    </w:p>
    <w:p>
      <w:pPr>
        <w:pStyle w:val="SourceNote"/>
      </w:pPr>
      <w:r>
        <w:rPr>
          <w:b/>
        </w:rPr>
        <w:t>Group ID:</w:t>
      </w:r>
      <w:r>
        <w:t xml:space="preserve"> group-f7fa8be92f989f8dc992</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Developing a Body of Knowledge for Sustainability Engineering Using the Delphi Method: A Work in Progress — https://doi.org/10.18260/1-2--58714</w:t>
      </w:r>
    </w:p>
    <w:p>
      <w:pPr/>
      <w:r>
        <w:rPr>
          <w:b/>
        </w:rPr>
        <w:t>Later source:</w:t>
      </w:r>
      <w:r>
        <w:t xml:space="preserve"> Proposal for a critical appraisal tool for studies using the Delphi method (DCAT) — https://doi.org/10.1136/bmj-2025-084509</w:t>
      </w:r>
    </w:p>
    <w:p>
      <w:pPr>
        <w:pStyle w:val="SourceNote"/>
      </w:pPr>
      <w:r>
        <w:rPr>
          <w:b/>
        </w:rPr>
        <w:t>Review status:</w:t>
      </w:r>
      <w:r>
        <w:t xml:space="preserve"> unchecked — group association only; no outcome judgment</w:t>
      </w:r>
    </w:p>
    <w:p>
      <w:pPr>
        <w:pStyle w:val="Heading2"/>
      </w:pPr>
      <w:r>
        <w:t>45. Claim + two later sources: Legume dreams: The contested futures of sustainable plant-based food systems in Europe</w:t>
      </w:r>
    </w:p>
    <w:p>
      <w:pPr>
        <w:pStyle w:val="SourceNote"/>
      </w:pPr>
      <w:r>
        <w:rPr>
          <w:b/>
        </w:rPr>
        <w:t>Group ID:</w:t>
      </w:r>
      <w:r>
        <w:t xml:space="preserve"> group-01ffa0daa1d321529d22</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European consumers' involvement with date labels and implications for household food waste — https://doi.org/10.1016/j.foodqual.2025.105522</w:t>
      </w:r>
    </w:p>
    <w:p>
      <w:pPr/>
      <w:r>
        <w:rPr>
          <w:b/>
        </w:rPr>
        <w:t>Later source:</w:t>
      </w:r>
      <w:r>
        <w:t xml:space="preserve"> Food allergy outside the eight big foods in Europe: A systematic review and meta‐analysis — https://doi.org/10.1002/clt2.12338</w:t>
      </w:r>
    </w:p>
    <w:p>
      <w:pPr>
        <w:pStyle w:val="SourceNote"/>
      </w:pPr>
      <w:r>
        <w:rPr>
          <w:b/>
        </w:rPr>
        <w:t>Review status:</w:t>
      </w:r>
      <w:r>
        <w:t xml:space="preserve"> unchecked — group association only; no outcome judgment</w:t>
      </w:r>
    </w:p>
    <w:p>
      <w:pPr>
        <w:pStyle w:val="Heading2"/>
      </w:pPr>
      <w:r>
        <w:t>46. Claim + two later sources: Energy and Climate Change Scenarios in the Mediterranean: An opportunity for cooperation</w:t>
      </w:r>
    </w:p>
    <w:p>
      <w:pPr>
        <w:pStyle w:val="SourceNote"/>
      </w:pPr>
      <w:r>
        <w:rPr>
          <w:b/>
        </w:rPr>
        <w:t>Group ID:</w:t>
      </w:r>
      <w:r>
        <w:t xml:space="preserve"> group-0726058966beee040b4e</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Endangered Languages and Environmental Degradation Among Minority Communities in Europe: An Ecological Perspective — https://doi.org/10.18485/vlings_vele.2025.ch3</w:t>
      </w:r>
    </w:p>
    <w:p>
      <w:pPr/>
      <w:r>
        <w:rPr>
          <w:b/>
        </w:rPr>
        <w:t>Later source:</w:t>
      </w:r>
      <w:r>
        <w:t xml:space="preserve"> The Impact of Environmental Degradation on Children’s Rights in Central Europe — https://doi.org/10.21029/jael.2025.39.365</w:t>
      </w:r>
    </w:p>
    <w:p>
      <w:pPr>
        <w:pStyle w:val="SourceNote"/>
      </w:pPr>
      <w:r>
        <w:rPr>
          <w:b/>
        </w:rPr>
        <w:t>Review status:</w:t>
      </w:r>
      <w:r>
        <w:t xml:space="preserve"> unchecked — group association only; no outcome judgment</w:t>
      </w:r>
    </w:p>
    <w:p>
      <w:pPr>
        <w:pStyle w:val="Heading2"/>
      </w:pPr>
      <w:r>
        <w:t>47. Claim + two later sources: Abandonment landscapes: user attitudes, alternative futures and land management in Castro Laboreiro, Portugal</w:t>
      </w:r>
    </w:p>
    <w:p>
      <w:pPr>
        <w:pStyle w:val="SourceNote"/>
      </w:pPr>
      <w:r>
        <w:rPr>
          <w:b/>
        </w:rPr>
        <w:t>Group ID:</w:t>
      </w:r>
      <w:r>
        <w:t xml:space="preserve"> group-b6d6347f10055dc69444</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The Influence of Wildfire Climate on Wildfire Incidence: The Case of Portugal — https://doi.org/10.3390/fire7070234</w:t>
      </w:r>
    </w:p>
    <w:p>
      <w:pPr>
        <w:pStyle w:val="SourceNote"/>
      </w:pPr>
      <w:r>
        <w:rPr>
          <w:b/>
        </w:rPr>
        <w:t>Review status:</w:t>
      </w:r>
      <w:r>
        <w:t xml:space="preserve"> unchecked — group association only; no outcome judgment</w:t>
      </w:r>
    </w:p>
    <w:p>
      <w:pPr>
        <w:pStyle w:val="Heading2"/>
      </w:pPr>
      <w:r>
        <w:t>48. Claim + two later sources: Scenarios of the organic food market in Europe</w:t>
      </w:r>
    </w:p>
    <w:p>
      <w:pPr>
        <w:pStyle w:val="SourceNote"/>
      </w:pPr>
      <w:r>
        <w:rPr>
          <w:b/>
        </w:rPr>
        <w:t>Group ID:</w:t>
      </w:r>
      <w:r>
        <w:t xml:space="preserve"> group-69f01aaa1289552c5cf0</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VIRTUAL REALITY AS A STRATEGIC SPORT MARKETING TOOL IN PROFESSIONAL FOOTBALL: EVIDENCE FROM EUROPE AND GREECE — https://doi.org/10.46827/ejmms.v11i2.2215</w:t>
      </w:r>
    </w:p>
    <w:p>
      <w:pPr>
        <w:pStyle w:val="SourceNote"/>
      </w:pPr>
      <w:r>
        <w:rPr>
          <w:b/>
        </w:rPr>
        <w:t>Review status:</w:t>
      </w:r>
      <w:r>
        <w:t xml:space="preserve"> unchecked — group association only; no outcome judgment</w:t>
      </w:r>
    </w:p>
    <w:p>
      <w:pPr>
        <w:pStyle w:val="Heading2"/>
      </w:pPr>
      <w:r>
        <w:t>49. Claim + two later sources: The Conference on the Future of Europe: possible scenarios of the forthcoming European Perestroika</w:t>
      </w:r>
    </w:p>
    <w:p>
      <w:pPr>
        <w:pStyle w:val="SourceNote"/>
      </w:pPr>
      <w:r>
        <w:rPr>
          <w:b/>
        </w:rPr>
        <w:t>Group ID:</w:t>
      </w:r>
      <w:r>
        <w:t xml:space="preserve"> group-54d1bd4ebc942acbbd90</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PROBATION WORK DEVELOPMENT DIRECTIONS IN THE LIGHT OF THE EUROPEAN PROBATION RULES — https://doi.org/10.5604/01.3001.0055.0535</w:t>
      </w:r>
    </w:p>
    <w:p>
      <w:pPr/>
      <w:r>
        <w:rPr>
          <w:b/>
        </w:rPr>
        <w:t>Later source:</w:t>
      </w:r>
      <w:r>
        <w:t xml:space="preserve"> Investigating the heterogeneity within Wild bird indices in Europe — https://doi.org/10.1016/j.biocon.2024.110452</w:t>
      </w:r>
    </w:p>
    <w:p>
      <w:pPr>
        <w:pStyle w:val="SourceNote"/>
      </w:pPr>
      <w:r>
        <w:rPr>
          <w:b/>
        </w:rPr>
        <w:t>Review status:</w:t>
      </w:r>
      <w:r>
        <w:t xml:space="preserve"> unchecked — group association only; no outcome judgment</w:t>
      </w:r>
    </w:p>
    <w:p>
      <w:pPr>
        <w:pStyle w:val="Heading2"/>
      </w:pPr>
      <w:r>
        <w:t>50. Claim + two later sources: The convergence or divergence of labour resources in Poland?</w:t>
      </w:r>
    </w:p>
    <w:p>
      <w:pPr>
        <w:pStyle w:val="SourceNote"/>
      </w:pPr>
      <w:r>
        <w:rPr>
          <w:b/>
        </w:rPr>
        <w:t>Group ID:</w:t>
      </w:r>
      <w:r>
        <w:t xml:space="preserve"> group-1813242ce0b70b0e96a0</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Convergence of Population Structures of the European Union Member States—The Past and the Future — https://doi.org/10.3390/su14021024</w:t>
      </w:r>
    </w:p>
    <w:p>
      <w:pPr>
        <w:pStyle w:val="SourceNote"/>
      </w:pPr>
      <w:r>
        <w:rPr>
          <w:b/>
        </w:rPr>
        <w:t>Review status:</w:t>
      </w:r>
      <w:r>
        <w:t xml:space="preserve"> unchecked — group association only; no outcome judgment</w:t>
      </w:r>
    </w:p>
    <w:p>
      <w:pPr>
        <w:pStyle w:val="Heading2"/>
      </w:pPr>
      <w:r>
        <w:t>51. Claim + two later sources: Current situation and future prospects for beef production in Europe — A review</w:t>
      </w:r>
    </w:p>
    <w:p>
      <w:pPr>
        <w:pStyle w:val="SourceNote"/>
      </w:pPr>
      <w:r>
        <w:rPr>
          <w:b/>
        </w:rPr>
        <w:t>Group ID:</w:t>
      </w:r>
      <w:r>
        <w:t xml:space="preserve"> group-cbacdd88ce9eb3116b32</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Industry 5.0 in the European Union — https://doi.org/10.1201/9781003785590</w:t>
      </w:r>
    </w:p>
    <w:p>
      <w:pPr/>
      <w:r>
        <w:rPr>
          <w:b/>
        </w:rPr>
        <w:t>Later source:</w:t>
      </w:r>
      <w:r>
        <w:t xml:space="preserve"> AGGLOMERATION, NETWORKS &amp; INSTITUTIONAL SUPPORT IN THE INNOVATIVE EUROPEAN AEROSPACE INDUSTRY — https://doi.org/10.31732/2663-2209-2025-80-225-234</w:t>
      </w:r>
    </w:p>
    <w:p>
      <w:pPr>
        <w:pStyle w:val="SourceNote"/>
      </w:pPr>
      <w:r>
        <w:rPr>
          <w:b/>
        </w:rPr>
        <w:t>Review status:</w:t>
      </w:r>
      <w:r>
        <w:t xml:space="preserve"> unchecked — group association only; no outcome judgment</w:t>
      </w:r>
    </w:p>
    <w:p>
      <w:pPr>
        <w:pStyle w:val="Heading2"/>
      </w:pPr>
      <w:r>
        <w:t>52. Claim + two later sources: EU land use futures: modelling food, bioenergy and carbon dynamics</w:t>
      </w:r>
    </w:p>
    <w:p>
      <w:pPr>
        <w:pStyle w:val="SourceNote"/>
      </w:pPr>
      <w:r>
        <w:rPr>
          <w:b/>
        </w:rPr>
        <w:t>Group ID:</w:t>
      </w:r>
      <w:r>
        <w:t xml:space="preserve"> group-a503251dd36ae16c11dd</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Sowing the seeds of change: unveiling farmer types to promote climate-smart agriculture adoption in Europe — https://doi.org/10.1016/j.jrurstud.2026.104043</w:t>
      </w:r>
    </w:p>
    <w:p>
      <w:pPr/>
      <w:r>
        <w:rPr>
          <w:b/>
        </w:rPr>
        <w:t>Later source:</w:t>
      </w:r>
      <w:r>
        <w:t xml:space="preserve"> European runoff drought event types: From historical classification to projected future changes — https://doi.org/10.5194/egusphere-2026-973</w:t>
      </w:r>
    </w:p>
    <w:p>
      <w:pPr>
        <w:pStyle w:val="SourceNote"/>
      </w:pPr>
      <w:r>
        <w:rPr>
          <w:b/>
        </w:rPr>
        <w:t>Review status:</w:t>
      </w:r>
      <w:r>
        <w:t xml:space="preserve"> unchecked — group association only; no outcome judgment</w:t>
      </w:r>
    </w:p>
    <w:p>
      <w:pPr>
        <w:pStyle w:val="Heading2"/>
      </w:pPr>
      <w:r>
        <w:t>53. Claim + two later sources: Forecasting the Diffusion of Gigabit Home Networking In Europe</w:t>
      </w:r>
    </w:p>
    <w:p>
      <w:pPr>
        <w:pStyle w:val="SourceNote"/>
      </w:pPr>
      <w:r>
        <w:rPr>
          <w:b/>
        </w:rPr>
        <w:t>Group ID:</w:t>
      </w:r>
      <w:r>
        <w:t xml:space="preserve"> group-229f60e770b3742548fd</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Stakeholder perspectives to improve risk management in European farming systems — https://doi.org/10.1016/j.jrurstud.2021.04.004</w:t>
      </w:r>
    </w:p>
    <w:p>
      <w:pPr>
        <w:pStyle w:val="SourceNote"/>
      </w:pPr>
      <w:r>
        <w:rPr>
          <w:b/>
        </w:rPr>
        <w:t>Review status:</w:t>
      </w:r>
      <w:r>
        <w:t xml:space="preserve"> unchecked — group association only; no outcome judgment</w:t>
      </w:r>
    </w:p>
    <w:p>
      <w:pPr>
        <w:pStyle w:val="Heading2"/>
      </w:pPr>
      <w:r>
        <w:t>54. Claim + two later sources: Using scenarios to assess the future supply of NHS nursing staff in England</w:t>
      </w:r>
    </w:p>
    <w:p>
      <w:pPr>
        <w:pStyle w:val="SourceNote"/>
      </w:pPr>
      <w:r>
        <w:rPr>
          <w:b/>
        </w:rPr>
        <w:t>Group ID:</w:t>
      </w:r>
      <w:r>
        <w:t xml:space="preserve"> group-fa374c6b85ef7270acb2</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LIBS diagnostics of Be-based samples with different gas impurities — https://doi.org/10.1063/5.0205561</w:t>
      </w:r>
    </w:p>
    <w:p>
      <w:pPr/>
      <w:r>
        <w:rPr>
          <w:b/>
        </w:rPr>
        <w:t>Later source:</w:t>
      </w:r>
      <w:r>
        <w:t xml:space="preserve"> Of Important — https://doi.org/10.5281/zenodo.19677536</w:t>
      </w:r>
    </w:p>
    <w:p>
      <w:pPr>
        <w:pStyle w:val="SourceNote"/>
      </w:pPr>
      <w:r>
        <w:rPr>
          <w:b/>
        </w:rPr>
        <w:t>Review status:</w:t>
      </w:r>
      <w:r>
        <w:t xml:space="preserve"> unchecked — group association only; no outcome judgment</w:t>
      </w:r>
    </w:p>
    <w:p>
      <w:pPr>
        <w:pStyle w:val="Heading2"/>
      </w:pPr>
      <w:r>
        <w:t>55. Claim + two later sources: New system of employment forecasting in Poland</w:t>
      </w:r>
    </w:p>
    <w:p>
      <w:pPr>
        <w:pStyle w:val="SourceNote"/>
      </w:pPr>
      <w:r>
        <w:rPr>
          <w:b/>
        </w:rPr>
        <w:t>Group ID:</w:t>
      </w:r>
      <w:r>
        <w:t xml:space="preserve"> group-2d0f65c1b4b1686aa16f</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Medical Brain Drain From Southeastern Europe: Using Digital Demography to Forecast Health Worker Emigration — https://doi.org/10.2196/30831</w:t>
      </w:r>
    </w:p>
    <w:p>
      <w:pPr/>
      <w:r>
        <w:rPr>
          <w:b/>
        </w:rPr>
        <w:t>Later source:</w:t>
      </w:r>
      <w:r>
        <w:t xml:space="preserve"> Summer drought predictability over Europe: empirical versus dynamical forecasts — https://doi.org/10.1088/1748-9326/aa7859</w:t>
      </w:r>
    </w:p>
    <w:p>
      <w:pPr>
        <w:pStyle w:val="SourceNote"/>
      </w:pPr>
      <w:r>
        <w:rPr>
          <w:b/>
        </w:rPr>
        <w:t>Review status:</w:t>
      </w:r>
      <w:r>
        <w:t xml:space="preserve"> unchecked — group association only; no outcome judgment</w:t>
      </w:r>
    </w:p>
    <w:p>
      <w:pPr>
        <w:pStyle w:val="Heading2"/>
      </w:pPr>
      <w:r>
        <w:t>56.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group association only; no outcome judgment</w:t>
      </w:r>
    </w:p>
    <w:p>
      <w:pPr>
        <w:pStyle w:val="Heading2"/>
      </w:pPr>
      <w:r>
        <w:t>57. Claim + two later sources: Modeling the climatic suitability of leishmaniasis vector species in Europe</w:t>
      </w:r>
    </w:p>
    <w:p>
      <w:pPr>
        <w:pStyle w:val="SourceNote"/>
      </w:pPr>
      <w:r>
        <w:rPr>
          <w:b/>
        </w:rPr>
        <w:t>Group ID:</w:t>
      </w:r>
      <w:r>
        <w:t xml:space="preserve"> group-53fba9ef8484608b8468</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Ash dieback and hydrology affect tree growth patterns under climate change in European floodplain forests — https://doi.org/10.1038/s41598-025-92079-5</w:t>
      </w:r>
    </w:p>
    <w:p>
      <w:pPr/>
      <w:r>
        <w:rPr>
          <w:b/>
        </w:rPr>
        <w:t>Later source:</w:t>
      </w:r>
      <w:r>
        <w:t xml:space="preserve"> How will climate change affect future European forest productivity by year 2100?: analysis of European species — https://openalex.org/W7138825369</w:t>
      </w:r>
    </w:p>
    <w:p>
      <w:pPr>
        <w:pStyle w:val="SourceNote"/>
      </w:pPr>
      <w:r>
        <w:rPr>
          <w:b/>
        </w:rPr>
        <w:t>Review status:</w:t>
      </w:r>
      <w:r>
        <w:t xml:space="preserve"> unchecked — group association only; no outcome judgment</w:t>
      </w:r>
    </w:p>
    <w:p>
      <w:pPr>
        <w:pStyle w:val="Heading2"/>
      </w:pPr>
      <w:r>
        <w:t>58. Claim + two later sources: Baltic herring for food: Shades of grey in how backcasting recommendations work across exploratory scenarios</w:t>
      </w:r>
    </w:p>
    <w:p>
      <w:pPr>
        <w:pStyle w:val="SourceNote"/>
      </w:pPr>
      <w:r>
        <w:rPr>
          <w:b/>
        </w:rPr>
        <w:t>Group ID:</w:t>
      </w:r>
      <w:r>
        <w:t xml:space="preserve"> group-0e3247853a5dbc1ea984</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Adherence to dietary recommendations and the risk of developing giant cell arteritis: A nested Case-Control study — https://doi.org/10.1016/j.semarthrit.2026.153003</w:t>
      </w:r>
    </w:p>
    <w:p>
      <w:pPr/>
      <w:r>
        <w:rPr>
          <w:b/>
        </w:rPr>
        <w:t>Later source:</w:t>
      </w:r>
      <w:r>
        <w:t xml:space="preserve"> Emission factors for motorcycles in developing countries: insights and recommendations from a Colombian case study — https://doi.org/10.3389/frsc.2026.1730395</w:t>
      </w:r>
    </w:p>
    <w:p>
      <w:pPr>
        <w:pStyle w:val="SourceNote"/>
      </w:pPr>
      <w:r>
        <w:rPr>
          <w:b/>
        </w:rPr>
        <w:t>Review status:</w:t>
      </w:r>
      <w:r>
        <w:t xml:space="preserve"> unchecked — group association only; no outcome judgment</w:t>
      </w:r>
    </w:p>
    <w:p>
      <w:pPr>
        <w:pStyle w:val="Heading2"/>
      </w:pPr>
      <w:r>
        <w:t>59. Claim + two later sources: The EU climate and energy policy: what about the new targets for 2030?</w:t>
      </w:r>
    </w:p>
    <w:p>
      <w:pPr>
        <w:pStyle w:val="SourceNote"/>
      </w:pPr>
      <w:r>
        <w:rPr>
          <w:b/>
        </w:rPr>
        <w:t>Group ID:</w:t>
      </w:r>
      <w:r>
        <w:t xml:space="preserve"> group-fb0bece387c9942302c2</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European energy vision 2050 and beyond: Designing scenarios for Europe’s energy transition — https://doi.org/10.1016/j.rser.2025.116074</w:t>
      </w:r>
    </w:p>
    <w:p>
      <w:pPr/>
      <w:r>
        <w:rPr>
          <w:b/>
        </w:rPr>
        <w:t>Later source:</w:t>
      </w:r>
      <w:r>
        <w:t xml:space="preserve"> Primary Energy Factors for Electricity Production in Europe — https://doi.org/10.3390/en16010093</w:t>
      </w:r>
    </w:p>
    <w:p>
      <w:pPr>
        <w:pStyle w:val="SourceNote"/>
      </w:pPr>
      <w:r>
        <w:rPr>
          <w:b/>
        </w:rPr>
        <w:t>Review status:</w:t>
      </w:r>
      <w:r>
        <w:t xml:space="preserve"> unchecked — group association only; no outcome judgment</w:t>
      </w:r>
    </w:p>
    <w:p>
      <w:pPr>
        <w:pStyle w:val="Heading2"/>
      </w:pPr>
      <w:r>
        <w:t>60.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group association only; no outcome judgment</w:t>
      </w:r>
    </w:p>
    <w:p>
      <w:pPr>
        <w:pStyle w:val="Heading2"/>
      </w:pPr>
      <w:r>
        <w:t>61.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group-1f61b5d6f4f7012d3240</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r>
        <w:rPr>
          <w:b/>
        </w:rPr>
        <w:t>Later source:</w:t>
      </w:r>
      <w:r>
        <w:t xml:space="preserve"> Servitising rural heritage: Social innovation and the social economy in peripheral Europe — https://doi.org/10.24136/eq.4292</w:t>
      </w:r>
    </w:p>
    <w:p>
      <w:pPr>
        <w:pStyle w:val="SourceNote"/>
      </w:pPr>
      <w:r>
        <w:rPr>
          <w:b/>
        </w:rPr>
        <w:t>Review status:</w:t>
      </w:r>
      <w:r>
        <w:t xml:space="preserve"> unchecked — group association only; no outcome judgment</w:t>
      </w:r>
    </w:p>
    <w:p>
      <w:pPr>
        <w:pStyle w:val="Heading2"/>
      </w:pPr>
      <w:r>
        <w:t>62. Claim + two later sources: Ensemble flood risk assessment in Europe under high end climate scenarios</w:t>
      </w:r>
    </w:p>
    <w:p>
      <w:pPr>
        <w:pStyle w:val="SourceNote"/>
      </w:pPr>
      <w:r>
        <w:rPr>
          <w:b/>
        </w:rPr>
        <w:t>Group ID:</w:t>
      </w:r>
      <w:r>
        <w:t xml:space="preserve"> group-1d719814bf38c72d97ca</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Working in (Slow) Progress: Socio-Environmental and Economic Dynamics in the Forestry Sector and the Contribution to Sustainable Development in Europe — https://doi.org/10.3390/su151310271</w:t>
      </w:r>
    </w:p>
    <w:p>
      <w:pPr/>
      <w:r>
        <w:rPr>
          <w:b/>
        </w:rPr>
        <w:t>Later source:</w:t>
      </w:r>
      <w:r>
        <w:t xml:space="preserve"> Harnessing on the potential of migrants in the socio-economic development of the Republic of Moldova — https://doi.org/10.53486/2537-6179.9-1.01</w:t>
      </w:r>
    </w:p>
    <w:p>
      <w:pPr>
        <w:pStyle w:val="SourceNote"/>
      </w:pPr>
      <w:r>
        <w:rPr>
          <w:b/>
        </w:rPr>
        <w:t>Review status:</w:t>
      </w:r>
      <w:r>
        <w:t xml:space="preserve"> unchecked — group association only; no outcome judgment</w:t>
      </w:r>
    </w:p>
    <w:p>
      <w:pPr>
        <w:pStyle w:val="Heading2"/>
      </w:pPr>
      <w:r>
        <w:t>63. Claim + two later sources: Environmental impacts of household appliances in Europe and scenarios for their impact reduction</w:t>
      </w:r>
    </w:p>
    <w:p>
      <w:pPr>
        <w:pStyle w:val="SourceNote"/>
      </w:pPr>
      <w:r>
        <w:rPr>
          <w:b/>
        </w:rPr>
        <w:t>Group ID:</w:t>
      </w:r>
      <w:r>
        <w:t xml:space="preserve"> group-31014abf017df2a25ab1</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Eco-innovation performance in the European Union economies: Perspective on outcomes — https://doi.org/10.15678/ier.2024.1003.02</w:t>
      </w:r>
    </w:p>
    <w:p>
      <w:pPr/>
      <w:r>
        <w:rPr>
          <w:b/>
        </w:rPr>
        <w:t>Later source:</w:t>
      </w:r>
      <w:r>
        <w:t xml:space="preserve"> Nature-Based Solutions in Coastal and Estuarine Areas of Europe — https://doi.org/10.3389/fenvs.2022.829526</w:t>
      </w:r>
    </w:p>
    <w:p>
      <w:pPr>
        <w:pStyle w:val="SourceNote"/>
      </w:pPr>
      <w:r>
        <w:rPr>
          <w:b/>
        </w:rPr>
        <w:t>Review status:</w:t>
      </w:r>
      <w:r>
        <w:t xml:space="preserve"> unchecked — group association only; no outcome judgment</w:t>
      </w:r>
    </w:p>
    <w:p>
      <w:pPr>
        <w:pStyle w:val="Heading2"/>
      </w:pPr>
      <w:r>
        <w:t>64. Claim + two later sources: Future export markets of industrial wood construction – A qualitative backcasting study</w:t>
      </w:r>
    </w:p>
    <w:p>
      <w:pPr>
        <w:pStyle w:val="SourceNote"/>
      </w:pPr>
      <w:r>
        <w:rPr>
          <w:b/>
        </w:rPr>
        <w:t>Group ID:</w:t>
      </w:r>
      <w:r>
        <w:t xml:space="preserve"> group-9cf643db67921134f9af</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Identifying directions for improving the regulation of the circulation of high-technology innovations in the European Union — https://doi.org/10.15587/1729-4061.2026.362257</w:t>
      </w:r>
    </w:p>
    <w:p>
      <w:pPr>
        <w:pStyle w:val="SourceNote"/>
      </w:pPr>
      <w:r>
        <w:rPr>
          <w:b/>
        </w:rPr>
        <w:t>Review status:</w:t>
      </w:r>
      <w:r>
        <w:t xml:space="preserve"> unchecked — group association only; no outcome judgment</w:t>
      </w:r>
    </w:p>
    <w:p>
      <w:pPr>
        <w:pStyle w:val="Heading2"/>
      </w:pPr>
      <w:r>
        <w:t>65. Claim + two later sources: The implications of demographic and economic projections on public pension spending in the European Union</w:t>
      </w:r>
    </w:p>
    <w:p>
      <w:pPr>
        <w:pStyle w:val="SourceNote"/>
      </w:pPr>
      <w:r>
        <w:rPr>
          <w:b/>
        </w:rPr>
        <w:t>Group ID:</w:t>
      </w:r>
      <w:r>
        <w:t xml:space="preserve"> group-12d744b3ed8f9e50732a</w:t>
      </w:r>
    </w:p>
    <w:p>
      <w:pPr>
        <w:pStyle w:val="SourceNote"/>
      </w:pPr>
      <w:r>
        <w:rPr>
          <w:b/>
        </w:rPr>
        <w:t>Original source:</w:t>
      </w:r>
      <w:r>
        <w:t xml:space="preserve"> https://doi.org/10.1080/21699763.2017.1411288</w:t>
      </w:r>
    </w:p>
    <w:p>
      <w:pPr/>
      <w:r>
        <w:rPr>
          <w:b/>
        </w:rPr>
        <w:t>Original future claim:</w:t>
      </w:r>
      <w:r>
        <w:t xml:space="preserve">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Australia-European Union Free Trade Agreement negotiations conclude: implications for Australian and EU geographical indications — https://doi.org/10.1093/jiplp/jpag079</w:t>
      </w:r>
    </w:p>
    <w:p>
      <w:pPr/>
      <w:r>
        <w:rPr>
          <w:b/>
        </w:rPr>
        <w:t>Later source:</w:t>
      </w:r>
      <w:r>
        <w:t xml:space="preserve"> Deprivations Rarely Come Alone. Multidimensional Poverty Dynamics in Europe — https://doi.org/10.1111/roiw.70031</w:t>
      </w:r>
    </w:p>
    <w:p>
      <w:pPr>
        <w:pStyle w:val="SourceNote"/>
      </w:pPr>
      <w:r>
        <w:rPr>
          <w:b/>
        </w:rPr>
        <w:t>Review status:</w:t>
      </w:r>
      <w:r>
        <w:t xml:space="preserve"> unchecked — group association only; no outcome judgment</w:t>
      </w:r>
    </w:p>
    <w:p>
      <w:pPr>
        <w:pStyle w:val="Heading2"/>
      </w:pPr>
      <w:r>
        <w:t>66. Claim + two later sources: Actual and potential development of consumer demand on the organic food market in Europe</w:t>
      </w:r>
    </w:p>
    <w:p>
      <w:pPr>
        <w:pStyle w:val="SourceNote"/>
      </w:pPr>
      <w:r>
        <w:rPr>
          <w:b/>
        </w:rPr>
        <w:t>Group ID:</w:t>
      </w:r>
      <w:r>
        <w:t xml:space="preserve"> group-cf1a724cef2bbecd4a87</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Future area expansion outweighs increasing drought risk for soybean in Europe — https://doi.org/10.1111/gcb.16562</w:t>
      </w:r>
    </w:p>
    <w:p>
      <w:pPr/>
      <w:r>
        <w:rPr>
          <w:b/>
        </w:rPr>
        <w:t>Later source:</w:t>
      </w:r>
      <w:r>
        <w:t xml:space="preserve"> Stam Portugal and its expansion through Europe — https://openalex.org/W2971433702</w:t>
      </w:r>
    </w:p>
    <w:p>
      <w:pPr>
        <w:pStyle w:val="SourceNote"/>
      </w:pPr>
      <w:r>
        <w:rPr>
          <w:b/>
        </w:rPr>
        <w:t>Review status:</w:t>
      </w:r>
      <w:r>
        <w:t xml:space="preserve"> unchecked — group association only; no outcome judgment</w:t>
      </w:r>
    </w:p>
    <w:p>
      <w:pPr>
        <w:pStyle w:val="Heading2"/>
      </w:pPr>
      <w:r>
        <w:t>67. Claim + two later sources: Advancing tools to promote health equity across European Union regions: the EURO-HEALTHY project</w:t>
      </w:r>
    </w:p>
    <w:p>
      <w:pPr>
        <w:pStyle w:val="SourceNote"/>
      </w:pPr>
      <w:r>
        <w:rPr>
          <w:b/>
        </w:rPr>
        <w:t>Group ID:</w:t>
      </w:r>
      <w:r>
        <w:t xml:space="preserve"> group-3a8d42448ca9aa223c7a</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European cloud computing policy: failing in Europe to succeed nationally? — https://doi.org/10.1080/01402382.2025.2491962</w:t>
      </w:r>
    </w:p>
    <w:p>
      <w:pPr>
        <w:pStyle w:val="SourceNote"/>
      </w:pPr>
      <w:r>
        <w:rPr>
          <w:b/>
        </w:rPr>
        <w:t>Review status:</w:t>
      </w:r>
      <w:r>
        <w:t xml:space="preserve"> unchecked — group association only; no outcome judgment</w:t>
      </w:r>
    </w:p>
    <w:p>
      <w:pPr>
        <w:pStyle w:val="Heading2"/>
      </w:pPr>
      <w:r>
        <w:t>68. Claim + two later sources: The Current Picture of the Transition to a Green Economy in the EU—Trends in Climate and Energy Policy versus State Security</w:t>
      </w:r>
    </w:p>
    <w:p>
      <w:pPr>
        <w:pStyle w:val="SourceNote"/>
      </w:pPr>
      <w:r>
        <w:rPr>
          <w:b/>
        </w:rPr>
        <w:t>Group ID:</w:t>
      </w:r>
      <w:r>
        <w:t xml:space="preserve"> group-af3cec9c327a34583098</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The Communion of Protestant Churches in Europe and European integration — https://doi.org/10.31261/ssht.2025.58.1.05</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group association only; no outcome judgment</w:t>
      </w:r>
    </w:p>
    <w:p>
      <w:pPr>
        <w:pStyle w:val="Heading2"/>
      </w:pPr>
      <w:r>
        <w:t>69. Claim + two later sources: The European Union and Africa towards 2030: perspectives from transnational civil society organisations</w:t>
      </w:r>
    </w:p>
    <w:p>
      <w:pPr>
        <w:pStyle w:val="SourceNote"/>
      </w:pPr>
      <w:r>
        <w:rPr>
          <w:b/>
        </w:rPr>
        <w:t>Group ID:</w:t>
      </w:r>
      <w:r>
        <w:t xml:space="preserve"> group-7186f9abcb27a5c48c7d</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Map and Track the Performance in Education for Sustainable Development across the European Union — https://doi.org/10.3390/su132313185</w:t>
      </w:r>
    </w:p>
    <w:p>
      <w:pPr/>
      <w:r>
        <w:rPr>
          <w:b/>
        </w:rPr>
        <w:t>Later source:</w:t>
      </w:r>
      <w:r>
        <w:t xml:space="preserve"> In Search of a Global Approach to Air Pollution: Some Legal Reflections on the Role of the SDGs — https://doi.org/10.1177/18785395261435146</w:t>
      </w:r>
    </w:p>
    <w:p>
      <w:pPr>
        <w:pStyle w:val="SourceNote"/>
      </w:pPr>
      <w:r>
        <w:rPr>
          <w:b/>
        </w:rPr>
        <w:t>Review status:</w:t>
      </w:r>
      <w:r>
        <w:t xml:space="preserve"> unchecked — group association only; no outcome judgment</w:t>
      </w:r>
    </w:p>
    <w:p>
      <w:pPr>
        <w:pStyle w:val="Heading2"/>
      </w:pPr>
      <w:r>
        <w:t>70. Claim + two later sources: European cephalopods distribution under climate-change scenarios</w:t>
      </w:r>
    </w:p>
    <w:p>
      <w:pPr>
        <w:pStyle w:val="SourceNote"/>
      </w:pPr>
      <w:r>
        <w:rPr>
          <w:b/>
        </w:rPr>
        <w:t>Group ID:</w:t>
      </w:r>
      <w:r>
        <w:t xml:space="preserve"> group-9ab1ad1243f8e3380145</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Arterial hypertension–attributable mortality in Europe: implications for the Americas — https://doi.org/10.1097/hjh.0000000000004190</w:t>
      </w:r>
    </w:p>
    <w:p>
      <w:pPr/>
      <w:r>
        <w:rPr>
          <w:b/>
        </w:rPr>
        <w:t>Later source:</w:t>
      </w:r>
      <w:r>
        <w:t xml:space="preserve"> Understanding and addressing shortfalls in European wild bee data — https://doi.org/10.1016/j.biocon.2024.110455</w:t>
      </w:r>
    </w:p>
    <w:p>
      <w:pPr>
        <w:pStyle w:val="SourceNote"/>
      </w:pPr>
      <w:r>
        <w:rPr>
          <w:b/>
        </w:rPr>
        <w:t>Review status:</w:t>
      </w:r>
      <w:r>
        <w:t xml:space="preserve"> unchecked — group association only; no outcome judgment</w:t>
      </w:r>
    </w:p>
    <w:p>
      <w:pPr>
        <w:pStyle w:val="Heading2"/>
      </w:pPr>
      <w:r>
        <w:t>71. Claim + two later sources: A forecast of international migration flows into EU countries until 2050</w:t>
      </w:r>
    </w:p>
    <w:p>
      <w:pPr>
        <w:pStyle w:val="SourceNote"/>
      </w:pPr>
      <w:r>
        <w:rPr>
          <w:b/>
        </w:rPr>
        <w:t>Group ID:</w:t>
      </w:r>
      <w:r>
        <w:t xml:space="preserve"> group-29d3e3574dc2dd9997cd</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Data Sources for International Migration in Europe: Categories, Definitions and Policy Uses — https://openalex.org/W7123388283</w:t>
      </w:r>
    </w:p>
    <w:p>
      <w:pPr/>
      <w:r>
        <w:rPr>
          <w:b/>
        </w:rPr>
        <w:t>Later source:</w:t>
      </w:r>
      <w:r>
        <w:t xml:space="preserve"> Estimating migration and mortality rates for European sea bass ( Dicentrarchus labrax ) using electronic tagging data — https://doi.org/10.1093/icesjms/fsag043</w:t>
      </w:r>
    </w:p>
    <w:p>
      <w:pPr>
        <w:pStyle w:val="SourceNote"/>
      </w:pPr>
      <w:r>
        <w:rPr>
          <w:b/>
        </w:rPr>
        <w:t>Review status:</w:t>
      </w:r>
      <w:r>
        <w:t xml:space="preserve"> unchecked — group association only; no outcome judgment</w:t>
      </w:r>
    </w:p>
    <w:p>
      <w:pPr>
        <w:pStyle w:val="Heading2"/>
      </w:pPr>
      <w:r>
        <w:t>72. Claim + two later sources: How much can societal turning points affect forecasts’ accuracy in Europe? Case of post-communistic transformation in Slovakia and the Czech Republic</w:t>
      </w:r>
    </w:p>
    <w:p>
      <w:pPr>
        <w:pStyle w:val="SourceNote"/>
      </w:pPr>
      <w:r>
        <w:rPr>
          <w:b/>
        </w:rPr>
        <w:t>Group ID:</w:t>
      </w:r>
      <w:r>
        <w:t xml:space="preserve"> group-676c879cc7b0b929c888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Ecospirituality in French-Speaking Europe: Linking Ecological Thought with Alternative Spirituality — https://doi.org/10.3390/rel14040510</w:t>
      </w:r>
    </w:p>
    <w:p>
      <w:pPr/>
      <w:r>
        <w:rPr>
          <w:b/>
        </w:rPr>
        <w:t>Later source:</w:t>
      </w:r>
      <w:r>
        <w:t xml:space="preserve"> Temporal PROMETHEE II — New multi-criteria approach to sustainable management of alternative fuels consumption — https://doi.org/10.1016/j.jclepro.2023.137445</w:t>
      </w:r>
    </w:p>
    <w:p>
      <w:pPr>
        <w:pStyle w:val="SourceNote"/>
      </w:pPr>
      <w:r>
        <w:rPr>
          <w:b/>
        </w:rPr>
        <w:t>Review status:</w:t>
      </w:r>
      <w:r>
        <w:t xml:space="preserve"> unchecked — group association only; no outcome judgment</w:t>
      </w:r>
    </w:p>
    <w:p>
      <w:pPr>
        <w:pStyle w:val="Heading2"/>
      </w:pPr>
      <w:r>
        <w:t>73. Claim + two later sources: Macro Study of Global Electric Vehicle Expansion</w:t>
      </w:r>
    </w:p>
    <w:p>
      <w:pPr>
        <w:pStyle w:val="SourceNote"/>
      </w:pPr>
      <w:r>
        <w:rPr>
          <w:b/>
        </w:rPr>
        <w:t>Group ID:</w:t>
      </w:r>
      <w:r>
        <w:t xml:space="preserve"> group-a1f7a08080f4c507d7df</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Global trends in electric vehicle adoption and the impact of environmental awareness, user attributes, and barriers — https://doi.org/10.1016/j.egyr.2024.12.054</w:t>
      </w:r>
    </w:p>
    <w:p>
      <w:pPr/>
      <w:r>
        <w:rPr>
          <w:b/>
        </w:rPr>
        <w:t>Later source:</w:t>
      </w:r>
      <w:r>
        <w:t xml:space="preserve"> What has driven the adoption of BEV and PHEV in the EU? — https://doi.org/10.1016/j.rtbm.2025.101331</w:t>
      </w:r>
    </w:p>
    <w:p>
      <w:pPr>
        <w:pStyle w:val="SourceNote"/>
      </w:pPr>
      <w:r>
        <w:rPr>
          <w:b/>
        </w:rPr>
        <w:t>Review status:</w:t>
      </w:r>
      <w:r>
        <w:t xml:space="preserve"> unchecked — group association only; no outcome judgment</w:t>
      </w:r>
    </w:p>
    <w:p>
      <w:pPr>
        <w:pStyle w:val="Heading2"/>
      </w:pPr>
      <w:r>
        <w:t>74. Claim + two later sources: The future of direct payments system in the EU agriculture; European Commission scenarios</w:t>
      </w:r>
    </w:p>
    <w:p>
      <w:pPr>
        <w:pStyle w:val="SourceNote"/>
      </w:pPr>
      <w:r>
        <w:rPr>
          <w:b/>
        </w:rPr>
        <w:t>Group ID:</w:t>
      </w:r>
      <w:r>
        <w:t xml:space="preserve"> group-9bb69da1d2f35ecd40bd</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Disinformation regarding COVID-19 in light of the priorities of the European Commission and the legal regulations binding and currently drafted in Poland — https://doi.org/10.31743/recl.13539</w:t>
      </w:r>
    </w:p>
    <w:p>
      <w:pPr/>
      <w:r>
        <w:rPr>
          <w:b/>
        </w:rPr>
        <w:t>Later source:</w:t>
      </w:r>
      <w:r>
        <w:t xml:space="preserve"> Judicial coherence in the current European patent system — https://doi.org/10.4337/9781800880078.00009</w:t>
      </w:r>
    </w:p>
    <w:p>
      <w:pPr>
        <w:pStyle w:val="SourceNote"/>
      </w:pPr>
      <w:r>
        <w:rPr>
          <w:b/>
        </w:rPr>
        <w:t>Review status:</w:t>
      </w:r>
      <w:r>
        <w:t xml:space="preserve"> unchecked — group association only; no outcome judgment</w:t>
      </w:r>
    </w:p>
    <w:p>
      <w:pPr>
        <w:pStyle w:val="Heading2"/>
      </w:pPr>
      <w:r>
        <w:t>75. Claim + two later sources: Impacts of Scaling up Agroecology on the Sustainability of European Agriculture in 2050</w:t>
      </w:r>
    </w:p>
    <w:p>
      <w:pPr>
        <w:pStyle w:val="SourceNote"/>
      </w:pPr>
      <w:r>
        <w:rPr>
          <w:b/>
        </w:rPr>
        <w:t>Group ID:</w:t>
      </w:r>
      <w:r>
        <w:t xml:space="preserve"> group-72b7215725bf7e53176c</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Environmental and socio-economic effects of construction and demolition waste recycling in the European Union — https://doi.org/10.1016/j.scitotenv.2023.168295</w:t>
      </w:r>
    </w:p>
    <w:p>
      <w:pPr>
        <w:pStyle w:val="SourceNote"/>
      </w:pPr>
      <w:r>
        <w:rPr>
          <w:b/>
        </w:rPr>
        <w:t>Review status:</w:t>
      </w:r>
      <w:r>
        <w:t xml:space="preserve"> unchecked — group association only; no outcome judgment</w:t>
      </w:r>
    </w:p>
    <w:p>
      <w:pPr>
        <w:pStyle w:val="Heading2"/>
      </w:pPr>
      <w:r>
        <w:t>76. Claim + two later sources: How to Achieve a Healthier and More Sustainable Europe by 2040 According to the Public? Results of a Five-Country Questionnaire Survey</w:t>
      </w:r>
    </w:p>
    <w:p>
      <w:pPr>
        <w:pStyle w:val="SourceNote"/>
      </w:pPr>
      <w:r>
        <w:rPr>
          <w:b/>
        </w:rPr>
        <w:t>Group ID:</w:t>
      </w:r>
      <w:r>
        <w:t xml:space="preserve"> group-2f5c77fae25c9ca47505</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Power, inclusion and the role of SMEs in European public procurement — https://doi.org/10.1108/jpbafm-06-2025-0169</w:t>
      </w:r>
    </w:p>
    <w:p>
      <w:pPr/>
      <w:r>
        <w:rPr>
          <w:b/>
        </w:rPr>
        <w:t>Later source:</w:t>
      </w:r>
      <w:r>
        <w:t xml:space="preserve"> CONTEMPORARY EUROPEAN CONCEPTS OF PUBLIC ADMINISTRATION IN THE CONTEXT OF DIGITAL TRANSFORMATION AND THEIR LEGAL FRAMEWORK — https://doi.org/10.36690/2674-5216-2025-1-99-109</w:t>
      </w:r>
    </w:p>
    <w:p>
      <w:pPr>
        <w:pStyle w:val="SourceNote"/>
      </w:pPr>
      <w:r>
        <w:rPr>
          <w:b/>
        </w:rPr>
        <w:t>Review status:</w:t>
      </w:r>
      <w:r>
        <w:t xml:space="preserve"> unchecked — group association only; no outcome judgment</w:t>
      </w:r>
    </w:p>
    <w:p>
      <w:pPr>
        <w:pStyle w:val="Heading2"/>
      </w:pPr>
      <w:r>
        <w:t>77. Claim + two later sources: Environmental water quantity projections under market-driven and sustainability-driven future scenarios in the Narew basin, Poland</w:t>
      </w:r>
    </w:p>
    <w:p>
      <w:pPr>
        <w:pStyle w:val="SourceNote"/>
      </w:pPr>
      <w:r>
        <w:rPr>
          <w:b/>
        </w:rPr>
        <w:t>Group ID:</w:t>
      </w:r>
      <w:r>
        <w:t xml:space="preserve"> group-8cd101ebe203541bc49f</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Assessing Current Coastal Subsidence at Continental Scale: Insights From Europe Using the European Ground Motion Service — https://doi.org/10.1029/2024ef004523</w:t>
      </w:r>
    </w:p>
    <w:p>
      <w:pPr>
        <w:pStyle w:val="SourceNote"/>
      </w:pPr>
      <w:r>
        <w:rPr>
          <w:b/>
        </w:rPr>
        <w:t>Review status:</w:t>
      </w:r>
      <w:r>
        <w:t xml:space="preserve"> unchecked — group association only; no outcome judgment</w:t>
      </w:r>
    </w:p>
    <w:p>
      <w:pPr>
        <w:pStyle w:val="Heading2"/>
      </w:pPr>
      <w:r>
        <w:t>78.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group association only; no outcome judgment</w:t>
      </w:r>
    </w:p>
    <w:p>
      <w:pPr>
        <w:pStyle w:val="Heading2"/>
      </w:pPr>
      <w:r>
        <w:t>79. Claim + two later sources: Towards a sustainable European energy system: Linking optimization models with multi-regional input-output analysis</w:t>
      </w:r>
    </w:p>
    <w:p>
      <w:pPr>
        <w:pStyle w:val="SourceNote"/>
      </w:pPr>
      <w:r>
        <w:rPr>
          <w:b/>
        </w:rPr>
        <w:t>Group ID:</w:t>
      </w:r>
      <w:r>
        <w:t xml:space="preserve"> group-4ab0fad9592172abd058</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Analysis of Two-Side Wood Joints Using the European Yield Model (EYM) Method Referring to SNI 7973:2013 — https://doi.org/10.38124/ijisrt/25dec821</w:t>
      </w:r>
    </w:p>
    <w:p>
      <w:pPr/>
      <w:r>
        <w:rPr>
          <w:b/>
        </w:rPr>
        <w:t>Later source:</w:t>
      </w:r>
      <w:r>
        <w:t xml:space="preserve"> Modeling and forecasting the spread of COVID-19 with stochastic and deterministic approaches: Africa and Europe — https://doi.org/10.1186/s13662-021-03213-2</w:t>
      </w:r>
    </w:p>
    <w:p>
      <w:pPr>
        <w:pStyle w:val="SourceNote"/>
      </w:pPr>
      <w:r>
        <w:rPr>
          <w:b/>
        </w:rPr>
        <w:t>Review status:</w:t>
      </w:r>
      <w:r>
        <w:t xml:space="preserve"> unchecked — group association only; no outcome judgment</w:t>
      </w:r>
    </w:p>
    <w:p>
      <w:pPr>
        <w:pStyle w:val="Heading2"/>
      </w:pPr>
      <w:r>
        <w:t>80.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group association only; no outcome judgment</w:t>
      </w:r>
    </w:p>
    <w:p>
      <w:pPr>
        <w:pStyle w:val="Heading2"/>
      </w:pPr>
      <w:r>
        <w:t>81. Claim + two later sources: The feasibility of a European‐wide integrated CO 2 transport network</w:t>
      </w:r>
    </w:p>
    <w:p>
      <w:pPr>
        <w:pStyle w:val="SourceNote"/>
      </w:pPr>
      <w:r>
        <w:rPr>
          <w:b/>
        </w:rPr>
        <w:t>Group ID:</w:t>
      </w:r>
      <w:r>
        <w:t xml:space="preserve"> group-79d2dced0e27fb25132e</w:t>
      </w:r>
    </w:p>
    <w:p>
      <w:pPr>
        <w:pStyle w:val="SourceNote"/>
      </w:pPr>
      <w:r>
        <w:rPr>
          <w:b/>
        </w:rPr>
        <w:t>Original source:</w:t>
      </w:r>
      <w:r>
        <w:t xml:space="preserve"> https://doi.org/10.1002/ghg.1410</w:t>
      </w:r>
    </w:p>
    <w:p>
      <w:pPr/>
      <w:r>
        <w:rPr>
          <w:b/>
        </w:rPr>
        <w:t>Original future claim:</w:t>
      </w:r>
      <w:r>
        <w:t xml:space="preserve">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The Idea of the European Union as a Cosmopolitan Empire: A Critical Assessment — https://doi.org/10.33067/se.1.2025.4</w:t>
      </w:r>
    </w:p>
    <w:p>
      <w:pPr>
        <w:pStyle w:val="SourceNote"/>
      </w:pPr>
      <w:r>
        <w:rPr>
          <w:b/>
        </w:rPr>
        <w:t>Review status:</w:t>
      </w:r>
      <w:r>
        <w:t xml:space="preserve"> unchecked — group association only; no outcome judgment</w:t>
      </w:r>
    </w:p>
    <w:p>
      <w:pPr>
        <w:pStyle w:val="Heading2"/>
      </w:pPr>
      <w:r>
        <w:t>82. Claim + two later sources: The future of financial markets and regulation: what strategy for Europe?</w:t>
      </w:r>
    </w:p>
    <w:p>
      <w:pPr>
        <w:pStyle w:val="SourceNote"/>
      </w:pPr>
      <w:r>
        <w:rPr>
          <w:b/>
        </w:rPr>
        <w:t>Group ID:</w:t>
      </w:r>
      <w:r>
        <w:t xml:space="preserve"> group-5bb8c763fe14bb3a7f71</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On the Interplay of Ownership Patterns, Biodiversity, and Conservation in Past and Present Temperate Forest Landscapes of Europe and North America — https://doi.org/10.1007/s40725-021-00143-w</w:t>
      </w:r>
    </w:p>
    <w:p>
      <w:pPr/>
      <w:r>
        <w:rPr>
          <w:b/>
        </w:rPr>
        <w:t>Later source:</w:t>
      </w:r>
      <w:r>
        <w:t xml:space="preserve"> Building ‘implicit partnerships’? Financial long-term care entitlements in Europe — https://doi.org/10.1007/s11077-020-09403-1</w:t>
      </w:r>
    </w:p>
    <w:p>
      <w:pPr>
        <w:pStyle w:val="SourceNote"/>
      </w:pPr>
      <w:r>
        <w:rPr>
          <w:b/>
        </w:rPr>
        <w:t>Review status:</w:t>
      </w:r>
      <w:r>
        <w:t xml:space="preserve"> unchecked — group association only; no outcome judgment</w:t>
      </w:r>
    </w:p>
    <w:p>
      <w:pPr>
        <w:pStyle w:val="Heading2"/>
      </w:pPr>
      <w:r>
        <w:t>83. Claim + two later sources: Will the real security foresight expert please stand up?</w:t>
      </w:r>
    </w:p>
    <w:p>
      <w:pPr>
        <w:pStyle w:val="SourceNote"/>
      </w:pPr>
      <w:r>
        <w:rPr>
          <w:b/>
        </w:rPr>
        <w:t>Group ID:</w:t>
      </w:r>
      <w:r>
        <w:t xml:space="preserve"> group-be5dde5653b6baa7e2e6</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Language teaching in Europe: A comparative overview of pedagogical, theoretical and decolonial approaches from the region — https://openalex.org/W7208794743</w:t>
      </w:r>
    </w:p>
    <w:p>
      <w:pPr/>
      <w:r>
        <w:rPr>
          <w:b/>
        </w:rPr>
        <w:t>Later source:</w:t>
      </w:r>
      <w:r>
        <w:t xml:space="preserve"> Emergency Regimes in the European Constitutions – A Comparative Overview — https://doi.org/10.1017/err.2025.22</w:t>
      </w:r>
    </w:p>
    <w:p>
      <w:pPr>
        <w:pStyle w:val="SourceNote"/>
      </w:pPr>
      <w:r>
        <w:rPr>
          <w:b/>
        </w:rPr>
        <w:t>Review status:</w:t>
      </w:r>
      <w:r>
        <w:t xml:space="preserve"> unchecked — group association only; no outcome judgment</w:t>
      </w:r>
    </w:p>
    <w:p>
      <w:pPr>
        <w:pStyle w:val="Heading2"/>
      </w:pPr>
      <w:r>
        <w:t>84. Claim + two later sources: The state of democracy in the European Union in scenarios: federation, empire and Europe à la carte</w:t>
      </w:r>
    </w:p>
    <w:p>
      <w:pPr>
        <w:pStyle w:val="SourceNote"/>
      </w:pPr>
      <w:r>
        <w:rPr>
          <w:b/>
        </w:rPr>
        <w:t>Group ID:</w:t>
      </w:r>
      <w:r>
        <w:t xml:space="preserve"> group-f83b34d60b8417f14b9a</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The Communion of Protestant Churches in Europe and European integration — https://doi.org/10.31261/ssht.2025.58.1.05</w:t>
      </w:r>
    </w:p>
    <w:p>
      <w:pPr/>
      <w:r>
        <w:rPr>
          <w:b/>
        </w:rPr>
        <w:t>Later source:</w:t>
      </w:r>
      <w:r>
        <w:t xml:space="preserve"> A Mapping of Textile Waste Recycling Technologies in Europe and Spain — https://doi.org/10.3390/textiles4030022</w:t>
      </w:r>
    </w:p>
    <w:p>
      <w:pPr>
        <w:pStyle w:val="SourceNote"/>
      </w:pPr>
      <w:r>
        <w:rPr>
          <w:b/>
        </w:rPr>
        <w:t>Review status:</w:t>
      </w:r>
      <w:r>
        <w:t xml:space="preserve"> unchecked — group association only; no outcome judgment</w:t>
      </w:r>
    </w:p>
    <w:p>
      <w:pPr>
        <w:pStyle w:val="Heading2"/>
      </w:pPr>
      <w:r>
        <w:t>85. Claim + two later sources: Diverging hydrological drought traits over Europe with global warming</w:t>
      </w:r>
    </w:p>
    <w:p>
      <w:pPr>
        <w:pStyle w:val="SourceNote"/>
      </w:pPr>
      <w:r>
        <w:rPr>
          <w:b/>
        </w:rPr>
        <w:t>Group ID:</w:t>
      </w:r>
      <w:r>
        <w:t xml:space="preserve"> group-2bd5af1c28496cffa6ef</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Future changes in frequency and intensity of meteorological and hydrological droughts in Denmark — https://doi.org/10.5194/egusphere-egu26-5003</w:t>
      </w:r>
    </w:p>
    <w:p>
      <w:pPr/>
      <w:r>
        <w:rPr>
          <w:b/>
        </w:rPr>
        <w:t>Later source:</w:t>
      </w:r>
      <w:r>
        <w:t xml:space="preserve"> Hydrological drought but not flood synchronicity increases over Europe — https://doi.org/10.5194/egusphere-egu26-4770</w:t>
      </w:r>
    </w:p>
    <w:p>
      <w:pPr>
        <w:pStyle w:val="SourceNote"/>
      </w:pPr>
      <w:r>
        <w:rPr>
          <w:b/>
        </w:rPr>
        <w:t>Review status:</w:t>
      </w:r>
      <w:r>
        <w:t xml:space="preserve"> unchecked — group association only; no outcome judgment</w:t>
      </w:r>
    </w:p>
    <w:p>
      <w:pPr>
        <w:pStyle w:val="Heading2"/>
      </w:pPr>
      <w:r>
        <w:t>86. Claim + two later sources: Climate, Energy – and Environment? Reconciliation of EU Environmental Law with the Implementation Realities of EU Climate Law</w:t>
      </w:r>
    </w:p>
    <w:p>
      <w:pPr>
        <w:pStyle w:val="SourceNote"/>
      </w:pPr>
      <w:r>
        <w:rPr>
          <w:b/>
        </w:rPr>
        <w:t>Group ID:</w:t>
      </w:r>
      <w:r>
        <w:t xml:space="preserve"> group-4585bdd3411c67ffa421</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Urban Planning and Environmental Protection in the Mirror of the Case Law of the European Court of Human Rights — https://doi.org/10.14207/ejsd.2026.v15n1p903</w:t>
      </w:r>
    </w:p>
    <w:p>
      <w:pPr/>
      <w:r>
        <w:rPr>
          <w:b/>
        </w:rPr>
        <w:t>Later source:</w:t>
      </w:r>
      <w:r>
        <w:t xml:space="preserve"> Analysis of the institutional arrangement for environmental protection in Georgia — https://doi.org/10.36962/nec21012026-118</w:t>
      </w:r>
    </w:p>
    <w:p>
      <w:pPr>
        <w:pStyle w:val="SourceNote"/>
      </w:pPr>
      <w:r>
        <w:rPr>
          <w:b/>
        </w:rPr>
        <w:t>Review status:</w:t>
      </w:r>
      <w:r>
        <w:t xml:space="preserve"> unchecked — group association only; no outcome judgment</w:t>
      </w:r>
    </w:p>
    <w:p>
      <w:pPr>
        <w:pStyle w:val="Heading2"/>
      </w:pPr>
      <w:r>
        <w:t>87. Claim + two later sources: Population aging, migration, and productivity in Europe</w:t>
      </w:r>
    </w:p>
    <w:p>
      <w:pPr>
        <w:pStyle w:val="SourceNote"/>
      </w:pPr>
      <w:r>
        <w:rPr>
          <w:b/>
        </w:rPr>
        <w:t>Group ID:</w:t>
      </w:r>
      <w:r>
        <w:t xml:space="preserve"> group-8fc22b974ddb9e1f1064</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Policies of Plastic Use in European Countries — https://doi.org/10.1201/9781003387862-3</w:t>
      </w:r>
    </w:p>
    <w:p>
      <w:pPr/>
      <w:r>
        <w:rPr>
          <w:b/>
        </w:rPr>
        <w:t>Later source:</w:t>
      </w:r>
      <w:r>
        <w:t xml:space="preserve"> The value of national defense: Assessing public preferences for defense policy options — https://doi.org/10.1016/j.ejpoleco.2024.102595</w:t>
      </w:r>
    </w:p>
    <w:p>
      <w:pPr>
        <w:pStyle w:val="SourceNote"/>
      </w:pPr>
      <w:r>
        <w:rPr>
          <w:b/>
        </w:rPr>
        <w:t>Review status:</w:t>
      </w:r>
      <w:r>
        <w:t xml:space="preserve"> unchecked — group association only; no outcome judgment</w:t>
      </w:r>
    </w:p>
    <w:p>
      <w:pPr>
        <w:pStyle w:val="Heading2"/>
      </w:pPr>
      <w:r>
        <w:t>88. Claim + two later sources: Future Scenarios of European Forests</w:t>
      </w:r>
    </w:p>
    <w:p>
      <w:pPr>
        <w:pStyle w:val="SourceNote"/>
      </w:pPr>
      <w:r>
        <w:rPr>
          <w:b/>
        </w:rPr>
        <w:t>Group ID:</w:t>
      </w:r>
      <w:r>
        <w:t xml:space="preserve"> group-c8f3fa111c945fdb9201</w:t>
      </w:r>
    </w:p>
    <w:p>
      <w:pPr>
        <w:pStyle w:val="SourceNote"/>
      </w:pPr>
      <w:r>
        <w:rPr>
          <w:b/>
        </w:rPr>
        <w:t>Original source:</w:t>
      </w:r>
      <w:r>
        <w:t xml:space="preserve"> https://doi.org/10.2478/jlecol-2018-0020</w:t>
      </w:r>
    </w:p>
    <w:p>
      <w:pPr/>
      <w:r>
        <w:rPr>
          <w:b/>
        </w:rPr>
        <w:t>Original future claim:</w:t>
      </w:r>
      <w:r>
        <w:t xml:space="preserve">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Contrasting mechanisms driving the northward expansion of African raptors in Europe — https://doi.org/10.1111/jzo.70124</w:t>
      </w:r>
    </w:p>
    <w:p>
      <w:pPr/>
      <w:r>
        <w:rPr>
          <w:b/>
        </w:rPr>
        <w:t>Later source:</w:t>
      </w:r>
      <w:r>
        <w:t xml:space="preserve"> A Climatology of Convective Precipitation over Europe — https://doi.org/10.1175/mwr-d-23-0156.1</w:t>
      </w:r>
    </w:p>
    <w:p>
      <w:pPr>
        <w:pStyle w:val="SourceNote"/>
      </w:pPr>
      <w:r>
        <w:rPr>
          <w:b/>
        </w:rPr>
        <w:t>Review status:</w:t>
      </w:r>
      <w:r>
        <w:t xml:space="preserve"> unchecked — group association only; no outcome judgment</w:t>
      </w:r>
    </w:p>
    <w:p>
      <w:pPr>
        <w:pStyle w:val="Heading2"/>
      </w:pPr>
      <w:r>
        <w:t>89. Claim + two later sources: The development of a system of «green» skills in the strategizing of labor resources of industrial enterprises</w:t>
      </w:r>
    </w:p>
    <w:p>
      <w:pPr>
        <w:pStyle w:val="SourceNote"/>
      </w:pPr>
      <w:r>
        <w:rPr>
          <w:b/>
        </w:rPr>
        <w:t>Group ID:</w:t>
      </w:r>
      <w:r>
        <w:t xml:space="preserve"> group-62566c3df3ae55e099fc</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Theory and Practice of Gas Consumption Forecasting in Planning the Development of Regional Gas Supply Systems — https://doi.org/10.1134/s1075700725700935</w:t>
      </w:r>
    </w:p>
    <w:p>
      <w:pPr/>
      <w:r>
        <w:rPr>
          <w:b/>
        </w:rPr>
        <w:t>Later source:</w:t>
      </w:r>
      <w:r>
        <w:t xml:space="preserve"> FORECASTS OF THE NUMBER OF CATTLE GRAZED ON PASTURES IN THE REPUBLIC OF KARAKALPAKSTAN — https://doi.org/10.5281/zenodo.21772231</w:t>
      </w:r>
    </w:p>
    <w:p>
      <w:pPr>
        <w:pStyle w:val="SourceNote"/>
      </w:pPr>
      <w:r>
        <w:rPr>
          <w:b/>
        </w:rPr>
        <w:t>Review status:</w:t>
      </w:r>
      <w:r>
        <w:t xml:space="preserve"> unchecked — group association only; no outcome judgment</w:t>
      </w:r>
    </w:p>
    <w:p>
      <w:pPr>
        <w:pStyle w:val="Heading2"/>
      </w:pPr>
      <w:r>
        <w:t>90. Claim + two later sources: Carbon intensity of the Ukrainian industry: current state and foresight</w:t>
      </w:r>
    </w:p>
    <w:p>
      <w:pPr>
        <w:pStyle w:val="SourceNote"/>
      </w:pPr>
      <w:r>
        <w:rPr>
          <w:b/>
        </w:rPr>
        <w:t>Group ID:</w:t>
      </w:r>
      <w:r>
        <w:t xml:space="preserve"> group-ca33465429d1e4fca39f</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Towards the Necessary Decarbonization of Historic Buildings: A Review — https://doi.org/10.3390/en18030502</w:t>
      </w:r>
    </w:p>
    <w:p>
      <w:pPr/>
      <w:r>
        <w:rPr>
          <w:b/>
        </w:rPr>
        <w:t>Later source:</w:t>
      </w:r>
      <w:r>
        <w:t xml:space="preserve"> The US dollar and decarbonization: Exploring constraints — https://doi.org/10.1017/fas.2025.10</w:t>
      </w:r>
    </w:p>
    <w:p>
      <w:pPr>
        <w:pStyle w:val="SourceNote"/>
      </w:pPr>
      <w:r>
        <w:rPr>
          <w:b/>
        </w:rPr>
        <w:t>Review status:</w:t>
      </w:r>
      <w:r>
        <w:t xml:space="preserve"> unchecked — group association only; no outcome judgment</w:t>
      </w:r>
    </w:p>
    <w:p>
      <w:pPr>
        <w:pStyle w:val="Heading2"/>
      </w:pPr>
      <w:r>
        <w:t>91. Claim + two later sources: Future Trajectories of Renewable Energy Consumption in the European Union</w:t>
      </w:r>
    </w:p>
    <w:p>
      <w:pPr>
        <w:pStyle w:val="SourceNote"/>
      </w:pPr>
      <w:r>
        <w:rPr>
          <w:b/>
        </w:rPr>
        <w:t>Group ID:</w:t>
      </w:r>
      <w:r>
        <w:t xml:space="preserve"> group-f3c1d7b959850276ac9d</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The Afro-European Energy Diplomacy, a Historical Reconstruction from 1973 to 2007 — https://doi.org/10.59569/jceeas.2023.3.1.137</w:t>
      </w:r>
    </w:p>
    <w:p>
      <w:pPr>
        <w:pStyle w:val="SourceNote"/>
      </w:pPr>
      <w:r>
        <w:rPr>
          <w:b/>
        </w:rPr>
        <w:t>Review status:</w:t>
      </w:r>
      <w:r>
        <w:t xml:space="preserve"> unchecked — group association only; no outcome judgment</w:t>
      </w:r>
    </w:p>
    <w:p>
      <w:pPr>
        <w:pStyle w:val="Heading2"/>
      </w:pPr>
      <w:r>
        <w:t>92. Claim + two later sources: Polish and Ukrainian foresight into the directions for the innovation of power plants</w:t>
      </w:r>
    </w:p>
    <w:p>
      <w:pPr>
        <w:pStyle w:val="SourceNote"/>
      </w:pPr>
      <w:r>
        <w:rPr>
          <w:b/>
        </w:rPr>
        <w:t>Group ID:</w:t>
      </w:r>
      <w:r>
        <w:t xml:space="preserve"> group-630133c9983606e0fcf6</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Feasibility Model for Establishing and Implementing Smart Insurance Using a Hybrid Approach — https://openalex.org/W7217145713</w:t>
      </w:r>
    </w:p>
    <w:p>
      <w:pPr/>
      <w:r>
        <w:rPr>
          <w:b/>
        </w:rPr>
        <w:t>Later source:</w:t>
      </w:r>
      <w:r>
        <w:t xml:space="preserve"> A comprehensive review of planting approaches used to establish willow for environmental applications — https://doi.org/10.1016/j.ecoleng.2024.107288</w:t>
      </w:r>
    </w:p>
    <w:p>
      <w:pPr>
        <w:pStyle w:val="SourceNote"/>
      </w:pPr>
      <w:r>
        <w:rPr>
          <w:b/>
        </w:rPr>
        <w:t>Review status:</w:t>
      </w:r>
      <w:r>
        <w:t xml:space="preserve"> unchecked — group association only; no outcome judgment</w:t>
      </w:r>
    </w:p>
    <w:p>
      <w:pPr>
        <w:pStyle w:val="Heading2"/>
      </w:pPr>
      <w:r>
        <w:t>93. Claim + two later sources: European Water Footprint Scenarios for 2050</w:t>
      </w:r>
    </w:p>
    <w:p>
      <w:pPr>
        <w:pStyle w:val="SourceNote"/>
      </w:pPr>
      <w:r>
        <w:rPr>
          <w:b/>
        </w:rPr>
        <w:t>Group ID:</w:t>
      </w:r>
      <w:r>
        <w:t xml:space="preserve"> group-a66e1d9182e2e5a52555</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Blue and Green Water Footprint disparities of European households: A spatial structural decomposition analysis approach — https://doi.org/10.5194/egusphere-egu25-18436</w:t>
      </w:r>
    </w:p>
    <w:p>
      <w:pPr/>
      <w:r>
        <w:rPr>
          <w:b/>
        </w:rPr>
        <w:t>Later source:</w:t>
      </w:r>
      <w:r>
        <w:t xml:space="preserve"> Advancing water footprint assessments: Combining the impacts of water pollution and scarcity — https://doi.org/10.1016/j.scitotenv.2023.161910</w:t>
      </w:r>
    </w:p>
    <w:p>
      <w:pPr>
        <w:pStyle w:val="SourceNote"/>
      </w:pPr>
      <w:r>
        <w:rPr>
          <w:b/>
        </w:rPr>
        <w:t>Review status:</w:t>
      </w:r>
      <w:r>
        <w:t xml:space="preserve"> unchecked — group association only; no outcome judgment</w:t>
      </w:r>
    </w:p>
    <w:p>
      <w:pPr>
        <w:pStyle w:val="Heading2"/>
      </w:pPr>
      <w:r>
        <w:t>94. Claim + two later sources: Nutrient criteria for surface waters under the European Water Framework Directive: Current state-of-the-art, challenges and future outlook</w:t>
      </w:r>
    </w:p>
    <w:p>
      <w:pPr>
        <w:pStyle w:val="SourceNote"/>
      </w:pPr>
      <w:r>
        <w:rPr>
          <w:b/>
        </w:rPr>
        <w:t>Group ID:</w:t>
      </w:r>
      <w:r>
        <w:t xml:space="preserve"> group-2e381e0450e359d57db2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Agriculture Contributions to Water Pollution and Sustainable Policy Solutions in Europe — https://doi.org/10.3390/earth7040115</w:t>
      </w:r>
    </w:p>
    <w:p>
      <w:pPr/>
      <w:r>
        <w:rPr>
          <w:b/>
        </w:rPr>
        <w:t>Later source:</w:t>
      </w:r>
      <w:r>
        <w:t xml:space="preserve"> A conceptual model for enabling sustainable management of soil-sediment-water ecosystems in support of European policy — https://doi.org/10.14321/aehm.026.02.063</w:t>
      </w:r>
    </w:p>
    <w:p>
      <w:pPr>
        <w:pStyle w:val="SourceNote"/>
      </w:pPr>
      <w:r>
        <w:rPr>
          <w:b/>
        </w:rPr>
        <w:t>Review status:</w:t>
      </w:r>
      <w:r>
        <w:t xml:space="preserve"> unchecked — group association only; no outcome judgment</w:t>
      </w:r>
    </w:p>
    <w:p>
      <w:pPr>
        <w:pStyle w:val="Heading2"/>
      </w:pPr>
      <w:r>
        <w:t>95. Claim + two later sources: Burden of Stroke in Europe</w:t>
      </w:r>
    </w:p>
    <w:p>
      <w:pPr>
        <w:pStyle w:val="SourceNote"/>
      </w:pPr>
      <w:r>
        <w:rPr>
          <w:b/>
        </w:rPr>
        <w:t>Group ID:</w:t>
      </w:r>
      <w:r>
        <w:t xml:space="preserve"> group-a7351308f4980eaa66ed</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Estimating the burden of vitiligo: a systematic review and modelling study — https://doi.org/10.1016/s2468-2667(24)00026-4</w:t>
      </w:r>
    </w:p>
    <w:p>
      <w:pPr/>
      <w:r>
        <w:rPr>
          <w:b/>
        </w:rPr>
        <w:t>Later source:</w:t>
      </w:r>
      <w:r>
        <w:t xml:space="preserve"> The incidence and prevalence of IgA nephropathy in Europe — https://doi.org/10.1093/ndt/gfad082</w:t>
      </w:r>
    </w:p>
    <w:p>
      <w:pPr>
        <w:pStyle w:val="SourceNote"/>
      </w:pPr>
      <w:r>
        <w:rPr>
          <w:b/>
        </w:rPr>
        <w:t>Review status:</w:t>
      </w:r>
      <w:r>
        <w:t xml:space="preserve"> unchecked — group association only; no outcome judgment</w:t>
      </w:r>
    </w:p>
    <w:p>
      <w:pPr>
        <w:pStyle w:val="Heading2"/>
      </w:pPr>
      <w:r>
        <w:t>96. Claim + two later sources: Ukrainian Migration Aspirations towards Germany: Analysis and Development Scenarios</w:t>
      </w:r>
    </w:p>
    <w:p>
      <w:pPr>
        <w:pStyle w:val="SourceNote"/>
      </w:pPr>
      <w:r>
        <w:rPr>
          <w:b/>
        </w:rPr>
        <w:t>Group ID:</w:t>
      </w:r>
      <w:r>
        <w:t xml:space="preserve"> group-99b92cc8468381e1ee49</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Signal-Based Trading Strategy for SPY ETF: A Multiple Linear Regression Approach — https://doi.org/10.70693/rwsk.v1i2.552</w:t>
      </w:r>
    </w:p>
    <w:p>
      <w:pPr/>
      <w:r>
        <w:rPr>
          <w:b/>
        </w:rPr>
        <w:t>Later source:</w:t>
      </w:r>
      <w:r>
        <w:t xml:space="preserve"> Development of Multiple Linear Regression Models for Predicting Chronic Iron Toxicity to Aquatic Organisms — https://doi.org/10.1002/etc.5623</w:t>
      </w:r>
    </w:p>
    <w:p>
      <w:pPr>
        <w:pStyle w:val="SourceNote"/>
      </w:pPr>
      <w:r>
        <w:rPr>
          <w:b/>
        </w:rPr>
        <w:t>Review status:</w:t>
      </w:r>
      <w:r>
        <w:t xml:space="preserve"> unchecked — group association only; no outcome judgment</w:t>
      </w:r>
    </w:p>
    <w:p>
      <w:pPr>
        <w:pStyle w:val="Heading2"/>
      </w:pPr>
      <w:r>
        <w:t>97. Claim + two later sources: Forecasting the Volatility of European Union Allowance Futures with Climate Policy Uncertainty Using the EGARCH-MIDAS Model</w:t>
      </w:r>
    </w:p>
    <w:p>
      <w:pPr>
        <w:pStyle w:val="SourceNote"/>
      </w:pPr>
      <w:r>
        <w:rPr>
          <w:b/>
        </w:rPr>
        <w:t>Group ID:</w:t>
      </w:r>
      <w:r>
        <w:t xml:space="preserve"> group-eca74b0b05d2c8db96f0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Stuck in the waiting room: citizen experiences of administrative limbo in three European crises — https://doi.org/10.1093/jopart/muaf017</w:t>
      </w:r>
    </w:p>
    <w:p>
      <w:pPr/>
      <w:r>
        <w:rPr>
          <w:b/>
        </w:rPr>
        <w:t>Later source:</w:t>
      </w:r>
      <w:r>
        <w:t xml:space="preserve"> Evaluation of an automated decision aid for the further referral of emergency room patients — https://doi.org/10.3238/arztebl.m2024.0191</w:t>
      </w:r>
    </w:p>
    <w:p>
      <w:pPr>
        <w:pStyle w:val="SourceNote"/>
      </w:pPr>
      <w:r>
        <w:rPr>
          <w:b/>
        </w:rPr>
        <w:t>Review status:</w:t>
      </w:r>
      <w:r>
        <w:t xml:space="preserve"> unchecked — group association only; no outcome judgment</w:t>
      </w:r>
    </w:p>
    <w:p>
      <w:pPr>
        <w:pStyle w:val="Heading2"/>
      </w:pPr>
      <w:r>
        <w:t>98. Claim + two later sources: From flood science to flood policy: the Foresight Future Flooding project seven years on</w:t>
      </w:r>
    </w:p>
    <w:p>
      <w:pPr>
        <w:pStyle w:val="SourceNote"/>
      </w:pPr>
      <w:r>
        <w:rPr>
          <w:b/>
        </w:rPr>
        <w:t>Group ID:</w:t>
      </w:r>
      <w:r>
        <w:t xml:space="preserve"> group-e1c37d445bc27122b5cc</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(Re)envisioning inclusive futures: Applying narrative foresight to deconstruct the problem of urban flooding in the slums of Bengaluru, India — https://doi.org/10.1111/dpr.12786</w:t>
      </w:r>
    </w:p>
    <w:p>
      <w:pPr>
        <w:pStyle w:val="SourceNote"/>
      </w:pPr>
      <w:r>
        <w:rPr>
          <w:b/>
        </w:rPr>
        <w:t>Review status:</w:t>
      </w:r>
      <w:r>
        <w:t xml:space="preserve"> unchecked — group association only; no outcome judgment</w:t>
      </w:r>
    </w:p>
    <w:p>
      <w:pPr>
        <w:pStyle w:val="Heading2"/>
      </w:pPr>
      <w:r>
        <w:t>99. Claim + two later sources: Immigration and integration scenarios in global Europe: Forward-looking up to 2050</w:t>
      </w:r>
    </w:p>
    <w:p>
      <w:pPr>
        <w:pStyle w:val="SourceNote"/>
      </w:pPr>
      <w:r>
        <w:rPr>
          <w:b/>
        </w:rPr>
        <w:t>Group ID:</w:t>
      </w:r>
      <w:r>
        <w:t xml:space="preserve"> group-3be7371a722f9a38dcdc</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A.M. Pankratova on Pan-European tendencies in historical scholarship in Western Europe in the Mid-20th century — https://doi.org/10.55959/msu0130-0083-8-2025-66-5-107-123</w:t>
      </w:r>
    </w:p>
    <w:p>
      <w:pPr/>
      <w:r>
        <w:rPr>
          <w:b/>
        </w:rPr>
        <w:t>Later source:</w:t>
      </w:r>
      <w:r>
        <w:t xml:space="preserve"> Japanese Public Diplomacy in European Countries — https://doi.org/10.4324/9781003258797</w:t>
      </w:r>
    </w:p>
    <w:p>
      <w:pPr>
        <w:pStyle w:val="SourceNote"/>
      </w:pPr>
      <w:r>
        <w:rPr>
          <w:b/>
        </w:rPr>
        <w:t>Review status:</w:t>
      </w:r>
      <w:r>
        <w:t xml:space="preserve"> unchecked — group association only; no outcome judgment</w:t>
      </w:r>
    </w:p>
    <w:p>
      <w:pPr>
        <w:pStyle w:val="Heading2"/>
      </w:pPr>
      <w:r>
        <w:t>100. Claim + two later sources: Materials for Sustainable Nuclear Energy: A European Strategic Research and Innovation Agenda for All Reactor Generations</w:t>
      </w:r>
    </w:p>
    <w:p>
      <w:pPr>
        <w:pStyle w:val="SourceNote"/>
      </w:pPr>
      <w:r>
        <w:rPr>
          <w:b/>
        </w:rPr>
        <w:t>Group ID:</w:t>
      </w:r>
      <w:r>
        <w:t xml:space="preserve"> group-222d6439ee5bbcdb9e0d</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Can the European nuclear power industry compete with the Chinese nuclear power industry? — https://doi.org/10.24294/jipd.v8i11.8715</w:t>
      </w:r>
    </w:p>
    <w:p>
      <w:pPr/>
      <w:r>
        <w:rPr>
          <w:b/>
        </w:rPr>
        <w:t>Later source:</w:t>
      </w:r>
      <w:r>
        <w:t xml:space="preserve"> Implications of Innovative Nuclear Technologies on Ghana’s Nuclear Future — https://doi.org/10.1155/stni/7161397</w:t>
      </w:r>
    </w:p>
    <w:p>
      <w:pPr>
        <w:pStyle w:val="SourceNote"/>
      </w:pPr>
      <w:r>
        <w:rPr>
          <w:b/>
        </w:rPr>
        <w:t>Review status:</w:t>
      </w:r>
      <w:r>
        <w:t xml:space="preserve"> unchecked — group association only; no outcome judgment</w:t>
      </w:r>
    </w:p>
    <w:p>
      <w:pPr>
        <w:pStyle w:val="Heading2"/>
      </w:pPr>
      <w:r>
        <w:t>101. Claim + two later sources: Microgrids: Enhancing the Resilience of the European Megagrid</w:t>
      </w:r>
    </w:p>
    <w:p>
      <w:pPr>
        <w:pStyle w:val="SourceNote"/>
      </w:pPr>
      <w:r>
        <w:rPr>
          <w:b/>
        </w:rPr>
        <w:t>Group ID:</w:t>
      </w:r>
      <w:r>
        <w:t xml:space="preserve"> group-0a0ac78cee439c8d49d1</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Future electricity demand for Europe: Unraveling the dynamics of the Temperature Response Function — https://doi.org/10.1016/j.apenergy.2024.123387</w:t>
      </w:r>
    </w:p>
    <w:p>
      <w:pPr/>
      <w:r>
        <w:rPr>
          <w:b/>
        </w:rPr>
        <w:t>Later source:</w:t>
      </w:r>
      <w:r>
        <w:t xml:space="preserve"> Interaction between electrified steel production and the north European electricity system — https://doi.org/10.1016/j.apenergy.2022.118584</w:t>
      </w:r>
    </w:p>
    <w:p>
      <w:pPr>
        <w:pStyle w:val="SourceNote"/>
      </w:pPr>
      <w:r>
        <w:rPr>
          <w:b/>
        </w:rPr>
        <w:t>Review status:</w:t>
      </w:r>
      <w:r>
        <w:t xml:space="preserve"> unchecked — group association only; no outcome judgment</w:t>
      </w:r>
    </w:p>
    <w:p>
      <w:pPr>
        <w:pStyle w:val="Heading2"/>
      </w:pPr>
      <w:r>
        <w:t>102. Claim + two later sources: Argentinian Energy Landscapes - Case Study of the Neo-Carbon Energy Project</w:t>
      </w:r>
    </w:p>
    <w:p>
      <w:pPr>
        <w:pStyle w:val="SourceNote"/>
      </w:pPr>
      <w:r>
        <w:rPr>
          <w:b/>
        </w:rPr>
        <w:t>Group ID:</w:t>
      </w:r>
      <w:r>
        <w:t xml:space="preserve"> group-25172e1f992eca516554</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Does Value Lead to Loyalty? Exploring the Important Role of the Tourist–Destination Relationship — https://doi.org/10.3390/bs12050136</w:t>
      </w:r>
    </w:p>
    <w:p>
      <w:pPr>
        <w:pStyle w:val="SourceNote"/>
      </w:pPr>
      <w:r>
        <w:rPr>
          <w:b/>
        </w:rPr>
        <w:t>Review status:</w:t>
      </w:r>
      <w:r>
        <w:t xml:space="preserve"> unchecked — group association only; no outcome judgment</w:t>
      </w:r>
    </w:p>
    <w:p>
      <w:pPr>
        <w:pStyle w:val="Heading2"/>
      </w:pPr>
      <w:r>
        <w:t>103. Claim + two later sources: Scenario analysis for nutrient emission reduction in the European inland waters</w:t>
      </w:r>
    </w:p>
    <w:p>
      <w:pPr>
        <w:pStyle w:val="SourceNote"/>
      </w:pPr>
      <w:r>
        <w:rPr>
          <w:b/>
        </w:rPr>
        <w:t>Group ID:</w:t>
      </w:r>
      <w:r>
        <w:t xml:space="preserve"> group-de106c58a2f7701ffa97</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Towards an “Evaluation Dilemmas Model” – designing an evaluation scheme for a European capital of culture — https://doi.org/10.1108/aam-09-2021-0046</w:t>
      </w:r>
    </w:p>
    <w:p>
      <w:pPr/>
      <w:r>
        <w:rPr>
          <w:b/>
        </w:rPr>
        <w:t>Later source:</w:t>
      </w:r>
      <w:r>
        <w:t xml:space="preserve"> Pollen-Based Maps of Past Regional Vegetation Cover in Europe Over 12 Millennia—Evaluation and Potential — https://doi.org/10.3389/fevo.2022.795794</w:t>
      </w:r>
    </w:p>
    <w:p>
      <w:pPr>
        <w:pStyle w:val="SourceNote"/>
      </w:pPr>
      <w:r>
        <w:rPr>
          <w:b/>
        </w:rPr>
        <w:t>Review status:</w:t>
      </w:r>
      <w:r>
        <w:t xml:space="preserve"> unchecked — group association only; no outcome judgment</w:t>
      </w:r>
    </w:p>
    <w:p>
      <w:pPr>
        <w:pStyle w:val="Heading2"/>
      </w:pPr>
      <w:r>
        <w:t>104.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group-f08c3ab8ea71557c9f12</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Spatio-Temporal Diagnostics Reveal Early Signals of Sand Fly Range Shift in Europe — https://doi.org/10.5194/egusphere-egu26-18432</w:t>
      </w:r>
    </w:p>
    <w:p>
      <w:pPr>
        <w:pStyle w:val="SourceNote"/>
      </w:pPr>
      <w:r>
        <w:rPr>
          <w:b/>
        </w:rPr>
        <w:t>Review status:</w:t>
      </w:r>
      <w:r>
        <w:t xml:space="preserve"> unchecked — group association only; no outcome judgment</w:t>
      </w:r>
    </w:p>
    <w:p>
      <w:pPr>
        <w:pStyle w:val="Heading2"/>
      </w:pPr>
      <w:r>
        <w:t>105. Claim + two later sources: A Foresight Study of European East-West Agrifood Trade Options</w:t>
      </w:r>
    </w:p>
    <w:p>
      <w:pPr>
        <w:pStyle w:val="SourceNote"/>
      </w:pPr>
      <w:r>
        <w:rPr>
          <w:b/>
        </w:rPr>
        <w:t>Group ID:</w:t>
      </w:r>
      <w:r>
        <w:t xml:space="preserve"> group-f72348bbee3e632300ec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Technical Barriers to Trade and China's Agricultural Products Export - Taking Garlic Export as an Example — https://doi.org/10.38007/ijbmet.2023.040105</w:t>
      </w:r>
    </w:p>
    <w:p>
      <w:pPr>
        <w:pStyle w:val="SourceNote"/>
      </w:pPr>
      <w:r>
        <w:rPr>
          <w:b/>
        </w:rPr>
        <w:t>Review status:</w:t>
      </w:r>
      <w:r>
        <w:t xml:space="preserve"> unchecked — group association only; no outcome judgment</w:t>
      </w:r>
    </w:p>
    <w:p>
      <w:pPr>
        <w:pStyle w:val="Heading2"/>
      </w:pPr>
      <w:r>
        <w:t>106. Claim + two later sources: Alpine Tundra Contraction under Future Warming Scenarios in Europe</w:t>
      </w:r>
    </w:p>
    <w:p>
      <w:pPr>
        <w:pStyle w:val="SourceNote"/>
      </w:pPr>
      <w:r>
        <w:rPr>
          <w:b/>
        </w:rPr>
        <w:t>Group ID:</w:t>
      </w:r>
      <w:r>
        <w:t xml:space="preserve"> group-bb4c74fe62ea02d88bf8</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Investigating the future urban climates of European cities using an ensemble of convection permitting regional climate models — https://doi.org/10.5194/egusphere-egu25-1307</w:t>
      </w:r>
    </w:p>
    <w:p>
      <w:pPr/>
      <w:r>
        <w:rPr>
          <w:b/>
        </w:rPr>
        <w:t>Later source:</w:t>
      </w:r>
      <w:r>
        <w:t xml:space="preserve"> Local Climate Risks in sight of realistic climate targets: Projecting Co-occurrence of Heat Extremes in Central Europe Using Downscaled CMIP6 and Regional Scenarios — https://doi.org/10.5194/ems2025-241</w:t>
      </w:r>
    </w:p>
    <w:p>
      <w:pPr>
        <w:pStyle w:val="SourceNote"/>
      </w:pPr>
      <w:r>
        <w:rPr>
          <w:b/>
        </w:rPr>
        <w:t>Review status:</w:t>
      </w:r>
      <w:r>
        <w:t xml:space="preserve"> unchecked — group association only; no outcome judgment</w:t>
      </w:r>
    </w:p>
    <w:p>
      <w:pPr>
        <w:pStyle w:val="Heading2"/>
      </w:pPr>
      <w:r>
        <w:t>107. Claim + two later sources: Ocean energy development in Europe: Current status and future perspectives</w:t>
      </w:r>
    </w:p>
    <w:p>
      <w:pPr>
        <w:pStyle w:val="SourceNote"/>
      </w:pPr>
      <w:r>
        <w:rPr>
          <w:b/>
        </w:rPr>
        <w:t>Group ID:</w:t>
      </w:r>
      <w:r>
        <w:t xml:space="preserve"> group-c694619b53970742f975</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Perspective on the hydrogen economy as a pathway to reach net-zero CO 2 emissions in Europe — https://doi.org/10.1039/d1ee02118d</w:t>
      </w:r>
    </w:p>
    <w:p>
      <w:pPr/>
      <w:r>
        <w:rPr>
          <w:b/>
        </w:rPr>
        <w:t>Later source:</w:t>
      </w:r>
      <w:r>
        <w:t xml:space="preserve"> Review of Works Combining GNSS and InSAR in Europe — https://doi.org/10.3390/rs13091684</w:t>
      </w:r>
    </w:p>
    <w:p>
      <w:pPr>
        <w:pStyle w:val="SourceNote"/>
      </w:pPr>
      <w:r>
        <w:rPr>
          <w:b/>
        </w:rPr>
        <w:t>Review status:</w:t>
      </w:r>
      <w:r>
        <w:t xml:space="preserve"> unchecked — group association only; no outcome judgment</w:t>
      </w:r>
    </w:p>
    <w:p>
      <w:pPr>
        <w:pStyle w:val="Heading2"/>
      </w:pPr>
      <w:r>
        <w:t>108. Claim + two later sources: Connected and Automated Transport: Research and Innovation Capacity in Europe</w:t>
      </w:r>
    </w:p>
    <w:p>
      <w:pPr>
        <w:pStyle w:val="SourceNote"/>
      </w:pPr>
      <w:r>
        <w:rPr>
          <w:b/>
        </w:rPr>
        <w:t>Group ID:</w:t>
      </w:r>
      <w:r>
        <w:t xml:space="preserve"> group-90cf60f26b65ecade019</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Unlocking public infrastructures? State aid and the common European data space — https://doi.org/10.1177/02673231241290675</w:t>
      </w:r>
    </w:p>
    <w:p>
      <w:pPr>
        <w:pStyle w:val="SourceNote"/>
      </w:pPr>
      <w:r>
        <w:rPr>
          <w:b/>
        </w:rPr>
        <w:t>Review status:</w:t>
      </w:r>
      <w:r>
        <w:t xml:space="preserve"> unchecked — group association only; no outcome judgment</w:t>
      </w:r>
    </w:p>
    <w:p>
      <w:pPr>
        <w:pStyle w:val="Heading2"/>
      </w:pPr>
      <w:r>
        <w:t>109. Claim + two later sources: Implications of sustainability constraints on UK bioenergy development: Assessing optimistic and precautionary approaches with UK MARKAL</w:t>
      </w:r>
    </w:p>
    <w:p>
      <w:pPr>
        <w:pStyle w:val="SourceNote"/>
      </w:pPr>
      <w:r>
        <w:rPr>
          <w:b/>
        </w:rPr>
        <w:t>Group ID:</w:t>
      </w:r>
      <w:r>
        <w:t xml:space="preserve"> group-0cb202f1a992d3c1b9ed</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Examining research systems and models for local government: a systematic review — https://doi.org/10.1332/17442648y2023d000000002</w:t>
      </w:r>
    </w:p>
    <w:p>
      <w:pPr/>
      <w:r>
        <w:rPr>
          <w:b/>
        </w:rPr>
        <w:t>Later source:</w:t>
      </w:r>
      <w:r>
        <w:t xml:space="preserve"> Are Black Girls Exhibiting Puberty Earlier? Examining Implications of Race-Based Guidelines — https://doi.org/10.1542/peds.2021-055595</w:t>
      </w:r>
    </w:p>
    <w:p>
      <w:pPr>
        <w:pStyle w:val="SourceNote"/>
      </w:pPr>
      <w:r>
        <w:rPr>
          <w:b/>
        </w:rPr>
        <w:t>Review status:</w:t>
      </w:r>
      <w:r>
        <w:t xml:space="preserve"> unchecked — group association only; no outcome judgment</w:t>
      </w:r>
    </w:p>
    <w:p>
      <w:pPr>
        <w:pStyle w:val="Heading2"/>
      </w:pPr>
      <w:r>
        <w:t>110. Claim + two later sources: Testing Scenarios to Achieve Workplace Sustainability Goals Using Backcasting and Agent-Based Modeling</w:t>
      </w:r>
    </w:p>
    <w:p>
      <w:pPr>
        <w:pStyle w:val="SourceNote"/>
      </w:pPr>
      <w:r>
        <w:rPr>
          <w:b/>
        </w:rPr>
        <w:t>Group ID:</w:t>
      </w:r>
      <w:r>
        <w:t xml:space="preserve"> group-942a4c195eed1a4900cc</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Advancing participatory backcasting for climate change adaptation planning using 10 cases from 3 continents — https://doi.org/10.1016/j.crm.2023.100559</w:t>
      </w:r>
    </w:p>
    <w:p>
      <w:pPr/>
      <w:r>
        <w:rPr>
          <w:b/>
        </w:rPr>
        <w:t>Later source:</w:t>
      </w:r>
      <w:r>
        <w:t xml:space="preserve"> Computer‐aided scenario design using participatory backcasting: A case study of sustainable vision creation in a Japanese city — https://doi.org/10.1002/ffo2.141</w:t>
      </w:r>
    </w:p>
    <w:p>
      <w:pPr>
        <w:pStyle w:val="SourceNote"/>
      </w:pPr>
      <w:r>
        <w:rPr>
          <w:b/>
        </w:rPr>
        <w:t>Review status:</w:t>
      </w:r>
      <w:r>
        <w:t xml:space="preserve"> unchecked — group association only; no outcome judgment</w:t>
      </w:r>
    </w:p>
    <w:p>
      <w:pPr>
        <w:pStyle w:val="Heading2"/>
      </w:pPr>
      <w:r>
        <w:t>111. Claim + two later sources: Changing knowledge, changing technology: implications for teacher education futures</w:t>
      </w:r>
    </w:p>
    <w:p>
      <w:pPr>
        <w:pStyle w:val="SourceNote"/>
      </w:pPr>
      <w:r>
        <w:rPr>
          <w:b/>
        </w:rPr>
        <w:t>Group ID:</w:t>
      </w:r>
      <w:r>
        <w:t xml:space="preserve"> group-daec4327a8ffb5600bee</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WORKWELL process evaluation: qualitative data analyses of the participant interviews at 12- and 36-month follow-ups — https://doi.org/10.1093/rap/rkaf034</w:t>
      </w:r>
    </w:p>
    <w:p>
      <w:pPr>
        <w:pStyle w:val="SourceNote"/>
      </w:pPr>
      <w:r>
        <w:rPr>
          <w:b/>
        </w:rPr>
        <w:t>Review status:</w:t>
      </w:r>
      <w:r>
        <w:t xml:space="preserve"> unchecked — group association only; no outcome judgment</w:t>
      </w:r>
    </w:p>
    <w:p>
      <w:pPr>
        <w:pStyle w:val="Heading2"/>
      </w:pPr>
      <w:r>
        <w:t>112. Claim + two later sources: Technopolis, shared resources or controlled mobility? A net-based Delphi-study to explore visions of future urban daily mobility in Norway</w:t>
      </w:r>
    </w:p>
    <w:p>
      <w:pPr>
        <w:pStyle w:val="SourceNote"/>
      </w:pPr>
      <w:r>
        <w:rPr>
          <w:b/>
        </w:rPr>
        <w:t>Group ID:</w:t>
      </w:r>
      <w:r>
        <w:t xml:space="preserve"> group-0985ee7d7e3fa119336d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Principal Component Analysis of Economic Factors Affecting Food Consumption and Labor Market Performance in the European Union — https://doi.org/10.35219/eai15840409587</w:t>
      </w:r>
    </w:p>
    <w:p>
      <w:pPr/>
      <w:r>
        <w:rPr>
          <w:b/>
        </w:rPr>
        <w:t>Later source:</w:t>
      </w:r>
      <w:r>
        <w:t xml:space="preserve"> Monkeypox in Europe: Epidemiology and Risk Factors – A Scoping Review Study — https://doi.org/10.1101/2024.08.28.24312706</w:t>
      </w:r>
    </w:p>
    <w:p>
      <w:pPr>
        <w:pStyle w:val="SourceNote"/>
      </w:pPr>
      <w:r>
        <w:rPr>
          <w:b/>
        </w:rPr>
        <w:t>Review status:</w:t>
      </w:r>
      <w:r>
        <w:t xml:space="preserve"> unchecked — group association only; no outcome judgment</w:t>
      </w:r>
    </w:p>
    <w:p>
      <w:pPr>
        <w:pStyle w:val="Heading2"/>
      </w:pPr>
      <w:r>
        <w:t>113. Claim + two later sources: Hydrogen in the Strategies of the European Union Member States</w:t>
      </w:r>
    </w:p>
    <w:p>
      <w:pPr>
        <w:pStyle w:val="SourceNote"/>
      </w:pPr>
      <w:r>
        <w:rPr>
          <w:b/>
        </w:rPr>
        <w:t>Group ID:</w:t>
      </w:r>
      <w:r>
        <w:t xml:space="preserve"> group-c9dc02b98136000d8f04</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Adaptation to Climate Change in Coastal Countries of the European Union—An Evaluation of Plans and Strategies — https://doi.org/10.3390/app15116281</w:t>
      </w:r>
    </w:p>
    <w:p>
      <w:pPr/>
      <w:r>
        <w:rPr>
          <w:b/>
        </w:rPr>
        <w:t>Later source:</w:t>
      </w:r>
      <w:r>
        <w:t xml:space="preserve"> How Transit Countries Become Refugee Destinations: Insights From Central and Eastern Europe — https://doi.org/10.1111/imig.70066</w:t>
      </w:r>
    </w:p>
    <w:p>
      <w:pPr>
        <w:pStyle w:val="SourceNote"/>
      </w:pPr>
      <w:r>
        <w:rPr>
          <w:b/>
        </w:rPr>
        <w:t>Review status:</w:t>
      </w:r>
      <w:r>
        <w:t xml:space="preserve"> unchecked — group association only; no outcome judgment</w:t>
      </w:r>
    </w:p>
    <w:p>
      <w:pPr>
        <w:pStyle w:val="Heading2"/>
      </w:pPr>
      <w:r>
        <w:t>114. Claim + two later sources: Demographic projections of future pharmaceutical consumption in the Netherlands</w:t>
      </w:r>
    </w:p>
    <w:p>
      <w:pPr>
        <w:pStyle w:val="SourceNote"/>
      </w:pPr>
      <w:r>
        <w:rPr>
          <w:b/>
        </w:rPr>
        <w:t>Group ID:</w:t>
      </w:r>
      <w:r>
        <w:t xml:space="preserve"> group-cc9eeb3503eaa74a9662</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Circulation dampened heat extremes intensification over the Midwest USA and amplified over Western Europe — https://doi.org/10.1038/s43247-023-01096-7</w:t>
      </w:r>
    </w:p>
    <w:p>
      <w:pPr/>
      <w:r>
        <w:rPr>
          <w:b/>
        </w:rPr>
        <w:t>Later source:</w:t>
      </w:r>
      <w:r>
        <w:t xml:space="preserve"> Compound precipitation and wind extremes over Europe and their relationship to extratropical cyclones — https://doi.org/10.1016/j.wace.2021.100342</w:t>
      </w:r>
    </w:p>
    <w:p>
      <w:pPr>
        <w:pStyle w:val="SourceNote"/>
      </w:pPr>
      <w:r>
        <w:rPr>
          <w:b/>
        </w:rPr>
        <w:t>Review status:</w:t>
      </w:r>
      <w:r>
        <w:t xml:space="preserve"> unchecked — group association only; no outcome judgment</w:t>
      </w:r>
    </w:p>
    <w:p>
      <w:pPr>
        <w:pStyle w:val="Heading2"/>
      </w:pPr>
      <w:r>
        <w:t>115. Claim + two later sources: Assessing the Future of Renewable Energy Consumption for United Kingdom, Turkey and Nigeria</w:t>
      </w:r>
    </w:p>
    <w:p>
      <w:pPr>
        <w:pStyle w:val="SourceNote"/>
      </w:pPr>
      <w:r>
        <w:rPr>
          <w:b/>
        </w:rPr>
        <w:t>Group ID:</w:t>
      </w:r>
      <w:r>
        <w:t xml:space="preserve"> group-d1f7ed2bb9fc1add4e02</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There is no such thing as a validated prediction model — https://doi.org/10.1186/s12916-023-02779-w</w:t>
      </w:r>
    </w:p>
    <w:p>
      <w:pPr/>
      <w:r>
        <w:rPr>
          <w:b/>
        </w:rPr>
        <w:t>Later source:</w:t>
      </w:r>
      <w:r>
        <w:t xml:space="preserve"> Overview of clinical prediction models — https://doi.org/10.21037/atm.2019.11.121</w:t>
      </w:r>
    </w:p>
    <w:p>
      <w:pPr>
        <w:pStyle w:val="SourceNote"/>
      </w:pPr>
      <w:r>
        <w:rPr>
          <w:b/>
        </w:rPr>
        <w:t>Review status:</w:t>
      </w:r>
      <w:r>
        <w:t xml:space="preserve"> unchecked — group association only; no outcome judgment</w:t>
      </w:r>
    </w:p>
    <w:p>
      <w:pPr>
        <w:pStyle w:val="Heading2"/>
      </w:pPr>
      <w:r>
        <w:t>116.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group association only; no outcome judgment</w:t>
      </w:r>
    </w:p>
    <w:p>
      <w:pPr>
        <w:pStyle w:val="Heading2"/>
      </w:pPr>
      <w:r>
        <w:t>117. Claim + two later sources: A strategic energy technology policy towards 2050: no-regret strategies for European technology push</w:t>
      </w:r>
    </w:p>
    <w:p>
      <w:pPr>
        <w:pStyle w:val="SourceNote"/>
      </w:pPr>
      <w:r>
        <w:rPr>
          <w:b/>
        </w:rPr>
        <w:t>Group ID:</w:t>
      </w:r>
      <w:r>
        <w:t xml:space="preserve"> group-11bbaec34552b2687303</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Power-to-hydrogen and hydrogen-to-X energy systems for the industry of the future in Europe — https://doi.org/10.1016/j.ijhydene.2023.01.194</w:t>
      </w:r>
    </w:p>
    <w:p>
      <w:pPr/>
      <w:r>
        <w:rPr>
          <w:b/>
        </w:rPr>
        <w:t>Later source:</w:t>
      </w:r>
      <w:r>
        <w:t xml:space="preserve"> Energy Economic Development in Europe — https://doi.org/10.3390/books978-3-0365-7112-6</w:t>
      </w:r>
    </w:p>
    <w:p>
      <w:pPr>
        <w:pStyle w:val="SourceNote"/>
      </w:pPr>
      <w:r>
        <w:rPr>
          <w:b/>
        </w:rPr>
        <w:t>Review status:</w:t>
      </w:r>
      <w:r>
        <w:t xml:space="preserve"> unchecked — group association only; no outcome judgment</w:t>
      </w:r>
    </w:p>
    <w:p>
      <w:pPr>
        <w:pStyle w:val="Heading2"/>
      </w:pPr>
      <w:r>
        <w:t>118. Claim + two later sources: A Technological Scenario for a Healthier, More Equitable and Sustainable Europe in 2040: Citizen Perceptions and Policy Implications</w:t>
      </w:r>
    </w:p>
    <w:p>
      <w:pPr>
        <w:pStyle w:val="SourceNote"/>
      </w:pPr>
      <w:r>
        <w:rPr>
          <w:b/>
        </w:rPr>
        <w:t>Group ID:</w:t>
      </w:r>
      <w:r>
        <w:t xml:space="preserve"> group-141fe847dea2d43c15e5</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STRATEGIC AIMS OF UNIVERSITY-BASED MANAGERIAL EDUCATION IN EUROPEAN AND ASIAN COUNTRIES — https://doi.org/10.52058/3041-1572-2026-3(23)-909-923</w:t>
      </w:r>
    </w:p>
    <w:p>
      <w:pPr/>
      <w:r>
        <w:rPr>
          <w:b/>
        </w:rPr>
        <w:t>Later source:</w:t>
      </w:r>
      <w:r>
        <w:t xml:space="preserve"> Exploring the Impact of Digital Transformation on Non-Financial Performance in Central and Eastern European Countries — https://doi.org/10.3390/electronics14061226</w:t>
      </w:r>
    </w:p>
    <w:p>
      <w:pPr>
        <w:pStyle w:val="SourceNote"/>
      </w:pPr>
      <w:r>
        <w:rPr>
          <w:b/>
        </w:rPr>
        <w:t>Review status:</w:t>
      </w:r>
      <w:r>
        <w:t xml:space="preserve"> unchecked — group association only; no outcome judgment</w:t>
      </w:r>
    </w:p>
    <w:p>
      <w:pPr>
        <w:pStyle w:val="Heading2"/>
      </w:pPr>
      <w:r>
        <w:t>119. Claim + two later sources: Current and Future Issues in BPM Research: A European Perspective from the ERCIS Meeting 2010</w:t>
      </w:r>
    </w:p>
    <w:p>
      <w:pPr>
        <w:pStyle w:val="SourceNote"/>
      </w:pPr>
      <w:r>
        <w:rPr>
          <w:b/>
        </w:rPr>
        <w:t>Group ID:</w:t>
      </w:r>
      <w:r>
        <w:t xml:space="preserve"> group-96ba63caf1de7fe27a9c</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Farmers’ and stakeholders’ views on the adoption of agroecological practices. Results from participatory workshops in European countries — https://doi.org/10.12688/openreseurope.20536.1</w:t>
      </w:r>
    </w:p>
    <w:p>
      <w:pPr/>
      <w:r>
        <w:rPr>
          <w:b/>
        </w:rPr>
        <w:t>Later source:</w:t>
      </w:r>
      <w:r>
        <w:t xml:space="preserve"> Consensus report of the second European Consensus Workshop on Education in Periodontology — https://doi.org/10.1111/jcpe.13983</w:t>
      </w:r>
    </w:p>
    <w:p>
      <w:pPr>
        <w:pStyle w:val="SourceNote"/>
      </w:pPr>
      <w:r>
        <w:rPr>
          <w:b/>
        </w:rPr>
        <w:t>Review status:</w:t>
      </w:r>
      <w:r>
        <w:t xml:space="preserve"> unchecked — group association only; no outcome judgment</w:t>
      </w:r>
    </w:p>
    <w:p>
      <w:pPr>
        <w:pStyle w:val="Heading2"/>
      </w:pPr>
      <w:r>
        <w:t>120. Claim + two later sources: Comparison of Water Flows in Four European Lagoon Catchments under a Set of Future Climate Scenarios</w:t>
      </w:r>
    </w:p>
    <w:p>
      <w:pPr>
        <w:pStyle w:val="SourceNote"/>
      </w:pPr>
      <w:r>
        <w:rPr>
          <w:b/>
        </w:rPr>
        <w:t>Group ID:</w:t>
      </w:r>
      <w:r>
        <w:t xml:space="preserve"> group-6bb6c0e65354e2eff9b1</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Energy storage and climate impacts on the future renewable European energy system — https://openalex.org/W4412222428</w:t>
      </w:r>
    </w:p>
    <w:p>
      <w:pPr/>
      <w:r>
        <w:rPr>
          <w:b/>
        </w:rPr>
        <w:t>Later source:</w:t>
      </w:r>
      <w:r>
        <w:t xml:space="preserve"> A probabilistic climate change assessment for Europe — https://doi.org/10.1002/joc.7604</w:t>
      </w:r>
    </w:p>
    <w:p>
      <w:pPr>
        <w:pStyle w:val="SourceNote"/>
      </w:pPr>
      <w:r>
        <w:rPr>
          <w:b/>
        </w:rPr>
        <w:t>Review status:</w:t>
      </w:r>
      <w:r>
        <w:t xml:space="preserve"> unchecked — group association only; no outcome judgment</w:t>
      </w:r>
    </w:p>
    <w:p>
      <w:pPr>
        <w:pStyle w:val="Heading2"/>
      </w:pPr>
      <w:r>
        <w:t>121. Claim + two later sources: The European pulp and paper industry in transition to a bio-economy: A Delphi study</w:t>
      </w:r>
    </w:p>
    <w:p>
      <w:pPr>
        <w:pStyle w:val="SourceNote"/>
      </w:pPr>
      <w:r>
        <w:rPr>
          <w:b/>
        </w:rPr>
        <w:t>Group ID:</w:t>
      </w:r>
      <w:r>
        <w:t xml:space="preserve"> group-8088f840e989c7b8bbf7</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Unravelling the Scientific Debate on How to Address Wolf-Dog Hybridization in Europe — https://doi.org/10.3389/fevo.2019.00175</w:t>
      </w:r>
    </w:p>
    <w:p>
      <w:pPr/>
      <w:r>
        <w:rPr>
          <w:b/>
        </w:rPr>
        <w:t>Later source:</w:t>
      </w:r>
      <w:r>
        <w:t xml:space="preserve"> Radical devices: Rethinking Art and Architecture as Forms of Dissensus in Urban Environments — https://doi.org/10.14198/uou.2024.8.12</w:t>
      </w:r>
    </w:p>
    <w:p>
      <w:pPr>
        <w:pStyle w:val="SourceNote"/>
      </w:pPr>
      <w:r>
        <w:rPr>
          <w:b/>
        </w:rPr>
        <w:t>Review status:</w:t>
      </w:r>
      <w:r>
        <w:t xml:space="preserve"> unchecked — group association only; no outcome judgment</w:t>
      </w:r>
    </w:p>
    <w:p>
      <w:pPr>
        <w:pStyle w:val="Heading2"/>
      </w:pPr>
      <w:r>
        <w:t>122. Claim + two later sources: Technology roadmapping in security and defence foresight</w:t>
      </w:r>
    </w:p>
    <w:p>
      <w:pPr>
        <w:pStyle w:val="SourceNote"/>
      </w:pPr>
      <w:r>
        <w:rPr>
          <w:b/>
        </w:rPr>
        <w:t>Group ID:</w:t>
      </w:r>
      <w:r>
        <w:t xml:space="preserve"> group-9473e20403657f268fb4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Optimising Healthcare Integration: Design Methodology Approach to Developing an Integrated Service Delivery Model for Irish Health Service Executive's Health Regions — https://doi.org/10.5334/ijic.icic24232</w:t>
      </w:r>
    </w:p>
    <w:p>
      <w:pPr/>
      <w:r>
        <w:rPr>
          <w:b/>
        </w:rPr>
        <w:t>Later source:</w:t>
      </w:r>
      <w:r>
        <w:t xml:space="preserve"> NEW DESIGN METHODOLOGY APPROACH FOR DESIGNING A HYDRO-MOTOR OF RADIAL PISTONS — https://openalex.org/W7217876663</w:t>
      </w:r>
    </w:p>
    <w:p>
      <w:pPr>
        <w:pStyle w:val="SourceNote"/>
      </w:pPr>
      <w:r>
        <w:rPr>
          <w:b/>
        </w:rPr>
        <w:t>Review status:</w:t>
      </w:r>
      <w:r>
        <w:t xml:space="preserve"> unchecked — group association only; no outcome judgment</w:t>
      </w:r>
    </w:p>
    <w:p>
      <w:pPr>
        <w:pStyle w:val="Heading2"/>
      </w:pPr>
      <w:r>
        <w:t>123. Claim + two later sources: Projecting Drivers of Human Vulnerability under the Shared Socioeconomic Pathways</w:t>
      </w:r>
    </w:p>
    <w:p>
      <w:pPr>
        <w:pStyle w:val="SourceNote"/>
      </w:pPr>
      <w:r>
        <w:rPr>
          <w:b/>
        </w:rPr>
        <w:t>Group ID:</w:t>
      </w:r>
      <w:r>
        <w:t xml:space="preserve"> group-a79f0fa4cb91e8f1ca6b</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Pandemic risk in the Shared Socioeconomic Pathways — https://doi.org/10.64898/2026.07.29.26359250</w:t>
      </w:r>
    </w:p>
    <w:p>
      <w:pPr/>
      <w:r>
        <w:rPr>
          <w:b/>
        </w:rPr>
        <w:t>Later source:</w:t>
      </w:r>
      <w:r>
        <w:t xml:space="preserve"> Digital transformation in the Shared Socioeconomic Pathways — https://doi.org/10.1038/s44168-025-00283-w</w:t>
      </w:r>
    </w:p>
    <w:p>
      <w:pPr>
        <w:pStyle w:val="SourceNote"/>
      </w:pPr>
      <w:r>
        <w:rPr>
          <w:b/>
        </w:rPr>
        <w:t>Review status:</w:t>
      </w:r>
      <w:r>
        <w:t xml:space="preserve"> unchecked — group association only; no outcome judgment</w:t>
      </w:r>
    </w:p>
    <w:p>
      <w:pPr>
        <w:pStyle w:val="Heading2"/>
      </w:pPr>
      <w:r>
        <w:t>124. Claim + two later sources: Modelling Soil Organic Carbon Changes Under Different Maize Cropping Scenarios for Cellulosic Ethanol in Europe</w:t>
      </w:r>
    </w:p>
    <w:p>
      <w:pPr>
        <w:pStyle w:val="SourceNote"/>
      </w:pPr>
      <w:r>
        <w:rPr>
          <w:b/>
        </w:rPr>
        <w:t>Group ID:</w:t>
      </w:r>
      <w:r>
        <w:t xml:space="preserve"> group-308d21ea4c63b222c99d</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r>
        <w:rPr>
          <w:b/>
        </w:rPr>
        <w:t>Later source:</w:t>
      </w:r>
      <w:r>
        <w:t xml:space="preserve"> Big Data for Supporting Low-Carbon Road Transport Policies in Europe: Applications, Challenges and Opportunities — https://doi.org/10.1016/j.bdr.2016.04.003</w:t>
      </w:r>
    </w:p>
    <w:p>
      <w:pPr>
        <w:pStyle w:val="SourceNote"/>
      </w:pPr>
      <w:r>
        <w:rPr>
          <w:b/>
        </w:rPr>
        <w:t>Review status:</w:t>
      </w:r>
      <w:r>
        <w:t xml:space="preserve"> unchecked — group association only; no outcome judgment</w:t>
      </w:r>
    </w:p>
    <w:p>
      <w:pPr>
        <w:pStyle w:val="Heading2"/>
      </w:pPr>
      <w:r>
        <w:t>125. Claim + two later sources: PROGNOSTIC MODEL OF THE UKRAINE SYSTEM OF GENERAL SECONDARY EDUCATION DEVELOPMENT: FORECASTING SCENARIOS OF THE DEVELOPMENT</w:t>
      </w:r>
    </w:p>
    <w:p>
      <w:pPr>
        <w:pStyle w:val="SourceNote"/>
      </w:pPr>
      <w:r>
        <w:rPr>
          <w:b/>
        </w:rPr>
        <w:t>Group ID:</w:t>
      </w:r>
      <w:r>
        <w:t xml:space="preserve"> group-f703db1297121ad8dffc</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influential recent Canadian Medical Education Journal articles presented at the International Congress for Medical Education — https://doi.org/10.36834/cmej.79278</w:t>
      </w:r>
    </w:p>
    <w:p>
      <w:pPr/>
      <w:r>
        <w:rPr>
          <w:b/>
        </w:rPr>
        <w:t>Later source:</w:t>
      </w:r>
      <w:r>
        <w:t xml:space="preserve"> REVIEW ARTICLE ON THE MITIGATION OF FOUR WAVE MIXING IN OPTICAL COMMUNICATION SYSTEM — https://doi.org/10.51459/futajeet.2021.15.1.266</w:t>
      </w:r>
    </w:p>
    <w:p>
      <w:pPr>
        <w:pStyle w:val="SourceNote"/>
      </w:pPr>
      <w:r>
        <w:rPr>
          <w:b/>
        </w:rPr>
        <w:t>Review status:</w:t>
      </w:r>
      <w:r>
        <w:t xml:space="preserve"> unchecked — group association only; no outcome judgment</w:t>
      </w:r>
    </w:p>
    <w:p>
      <w:pPr>
        <w:pStyle w:val="Heading2"/>
      </w:pPr>
      <w:r>
        <w:t>126. Claim + two later sources: Using urban foresight techniques in city visioning: Lessons from the Reading 2050 vision</w:t>
      </w:r>
    </w:p>
    <w:p>
      <w:pPr>
        <w:pStyle w:val="SourceNote"/>
      </w:pPr>
      <w:r>
        <w:rPr>
          <w:b/>
        </w:rPr>
        <w:t>Group ID:</w:t>
      </w:r>
      <w:r>
        <w:t xml:space="preserve"> group-79f08be896fe753f4afd</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Exploring the emergence of innovation districts as volumetric urban projects in Taipei City — https://doi.org/10.1080/12265934.2026.2637658</w:t>
      </w:r>
    </w:p>
    <w:p>
      <w:pPr/>
      <w:r>
        <w:rPr>
          <w:b/>
        </w:rPr>
        <w:t>Later source:</w:t>
      </w:r>
      <w:r>
        <w:t xml:space="preserve"> Cities As Interfaces of Zoonotic Hazard Emergence: Development of the New York City Tick and Wildlife Urban Surveillance System — https://doi.org/10.3791/69755</w:t>
      </w:r>
    </w:p>
    <w:p>
      <w:pPr>
        <w:pStyle w:val="SourceNote"/>
      </w:pPr>
      <w:r>
        <w:rPr>
          <w:b/>
        </w:rPr>
        <w:t>Review status:</w:t>
      </w:r>
      <w:r>
        <w:t xml:space="preserve"> unchecked — group association only; no outcome judgment</w:t>
      </w:r>
    </w:p>
    <w:p>
      <w:pPr>
        <w:pStyle w:val="Heading2"/>
      </w:pPr>
      <w:r>
        <w:t>127. Claim + two later sources: Climate change signal of future climate projections for Aachen, Germany, in terms of temperature and precipitation</w:t>
      </w:r>
    </w:p>
    <w:p>
      <w:pPr>
        <w:pStyle w:val="SourceNote"/>
      </w:pPr>
      <w:r>
        <w:rPr>
          <w:b/>
        </w:rPr>
        <w:t>Group ID:</w:t>
      </w:r>
      <w:r>
        <w:t xml:space="preserve"> group-e3802215d9236e5495fc</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Temporal clusters of extreme events across Europe in a regional multi-scenario/multi-member ensemble — https://doi.org/10.5194/ems2025-464</w:t>
      </w:r>
    </w:p>
    <w:p>
      <w:pPr/>
      <w:r>
        <w:rPr>
          <w:b/>
        </w:rPr>
        <w:t>Later source:</w:t>
      </w:r>
      <w:r>
        <w:t xml:space="preserve"> Multi-model ensembles for regional and national wheat yield forecasts in Argentina — https://doi.org/10.1088/1748-9326/ad627c</w:t>
      </w:r>
    </w:p>
    <w:p>
      <w:pPr>
        <w:pStyle w:val="SourceNote"/>
      </w:pPr>
      <w:r>
        <w:rPr>
          <w:b/>
        </w:rPr>
        <w:t>Review status:</w:t>
      </w:r>
      <w:r>
        <w:t xml:space="preserve"> unchecked — group association only; no outcome judgment</w:t>
      </w:r>
    </w:p>
    <w:p>
      <w:pPr>
        <w:pStyle w:val="Heading2"/>
      </w:pPr>
      <w:r>
        <w:t>128. Claim + two later sources: Environmental Implications of Dynamic Policies on Food Consumption and Waste Handling in the European Union</w:t>
      </w:r>
    </w:p>
    <w:p>
      <w:pPr>
        <w:pStyle w:val="SourceNote"/>
      </w:pPr>
      <w:r>
        <w:rPr>
          <w:b/>
        </w:rPr>
        <w:t>Group ID:</w:t>
      </w:r>
      <w:r>
        <w:t xml:space="preserve"> group-0bc44a3ebda2ad39509b</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European environment policy for the circular economy: Implications for business and industry stakeholders — https://doi.org/10.1002/sd.2113</w:t>
      </w:r>
    </w:p>
    <w:p>
      <w:pPr>
        <w:pStyle w:val="SourceNote"/>
      </w:pPr>
      <w:r>
        <w:rPr>
          <w:b/>
        </w:rPr>
        <w:t>Review status:</w:t>
      </w:r>
      <w:r>
        <w:t xml:space="preserve"> unchecked — group association only; no outcome judgment</w:t>
      </w:r>
    </w:p>
    <w:p>
      <w:pPr>
        <w:pStyle w:val="Heading2"/>
      </w:pPr>
      <w:r>
        <w:t>129.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group association only; no outcome judgment</w:t>
      </w:r>
    </w:p>
    <w:p>
      <w:pPr>
        <w:pStyle w:val="Heading2"/>
      </w:pPr>
      <w:r>
        <w:t>130. Claim + two later sources: Scenarios of water resources development in Poland up to 2030</w:t>
      </w:r>
    </w:p>
    <w:p>
      <w:pPr>
        <w:pStyle w:val="SourceNote"/>
      </w:pPr>
      <w:r>
        <w:rPr>
          <w:b/>
        </w:rPr>
        <w:t>Group ID:</w:t>
      </w:r>
      <w:r>
        <w:t xml:space="preserve"> group-8199fa2530151264e825</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Use of data mining techniques to explain the primary factors influencing water sensitivity of asphalt mixtures — https://doi.org/10.1016/j.conbuildmat.2022.128039</w:t>
      </w:r>
    </w:p>
    <w:p>
      <w:pPr/>
      <w:r>
        <w:rPr>
          <w:b/>
        </w:rPr>
        <w:t>Later source:</w:t>
      </w:r>
      <w:r>
        <w:t xml:space="preserve"> A sequential calibration technique to improve IRI using TEC estimates of the GNSS network in Europe — https://doi.org/10.5194/egusphere-egu21-4190</w:t>
      </w:r>
    </w:p>
    <w:p>
      <w:pPr>
        <w:pStyle w:val="SourceNote"/>
      </w:pPr>
      <w:r>
        <w:rPr>
          <w:b/>
        </w:rPr>
        <w:t>Review status:</w:t>
      </w:r>
      <w:r>
        <w:t xml:space="preserve"> unchecked — group association only; no outcome judgment</w:t>
      </w:r>
    </w:p>
    <w:p>
      <w:pPr>
        <w:pStyle w:val="Heading2"/>
      </w:pPr>
      <w:r>
        <w:t>131. Claim + two later sources: EFFECTS OF HYDROGEN PRODUCTION ON ECONOMIC GROWTH IN THE EUROPEAN UNION</w:t>
      </w:r>
    </w:p>
    <w:p>
      <w:pPr>
        <w:pStyle w:val="SourceNote"/>
      </w:pPr>
      <w:r>
        <w:rPr>
          <w:b/>
        </w:rPr>
        <w:t>Group ID:</w:t>
      </w:r>
      <w:r>
        <w:t xml:space="preserve"> group-a1fa065bce2e7918c378</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The influence of Gustav II Adolf's “Military Article” on the Russian “Military Article” of 1715 — https://doi.org/10.51885/3107-2755_ssadh_2026_2_14</w:t>
      </w:r>
    </w:p>
    <w:p>
      <w:pPr/>
      <w:r>
        <w:rPr>
          <w:b/>
        </w:rPr>
        <w:t>Later source:</w:t>
      </w:r>
      <w:r>
        <w:t xml:space="preserve"> Paleogeography of Europe, Central Asia, and Siberia in the Aalenian-Bathonian (Middle Jurassic) — https://doi.org/10.17223/25421379/39/6</w:t>
      </w:r>
    </w:p>
    <w:p>
      <w:pPr>
        <w:pStyle w:val="SourceNote"/>
      </w:pPr>
      <w:r>
        <w:rPr>
          <w:b/>
        </w:rPr>
        <w:t>Review status:</w:t>
      </w:r>
      <w:r>
        <w:t xml:space="preserve"> unchecked — group association only; no outcome judgment</w:t>
      </w:r>
    </w:p>
    <w:p>
      <w:pPr>
        <w:pStyle w:val="Heading2"/>
      </w:pPr>
      <w:r>
        <w:t>132. Claim + two later sources: Shaping science policy in Europe</w:t>
      </w:r>
    </w:p>
    <w:p>
      <w:pPr>
        <w:pStyle w:val="SourceNote"/>
      </w:pPr>
      <w:r>
        <w:rPr>
          <w:b/>
        </w:rPr>
        <w:t>Group ID:</w:t>
      </w:r>
      <w:r>
        <w:t xml:space="preserve"> group-e734b6aab00152dddc89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European Federation of Neurological Societies: parent to the European Academy of Neurology — https://doi.org/10.1111/ene.15680</w:t>
      </w:r>
    </w:p>
    <w:p>
      <w:pPr>
        <w:pStyle w:val="SourceNote"/>
      </w:pPr>
      <w:r>
        <w:rPr>
          <w:b/>
        </w:rPr>
        <w:t>Review status:</w:t>
      </w:r>
      <w:r>
        <w:t xml:space="preserve"> unchecked — group association only; no outcome judgment</w:t>
      </w:r>
    </w:p>
    <w:p>
      <w:pPr>
        <w:pStyle w:val="Heading2"/>
      </w:pPr>
      <w:r>
        <w:t>133. Claim + two later sources: Predicting Future European Breeding Distributions of British Seabird Species under Climate Change and Unlimited/No Dispersal Scenarios</w:t>
      </w:r>
    </w:p>
    <w:p>
      <w:pPr>
        <w:pStyle w:val="SourceNote"/>
      </w:pPr>
      <w:r>
        <w:rPr>
          <w:b/>
        </w:rPr>
        <w:t>Group ID:</w:t>
      </w:r>
      <w:r>
        <w:t xml:space="preserve"> group-e585209ee9774dd0f38d</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Trade‐Offs for Climate‐Smart Forestry in Europe Under Uncertain Future Climate — https://doi.org/10.1029/2022ef002796</w:t>
      </w:r>
    </w:p>
    <w:p>
      <w:pPr/>
      <w:r>
        <w:rPr>
          <w:b/>
        </w:rPr>
        <w:t>Later source:</w:t>
      </w:r>
      <w:r>
        <w:t xml:space="preserve"> Climate and Society in Europe The Last Thousand Years — https://doi.org/10.2445/9783258482347</w:t>
      </w:r>
    </w:p>
    <w:p>
      <w:pPr>
        <w:pStyle w:val="SourceNote"/>
      </w:pPr>
      <w:r>
        <w:rPr>
          <w:b/>
        </w:rPr>
        <w:t>Review status:</w:t>
      </w:r>
      <w:r>
        <w:t xml:space="preserve"> unchecked — group association only; no outcome judgment</w:t>
      </w:r>
    </w:p>
    <w:p>
      <w:pPr>
        <w:pStyle w:val="Heading2"/>
      </w:pPr>
      <w:r>
        <w:t>134. Claim + two later sources: PROBLEM OF PROFESSIONAL TRAINING OF FUTURE ECONOMISTS FOR DEVELOPMENT OF NATIONAL ECONOMY UNDER CONDITIONS OF EUROPEAN INTEGRATION</w:t>
      </w:r>
    </w:p>
    <w:p>
      <w:pPr>
        <w:pStyle w:val="SourceNote"/>
      </w:pPr>
      <w:r>
        <w:rPr>
          <w:b/>
        </w:rPr>
        <w:t>Group ID:</w:t>
      </w:r>
      <w:r>
        <w:t xml:space="preserve"> group-08878bd048551d2446ad</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Should organising premier-level European football be a monopoly? And who should run it? – An economists' perspective — https://doi.org/10.4324/9781003305989-6</w:t>
      </w:r>
    </w:p>
    <w:p>
      <w:pPr/>
      <w:r>
        <w:rPr>
          <w:b/>
        </w:rPr>
        <w:t>Later source:</w:t>
      </w:r>
      <w:r>
        <w:t xml:space="preserve"> Digital Competencies in Selected European Countries among University and High-School Students: Programming is lagging behind — https://doi.org/10.2478/bsrj-2022-0019</w:t>
      </w:r>
    </w:p>
    <w:p>
      <w:pPr>
        <w:pStyle w:val="SourceNote"/>
      </w:pPr>
      <w:r>
        <w:rPr>
          <w:b/>
        </w:rPr>
        <w:t>Review status:</w:t>
      </w:r>
      <w:r>
        <w:t xml:space="preserve"> unchecked — group association only; no outcome judgment</w:t>
      </w:r>
    </w:p>
    <w:p>
      <w:pPr>
        <w:pStyle w:val="Heading2"/>
      </w:pPr>
      <w:r>
        <w:t>135. Claim + two later sources: The CIRCE Simulations: Regional Climate Change Projections with Realistic Representation of the Mediterranean Sea</w:t>
      </w:r>
    </w:p>
    <w:p>
      <w:pPr>
        <w:pStyle w:val="SourceNote"/>
      </w:pPr>
      <w:r>
        <w:rPr>
          <w:b/>
        </w:rPr>
        <w:t>Group ID:</w:t>
      </w:r>
      <w:r>
        <w:t xml:space="preserve"> group-9f066b1e98429cc967e3</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Rolling force modeling based on neural network and mechanism model — https://doi.org/10.1007/s12206-025-0118-4</w:t>
      </w:r>
    </w:p>
    <w:p>
      <w:pPr/>
      <w:r>
        <w:rPr>
          <w:b/>
        </w:rPr>
        <w:t>Later source:</w:t>
      </w:r>
      <w:r>
        <w:t xml:space="preserve"> Inter-hemispheric asymmetries in high-latitude electrodynamic forcing and the thermosphere during the October 8–9, 2012, geomagnetic storm: An integrated data–Model investigation — https://doi.org/10.3389/fspas.2023.1062265</w:t>
      </w:r>
    </w:p>
    <w:p>
      <w:pPr>
        <w:pStyle w:val="SourceNote"/>
      </w:pPr>
      <w:r>
        <w:rPr>
          <w:b/>
        </w:rPr>
        <w:t>Review status:</w:t>
      </w:r>
      <w:r>
        <w:t xml:space="preserve"> unchecked — group association only; no outcome judgment</w:t>
      </w:r>
    </w:p>
    <w:p>
      <w:pPr>
        <w:pStyle w:val="Heading2"/>
      </w:pPr>
      <w:r>
        <w:t>136. Claim + two later sources: Scenarios for the future of the European process industry - the case of the chemical industry</w:t>
      </w:r>
    </w:p>
    <w:p>
      <w:pPr>
        <w:pStyle w:val="SourceNote"/>
      </w:pPr>
      <w:r>
        <w:rPr>
          <w:b/>
        </w:rPr>
        <w:t>Group ID:</w:t>
      </w:r>
      <w:r>
        <w:t xml:space="preserve"> group-d3a91e6b95e492da4cc3</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Food safety challenges and One Health within Europe — https://doi.org/10.1186/s13028-017-0355-3</w:t>
      </w:r>
    </w:p>
    <w:p>
      <w:pPr/>
      <w:r>
        <w:rPr>
          <w:b/>
        </w:rPr>
        <w:t>Later source:</w:t>
      </w:r>
      <w:r>
        <w:t xml:space="preserve"> Taxonomy of Chemical Bondings: Opportunities and Challenges — https://doi.org/10.1002/anie.202506525</w:t>
      </w:r>
    </w:p>
    <w:p>
      <w:pPr>
        <w:pStyle w:val="SourceNote"/>
      </w:pPr>
      <w:r>
        <w:rPr>
          <w:b/>
        </w:rPr>
        <w:t>Review status:</w:t>
      </w:r>
      <w:r>
        <w:t xml:space="preserve"> unchecked — group association only; no outcome judgment</w:t>
      </w:r>
    </w:p>
    <w:p>
      <w:pPr>
        <w:pStyle w:val="Heading2"/>
      </w:pPr>
      <w:r>
        <w:t>137. Claim + two later sources: The future of global trade and the WTO</w:t>
      </w:r>
    </w:p>
    <w:p>
      <w:pPr>
        <w:pStyle w:val="SourceNote"/>
      </w:pPr>
      <w:r>
        <w:rPr>
          <w:b/>
        </w:rPr>
        <w:t>Group ID:</w:t>
      </w:r>
      <w:r>
        <w:t xml:space="preserve"> group-09afc1d1d1b3baa0251e</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Contested World Economy — https://doi.org/10.1017/9781009337489</w:t>
      </w:r>
    </w:p>
    <w:p>
      <w:pPr>
        <w:pStyle w:val="SourceNote"/>
      </w:pPr>
      <w:r>
        <w:rPr>
          <w:b/>
        </w:rPr>
        <w:t>Review status:</w:t>
      </w:r>
      <w:r>
        <w:t xml:space="preserve"> unchecked — group association only; no outcome judgment</w:t>
      </w:r>
    </w:p>
    <w:p>
      <w:pPr>
        <w:pStyle w:val="Heading2"/>
      </w:pPr>
      <w:r>
        <w:t>138. Claim + two later sources: EU road vehicle energy consumption and CO2 emissions by 2050 – Expert-based scenarios</w:t>
      </w:r>
    </w:p>
    <w:p>
      <w:pPr>
        <w:pStyle w:val="SourceNote"/>
      </w:pPr>
      <w:r>
        <w:rPr>
          <w:b/>
        </w:rPr>
        <w:t>Group ID:</w:t>
      </w:r>
      <w:r>
        <w:t xml:space="preserve"> group-97e0ad646f4bdd4a651a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ARTIFICIAL INTELLIGENCE AS A TECHNO-STRATEGIC DOMAIN: A COMPARATIVE ANALYSIS OF THE INFLUENCE OF THINK TANKS ON US AND EUROPEAN AI POLICIES — https://doi.org/10.53443/anadoluibfd.1850103</w:t>
      </w:r>
    </w:p>
    <w:p>
      <w:pPr/>
      <w:r>
        <w:rPr>
          <w:b/>
        </w:rPr>
        <w:t>Later source:</w:t>
      </w:r>
      <w:r>
        <w:t xml:space="preserve"> Teaching Acoustics at the EELISA THINK TANK on SUSTAINABLE BUILDINGS — https://doi.org/10.61782/fa.2023.1301</w:t>
      </w:r>
    </w:p>
    <w:p>
      <w:pPr>
        <w:pStyle w:val="SourceNote"/>
      </w:pPr>
      <w:r>
        <w:rPr>
          <w:b/>
        </w:rPr>
        <w:t>Review status:</w:t>
      </w:r>
      <w:r>
        <w:t xml:space="preserve"> unchecked — group association only; no outcome judgment</w:t>
      </w:r>
    </w:p>
    <w:p>
      <w:pPr>
        <w:pStyle w:val="Heading2"/>
      </w:pPr>
      <w:r>
        <w:t>139. Claim + two later sources: Foresight of teachers’ professional challenges</w:t>
      </w:r>
    </w:p>
    <w:p>
      <w:pPr>
        <w:pStyle w:val="SourceNote"/>
      </w:pPr>
      <w:r>
        <w:rPr>
          <w:b/>
        </w:rPr>
        <w:t>Group ID:</w:t>
      </w:r>
      <w:r>
        <w:t xml:space="preserve"> group-01e096077a9b923b8dc4</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Main Results of the Second LPT Challenge — https://doi.org/10.55037/lxlaser.22nd.105</w:t>
      </w:r>
    </w:p>
    <w:p>
      <w:pPr/>
      <w:r>
        <w:rPr>
          <w:b/>
        </w:rPr>
        <w:t>Later source:</w:t>
      </w:r>
      <w:r>
        <w:t xml:space="preserve"> The Illocutionary Acts Found in Main Characters’ Conversation of the Maleficent Movie — https://doi.org/10.24256/ideas.v12i2.5457</w:t>
      </w:r>
    </w:p>
    <w:p>
      <w:pPr>
        <w:pStyle w:val="SourceNote"/>
      </w:pPr>
      <w:r>
        <w:rPr>
          <w:b/>
        </w:rPr>
        <w:t>Review status:</w:t>
      </w:r>
      <w:r>
        <w:t xml:space="preserve"> unchecked — group association only; no outcome judgment</w:t>
      </w:r>
    </w:p>
    <w:p>
      <w:pPr>
        <w:pStyle w:val="Heading2"/>
      </w:pPr>
      <w:r>
        <w:t>140. Claim + two later sources: Scenarios for population health inequalities in 2030 in Europe</w:t>
      </w:r>
    </w:p>
    <w:p>
      <w:pPr>
        <w:pStyle w:val="SourceNote"/>
      </w:pPr>
      <w:r>
        <w:rPr>
          <w:b/>
        </w:rPr>
        <w:t>Group ID:</w:t>
      </w:r>
      <w:r>
        <w:t xml:space="preserve"> group-44c9e554f5614f18c3ce</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Soil degradation in Europe is projected to accelerate under changing land use and climate — https://doi.org/10.1038/s44458-026-00064-4</w:t>
      </w:r>
    </w:p>
    <w:p>
      <w:pPr/>
      <w:r>
        <w:rPr>
          <w:b/>
        </w:rPr>
        <w:t>Later source:</w:t>
      </w:r>
      <w:r>
        <w:t xml:space="preserve"> A multi-level and multi-scale design approach supporting sustainable mobility and healthier living: AIR BREAK project in Ferrara, Italy — https://doi.org/10.1080/23748834.2024.2349862</w:t>
      </w:r>
    </w:p>
    <w:p>
      <w:pPr>
        <w:pStyle w:val="SourceNote"/>
      </w:pPr>
      <w:r>
        <w:rPr>
          <w:b/>
        </w:rPr>
        <w:t>Review status:</w:t>
      </w:r>
      <w:r>
        <w:t xml:space="preserve"> unchecked — group association only; no outcome judgment</w:t>
      </w:r>
    </w:p>
    <w:p>
      <w:pPr>
        <w:pStyle w:val="Heading2"/>
      </w:pPr>
      <w:r>
        <w:t>141. Claim + two later sources: REMIND-D: A Hybrid Energy-Economy Model of Germany</w:t>
      </w:r>
    </w:p>
    <w:p>
      <w:pPr>
        <w:pStyle w:val="SourceNote"/>
      </w:pPr>
      <w:r>
        <w:rPr>
          <w:b/>
        </w:rPr>
        <w:t>Group ID:</w:t>
      </w:r>
      <w:r>
        <w:t xml:space="preserve"> group-57f7f2e57d9708f3ce38</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Quantitative sovereign default models and the European debt crisis — https://doi.org/10.1016/j.jinteco.2019.01.011</w:t>
      </w:r>
    </w:p>
    <w:p>
      <w:pPr>
        <w:pStyle w:val="SourceNote"/>
      </w:pPr>
      <w:r>
        <w:rPr>
          <w:b/>
        </w:rPr>
        <w:t>Review status:</w:t>
      </w:r>
      <w:r>
        <w:t xml:space="preserve"> unchecked — group association only; no outcome judgment</w:t>
      </w:r>
    </w:p>
    <w:p>
      <w:pPr>
        <w:pStyle w:val="Heading2"/>
      </w:pPr>
      <w:r>
        <w:t>142. Claim + two later sources: Pathway Analysis of a Zero-Emission Transition in the Nordic-Baltic Region</w:t>
      </w:r>
    </w:p>
    <w:p>
      <w:pPr>
        <w:pStyle w:val="SourceNote"/>
      </w:pPr>
      <w:r>
        <w:rPr>
          <w:b/>
        </w:rPr>
        <w:t>Group ID:</w:t>
      </w:r>
      <w:r>
        <w:t xml:space="preserve"> group-3f3083bd37b14e108667</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Long-term optimization of the Norwegian energy system under the influence of the European power market — https://doi.org/10.1109/eem58374.2023.10161972</w:t>
      </w:r>
    </w:p>
    <w:p>
      <w:pPr>
        <w:pStyle w:val="SourceNote"/>
      </w:pPr>
      <w:r>
        <w:rPr>
          <w:b/>
        </w:rPr>
        <w:t>Review status:</w:t>
      </w:r>
      <w:r>
        <w:t xml:space="preserve"> unchecked — group association only; no outcome judgment</w:t>
      </w:r>
    </w:p>
    <w:p>
      <w:pPr>
        <w:pStyle w:val="Heading2"/>
      </w:pPr>
      <w:r>
        <w:t>143. Claim + two later sources: Bioenergy futures in Sweden – Modeling integration scenarios for biofuel production</w:t>
      </w:r>
    </w:p>
    <w:p>
      <w:pPr>
        <w:pStyle w:val="SourceNote"/>
      </w:pPr>
      <w:r>
        <w:rPr>
          <w:b/>
        </w:rPr>
        <w:t>Group ID:</w:t>
      </w:r>
      <w:r>
        <w:t xml:space="preserve"> group-cedc57b3b8908e589cf7</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Investigating the heterogeneity within Wild bird indices in Europe — https://doi.org/10.1016/j.biocon.2024.110452</w:t>
      </w:r>
    </w:p>
    <w:p>
      <w:pPr>
        <w:pStyle w:val="SourceNote"/>
      </w:pPr>
      <w:r>
        <w:rPr>
          <w:b/>
        </w:rPr>
        <w:t>Review status:</w:t>
      </w:r>
      <w:r>
        <w:t xml:space="preserve"> unchecked — group association only; no outcome judgment</w:t>
      </w:r>
    </w:p>
    <w:p>
      <w:pPr>
        <w:pStyle w:val="Heading2"/>
      </w:pPr>
      <w:r>
        <w:t>144. Claim + two later sources: Horizon scanning exercise on preparedness for future risk assessment requirements and possible challenges in regulatory science</w:t>
      </w:r>
    </w:p>
    <w:p>
      <w:pPr>
        <w:pStyle w:val="SourceNote"/>
      </w:pPr>
      <w:r>
        <w:rPr>
          <w:b/>
        </w:rPr>
        <w:t>Group ID:</w:t>
      </w:r>
      <w:r>
        <w:t xml:space="preserve"> group-6bcc27c08c3b777e789f</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group association only; no outcome judgment</w:t>
      </w:r>
    </w:p>
    <w:p>
      <w:pPr>
        <w:pStyle w:val="Heading2"/>
      </w:pPr>
      <w:r>
        <w:t>145.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group association only; no outcome judgment</w:t>
      </w:r>
    </w:p>
    <w:p>
      <w:pPr>
        <w:pStyle w:val="Heading2"/>
      </w:pPr>
      <w:r>
        <w:t>146. Claim + two later sources: Institutional issues in planning for more uncertain futures</w:t>
      </w:r>
    </w:p>
    <w:p>
      <w:pPr>
        <w:pStyle w:val="SourceNote"/>
      </w:pPr>
      <w:r>
        <w:rPr>
          <w:b/>
        </w:rPr>
        <w:t>Group ID:</w:t>
      </w:r>
      <w:r>
        <w:t xml:space="preserve"> group-98c1b65cd2cb36c91e0b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How ideas matter in public policy: a review of concepts, mechanisms, and methods — https://doi.org/10.4000/irpp.1343</w:t>
      </w:r>
    </w:p>
    <w:p>
      <w:pPr>
        <w:pStyle w:val="SourceNote"/>
      </w:pPr>
      <w:r>
        <w:rPr>
          <w:b/>
        </w:rPr>
        <w:t>Review status:</w:t>
      </w:r>
      <w:r>
        <w:t xml:space="preserve"> unchecked — group association only; no outcome judgment</w:t>
      </w:r>
    </w:p>
    <w:p>
      <w:pPr>
        <w:pStyle w:val="Heading2"/>
      </w:pPr>
      <w:r>
        <w:t>147. Claim + two later sources: La aplicación estratégica por escenarios en el medio natural. El caso del Nature Outlook 2050 del PBL.</w:t>
      </w:r>
    </w:p>
    <w:p>
      <w:pPr>
        <w:pStyle w:val="SourceNote"/>
      </w:pPr>
      <w:r>
        <w:rPr>
          <w:b/>
        </w:rPr>
        <w:t>Group ID:</w:t>
      </w:r>
      <w:r>
        <w:t xml:space="preserve"> group-c199a737270515739e2c</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GAD-7 Screening Tool Implementation — https://openalex.org/W7112211183</w:t>
      </w:r>
    </w:p>
    <w:p>
      <w:pPr/>
      <w:r>
        <w:rPr>
          <w:b/>
        </w:rPr>
        <w:t>Later source:</w:t>
      </w:r>
      <w:r>
        <w:t xml:space="preserve"> Implementation and use of remote work tools — https://doi.org/10.29119/1641-3466.2022.159.39</w:t>
      </w:r>
    </w:p>
    <w:p>
      <w:pPr>
        <w:pStyle w:val="SourceNote"/>
      </w:pPr>
      <w:r>
        <w:rPr>
          <w:b/>
        </w:rPr>
        <w:t>Review status:</w:t>
      </w:r>
      <w:r>
        <w:t xml:space="preserve"> unchecked — group association only; no outcome judgment</w:t>
      </w:r>
    </w:p>
    <w:p>
      <w:pPr>
        <w:pStyle w:val="Heading2"/>
      </w:pPr>
      <w:r>
        <w:t>148. Claim + two later sources: Backcasting for desirable futures in Finnish forest-based firms</w:t>
      </w:r>
    </w:p>
    <w:p>
      <w:pPr>
        <w:pStyle w:val="SourceNote"/>
      </w:pPr>
      <w:r>
        <w:rPr>
          <w:b/>
        </w:rPr>
        <w:t>Group ID:</w:t>
      </w:r>
      <w:r>
        <w:t xml:space="preserve"> group-4770ea3f79a53efd0b5f</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Technology‐Driven Business Ethics — https://doi.org/10.1002/9781394234028.ch20</w:t>
      </w:r>
    </w:p>
    <w:p>
      <w:pPr/>
      <w:r>
        <w:rPr>
          <w:b/>
        </w:rPr>
        <w:t>Later source:</w:t>
      </w:r>
      <w:r>
        <w:t xml:space="preserve"> ENTREPRENEURS' SKILL OF HANDLING TECHNOLOGY IN AGRO AND GENERAL BUSINESSES — https://doi.org/10.37231/apj.2022.5.1.312</w:t>
      </w:r>
    </w:p>
    <w:p>
      <w:pPr>
        <w:pStyle w:val="SourceNote"/>
      </w:pPr>
      <w:r>
        <w:rPr>
          <w:b/>
        </w:rPr>
        <w:t>Review status:</w:t>
      </w:r>
      <w:r>
        <w:t xml:space="preserve"> unchecked — group association only; no outcome judgment</w:t>
      </w:r>
    </w:p>
    <w:p>
      <w:pPr>
        <w:pStyle w:val="Heading2"/>
      </w:pPr>
      <w:r>
        <w:t>149. Claim + two later sources: Climate, competition and connectivity affect future migration and ranges of European trees</w:t>
      </w:r>
    </w:p>
    <w:p>
      <w:pPr>
        <w:pStyle w:val="SourceNote"/>
      </w:pPr>
      <w:r>
        <w:rPr>
          <w:b/>
        </w:rPr>
        <w:t>Group ID:</w:t>
      </w:r>
      <w:r>
        <w:t xml:space="preserve"> group-aa68d1deb0e7b8b3b35d</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Lecanora hybocarpa and similar European species — https://doi.org/10.1017/s0024282925101291</w:t>
      </w:r>
    </w:p>
    <w:p>
      <w:pPr/>
      <w:r>
        <w:rPr>
          <w:b/>
        </w:rPr>
        <w:t>Later source:</w:t>
      </w:r>
      <w:r>
        <w:t xml:space="preserve"> Mechanised Harvesting of Broadleaved Tree Species in Europe — https://doi.org/10.1007/s40725-021-00154-7</w:t>
      </w:r>
    </w:p>
    <w:p>
      <w:pPr>
        <w:pStyle w:val="SourceNote"/>
      </w:pPr>
      <w:r>
        <w:rPr>
          <w:b/>
        </w:rPr>
        <w:t>Review status:</w:t>
      </w:r>
      <w:r>
        <w:t xml:space="preserve"> unchecked — group association only; no outcome judgment</w:t>
      </w:r>
    </w:p>
    <w:p>
      <w:pPr>
        <w:pStyle w:val="Heading2"/>
      </w:pPr>
      <w:r>
        <w:t>150. Claim + two later sources: The July 2019 European Heat Wave in a Warmer Climate: Storyline Scenarios with a Coupled Model Using Spectral Nudging</w:t>
      </w:r>
    </w:p>
    <w:p>
      <w:pPr>
        <w:pStyle w:val="SourceNote"/>
      </w:pPr>
      <w:r>
        <w:rPr>
          <w:b/>
        </w:rPr>
        <w:t>Group ID:</w:t>
      </w:r>
      <w:r>
        <w:t xml:space="preserve"> group-09d19acb0528ef4b533e</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Research on climate effects of large herbivores in Europe: a systematic map — https://doi.org/10.1186/s13750-026-00392-x</w:t>
      </w:r>
    </w:p>
    <w:p>
      <w:pPr/>
      <w:r>
        <w:rPr>
          <w:b/>
        </w:rPr>
        <w:t>Later source:</w:t>
      </w:r>
      <w:r>
        <w:t xml:space="preserve"> Climate change worry and the association with future depression and anxiety: cross-national analysis of 11 European countries — https://doi.org/10.1136/bmjment-2024-301318</w:t>
      </w:r>
    </w:p>
    <w:p>
      <w:pPr>
        <w:pStyle w:val="SourceNote"/>
      </w:pPr>
      <w:r>
        <w:rPr>
          <w:b/>
        </w:rPr>
        <w:t>Review status:</w:t>
      </w:r>
      <w:r>
        <w:t xml:space="preserve"> unchecked — group association only; no outcome judgment</w:t>
      </w:r>
    </w:p>
    <w:p>
      <w:pPr>
        <w:pStyle w:val="Heading2"/>
      </w:pPr>
      <w:r>
        <w:t>151. Claim + two later sources: Futures of science with and for society: towards transformative policy orientations</w:t>
      </w:r>
    </w:p>
    <w:p>
      <w:pPr>
        <w:pStyle w:val="SourceNote"/>
      </w:pPr>
      <w:r>
        <w:rPr>
          <w:b/>
        </w:rPr>
        <w:t>Group ID:</w:t>
      </w:r>
      <w:r>
        <w:t xml:space="preserve"> group-cfa051baec7db5d31058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The Methodological Essence and Content of the Concept of Cultural Development — https://openalex.org/W7219340893</w:t>
      </w:r>
    </w:p>
    <w:p>
      <w:pPr/>
      <w:r>
        <w:rPr>
          <w:b/>
        </w:rPr>
        <w:t>Later source:</w:t>
      </w:r>
      <w:r>
        <w:t xml:space="preserve"> The essence and content of scientific research methodology — https://doi.org/10.12775/jehs.2024.63.020</w:t>
      </w:r>
    </w:p>
    <w:p>
      <w:pPr>
        <w:pStyle w:val="SourceNote"/>
      </w:pPr>
      <w:r>
        <w:rPr>
          <w:b/>
        </w:rPr>
        <w:t>Review status:</w:t>
      </w:r>
      <w:r>
        <w:t xml:space="preserve"> unchecked — group association only; no outcome judgment</w:t>
      </w:r>
    </w:p>
    <w:p>
      <w:pPr>
        <w:pStyle w:val="Heading2"/>
      </w:pPr>
      <w:r>
        <w:t>152. Claim + two later sources: Population Projections and Demographic Knowledge in France and Great Britain in the Postwar Period</w:t>
      </w:r>
    </w:p>
    <w:p>
      <w:pPr>
        <w:pStyle w:val="SourceNote"/>
      </w:pPr>
      <w:r>
        <w:rPr>
          <w:b/>
        </w:rPr>
        <w:t>Group ID:</w:t>
      </w:r>
      <w:r>
        <w:t xml:space="preserve"> group-a73ee59a865136ec941f</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A unifying modelling of multiple land degradation pathways in Europe — https://doi.org/10.1038/s41467-024-48252-x</w:t>
      </w:r>
    </w:p>
    <w:p>
      <w:pPr/>
      <w:r>
        <w:rPr>
          <w:b/>
        </w:rPr>
        <w:t>Later source:</w:t>
      </w:r>
      <w:r>
        <w:t xml:space="preserve"> Encountering Diversity in France and “Eurafrica” — https://doi.org/10.7591/cornell/9781501765605.003.0005</w:t>
      </w:r>
    </w:p>
    <w:p>
      <w:pPr>
        <w:pStyle w:val="SourceNote"/>
      </w:pPr>
      <w:r>
        <w:rPr>
          <w:b/>
        </w:rPr>
        <w:t>Review status:</w:t>
      </w:r>
      <w:r>
        <w:t xml:space="preserve"> unchecked — group association only; no outcome judgment</w:t>
      </w:r>
    </w:p>
    <w:p>
      <w:pPr>
        <w:pStyle w:val="Heading2"/>
      </w:pPr>
      <w:r>
        <w:t>153. Claim + two later sources: Conducting pre-foresight research: organizational aspect</w:t>
      </w:r>
    </w:p>
    <w:p>
      <w:pPr>
        <w:pStyle w:val="SourceNote"/>
      </w:pPr>
      <w:r>
        <w:rPr>
          <w:b/>
        </w:rPr>
        <w:t>Group ID:</w:t>
      </w:r>
      <w:r>
        <w:t xml:space="preserve"> group-355e80dccc4eef71c259</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FAIRsharing record for: FAIR Metric - R1.2 - Metadata - Linked Publications — https://doi.org/10.25504/fairsharing.653df6</w:t>
      </w:r>
    </w:p>
    <w:p>
      <w:pPr/>
      <w:r>
        <w:rPr>
          <w:b/>
        </w:rPr>
        <w:t>Later source:</w:t>
      </w:r>
      <w:r>
        <w:t xml:space="preserve"> Knowledge Management Practice in the Indian Publications Industry with a Case Study of Publications Hub, India — https://doi.org/10.30954/2322-0465.01.2026.14</w:t>
      </w:r>
    </w:p>
    <w:p>
      <w:pPr>
        <w:pStyle w:val="SourceNote"/>
      </w:pPr>
      <w:r>
        <w:rPr>
          <w:b/>
        </w:rPr>
        <w:t>Review status:</w:t>
      </w:r>
      <w:r>
        <w:t xml:space="preserve"> unchecked — group association only; no outcome judgment</w:t>
      </w:r>
    </w:p>
    <w:p>
      <w:pPr>
        <w:pStyle w:val="Heading2"/>
      </w:pPr>
      <w:r>
        <w:t>154. Claim + two later sources: A threat to climate-secure European futures? Exploring racial logics and climate-induced migration in US and EU climate security discourses</w:t>
      </w:r>
    </w:p>
    <w:p>
      <w:pPr>
        <w:pStyle w:val="SourceNote"/>
      </w:pPr>
      <w:r>
        <w:rPr>
          <w:b/>
        </w:rPr>
        <w:t>Group ID:</w:t>
      </w:r>
      <w:r>
        <w:t xml:space="preserve"> group-084e49678953f2aaf2b2</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Thinking Europe Otherwise: Lessons from the Caribbean — https://doi.org/10.1177/0011392120931139</w:t>
      </w:r>
    </w:p>
    <w:p>
      <w:pPr/>
      <w:r>
        <w:rPr>
          <w:b/>
        </w:rPr>
        <w:t>Later source:</w:t>
      </w:r>
      <w:r>
        <w:t xml:space="preserve"> The right to a healthy environment: Reconceptualizing human rights in the face of climate change — https://doi.org/10.1111/reel.12430</w:t>
      </w:r>
    </w:p>
    <w:p>
      <w:pPr>
        <w:pStyle w:val="SourceNote"/>
      </w:pPr>
      <w:r>
        <w:rPr>
          <w:b/>
        </w:rPr>
        <w:t>Review status:</w:t>
      </w:r>
      <w:r>
        <w:t xml:space="preserve"> unchecked — group association only; no outcome judgment</w:t>
      </w:r>
    </w:p>
    <w:p>
      <w:pPr>
        <w:pStyle w:val="Heading2"/>
      </w:pPr>
      <w:r>
        <w:t>155. Claim + two later sources: Animal health aspects of adaptation to climate change: beating the heat and parasites in a warming Europe</w:t>
      </w:r>
    </w:p>
    <w:p>
      <w:pPr>
        <w:pStyle w:val="SourceNote"/>
      </w:pPr>
      <w:r>
        <w:rPr>
          <w:b/>
        </w:rPr>
        <w:t>Group ID:</w:t>
      </w:r>
      <w:r>
        <w:t xml:space="preserve"> group-f8dda293d53103748a08</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Regulations for Medical Devices in Europe and Germany — https://doi.org/10.1007/978-3-032-03577-6_14</w:t>
      </w:r>
    </w:p>
    <w:p>
      <w:pPr/>
      <w:r>
        <w:rPr>
          <w:b/>
        </w:rPr>
        <w:t>Later source:</w:t>
      </w:r>
      <w:r>
        <w:t xml:space="preserve"> Contribution of climate change to the spatial expansion of West Nile virus in Europe — https://doi.org/10.1038/s41467-024-45290-3</w:t>
      </w:r>
    </w:p>
    <w:p>
      <w:pPr>
        <w:pStyle w:val="SourceNote"/>
      </w:pPr>
      <w:r>
        <w:rPr>
          <w:b/>
        </w:rPr>
        <w:t>Review status:</w:t>
      </w:r>
      <w:r>
        <w:t xml:space="preserve"> unchecked — group association only; no outcome judgment</w:t>
      </w:r>
    </w:p>
    <w:p>
      <w:pPr>
        <w:pStyle w:val="Heading2"/>
      </w:pPr>
      <w:r>
        <w:t>156. Claim + two later sources: The pitfalls of ecological forecasting</w:t>
      </w:r>
    </w:p>
    <w:p>
      <w:pPr>
        <w:pStyle w:val="SourceNote"/>
      </w:pPr>
      <w:r>
        <w:rPr>
          <w:b/>
        </w:rPr>
        <w:t>Group ID:</w:t>
      </w:r>
      <w:r>
        <w:t xml:space="preserve"> group-d47d2c3f6550de2becc8</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pStyle w:val="SourceNote"/>
      </w:pPr>
      <w:r>
        <w:rPr>
          <w:b/>
        </w:rPr>
        <w:t>Review status:</w:t>
      </w:r>
      <w:r>
        <w:t xml:space="preserve"> unchecked — group association only; no outcome judgment</w:t>
      </w:r>
    </w:p>
    <w:p>
      <w:pPr>
        <w:pStyle w:val="Heading2"/>
      </w:pPr>
      <w:r>
        <w:t>157. Claim + two later sources: Climate Change Effects on Heat- and Cold-Related Mortality in the Netherlands: A Scenario-Based Integrated Environmental Health Impact Assessment</w:t>
      </w:r>
    </w:p>
    <w:p>
      <w:pPr>
        <w:pStyle w:val="SourceNote"/>
      </w:pPr>
      <w:r>
        <w:rPr>
          <w:b/>
        </w:rPr>
        <w:t>Group ID:</w:t>
      </w:r>
      <w:r>
        <w:t xml:space="preserve"> group-99a507673f7a304c02c2</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Heat-related health impacts across national mitigation and urban adaptation scenarios in European cities - Data — https://doi.org/10.5281/zenodo.20666093</w:t>
      </w:r>
    </w:p>
    <w:p>
      <w:pPr/>
      <w:r>
        <w:rPr>
          <w:b/>
        </w:rPr>
        <w:t>Later source:</w:t>
      </w:r>
      <w:r>
        <w:t xml:space="preserve"> High resolution assessment of air quality and health in Europe under different climate mitigation scenarios — https://doi.org/10.1038/s41467-025-60449-2</w:t>
      </w:r>
    </w:p>
    <w:p>
      <w:pPr>
        <w:pStyle w:val="SourceNote"/>
      </w:pPr>
      <w:r>
        <w:rPr>
          <w:b/>
        </w:rPr>
        <w:t>Review status:</w:t>
      </w:r>
      <w:r>
        <w:t xml:space="preserve"> unchecked — group association only; no outcome judgment</w:t>
      </w:r>
    </w:p>
    <w:p>
      <w:pPr>
        <w:pStyle w:val="Heading2"/>
      </w:pPr>
      <w:r>
        <w:t>158. Claim + two later sources: Scenario planning: An alternative approach to European Commission for combating antimicrobial resistance by 2050</w:t>
      </w:r>
    </w:p>
    <w:p>
      <w:pPr>
        <w:pStyle w:val="SourceNote"/>
      </w:pPr>
      <w:r>
        <w:rPr>
          <w:b/>
        </w:rPr>
        <w:t>Group ID:</w:t>
      </w:r>
      <w:r>
        <w:t xml:space="preserve"> group-7630331f13db9b364a97</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Achievements, priorities and strategies in pediatric nephrology in Europe — https://openalex.org/W7135161588</w:t>
      </w:r>
    </w:p>
    <w:p>
      <w:pPr>
        <w:pStyle w:val="SourceNote"/>
      </w:pPr>
      <w:r>
        <w:rPr>
          <w:b/>
        </w:rPr>
        <w:t>Review status:</w:t>
      </w:r>
      <w:r>
        <w:t xml:space="preserve"> unchecked — group association only; no outcome judgment</w:t>
      </w:r>
    </w:p>
    <w:p>
      <w:pPr>
        <w:pStyle w:val="Heading2"/>
      </w:pPr>
      <w:r>
        <w:t>159.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group association only; no outcome judgment</w:t>
      </w:r>
    </w:p>
    <w:p>
      <w:pPr>
        <w:pStyle w:val="Heading2"/>
      </w:pPr>
      <w:r>
        <w:t>160. Claim + two later sources: How climate, migration ability and habitat fragmentation affect the projected future distribution of European beech</w:t>
      </w:r>
    </w:p>
    <w:p>
      <w:pPr>
        <w:pStyle w:val="SourceNote"/>
      </w:pPr>
      <w:r>
        <w:rPr>
          <w:b/>
        </w:rPr>
        <w:t>Group ID:</w:t>
      </w:r>
      <w:r>
        <w:t xml:space="preserve"> group-e13b8d43962e66337af7</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Marine fish ranges are expanding and shifting deeper across the European continental shelf — https://doi.org/10.1038/s41467-026-74371-8</w:t>
      </w:r>
    </w:p>
    <w:p>
      <w:pPr/>
      <w:r>
        <w:rPr>
          <w:b/>
        </w:rPr>
        <w:t>Later source:</w:t>
      </w:r>
      <w:r>
        <w:t xml:space="preserve"> Range and climate niche shifts in European and North American breeding birds — https://doi.org/10.1098/rstb.2023.0013</w:t>
      </w:r>
    </w:p>
    <w:p>
      <w:pPr>
        <w:pStyle w:val="SourceNote"/>
      </w:pPr>
      <w:r>
        <w:rPr>
          <w:b/>
        </w:rPr>
        <w:t>Review status:</w:t>
      </w:r>
      <w:r>
        <w:t xml:space="preserve"> unchecked — group association only; no outcome judgment</w:t>
      </w:r>
    </w:p>
    <w:p>
      <w:pPr>
        <w:pStyle w:val="Heading2"/>
      </w:pPr>
      <w:r>
        <w:t>161. Claim + two later sources: Least cost energy system pathways towards 100% renewable energy in Ireland by 2050</w:t>
      </w:r>
    </w:p>
    <w:p>
      <w:pPr>
        <w:pStyle w:val="SourceNote"/>
      </w:pPr>
      <w:r>
        <w:rPr>
          <w:b/>
        </w:rPr>
        <w:t>Group ID:</w:t>
      </w:r>
      <w:r>
        <w:t xml:space="preserve"> group-10240d7eba462d179c5d</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Oncoplastic breast surgery in Europe — https://doi.org/10.21037/gs-23-380</w:t>
      </w:r>
    </w:p>
    <w:p>
      <w:pPr/>
      <w:r>
        <w:rPr>
          <w:b/>
        </w:rPr>
        <w:t>Later source:</w:t>
      </w:r>
      <w:r>
        <w:t xml:space="preserve"> Precedent in the system of the European Convention on Human Rights — https://doi.org/10.4324/9781003264262-15</w:t>
      </w:r>
    </w:p>
    <w:p>
      <w:pPr>
        <w:pStyle w:val="SourceNote"/>
      </w:pPr>
      <w:r>
        <w:rPr>
          <w:b/>
        </w:rPr>
        <w:t>Review status:</w:t>
      </w:r>
      <w:r>
        <w:t xml:space="preserve"> unchecked — group association only; no outcome judgment</w:t>
      </w:r>
    </w:p>
    <w:p>
      <w:pPr>
        <w:pStyle w:val="Heading2"/>
      </w:pPr>
      <w:r>
        <w:t>162. Claim + two later sources: The Deliberative Practice of Vision Mobility 2050: Vision-making for Sustainable Mobility in the Region of Munich?</w:t>
      </w:r>
    </w:p>
    <w:p>
      <w:pPr>
        <w:pStyle w:val="SourceNote"/>
      </w:pPr>
      <w:r>
        <w:rPr>
          <w:b/>
        </w:rPr>
        <w:t>Group ID:</w:t>
      </w:r>
      <w:r>
        <w:t xml:space="preserve"> group-be55b3a095927a461cbc</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Sustainability and competition policy in Europe: recent developments — https://doi.org/10.1093/jeclap/lpae063</w:t>
      </w:r>
    </w:p>
    <w:p>
      <w:pPr/>
      <w:r>
        <w:rPr>
          <w:b/>
        </w:rPr>
        <w:t>Later source:</w:t>
      </w:r>
      <w:r>
        <w:t xml:space="preserve"> Un/seeing race:Articulating differences in governing people in Europe through multimodal methods — https://openalex.org/W7135537615</w:t>
      </w:r>
    </w:p>
    <w:p>
      <w:pPr>
        <w:pStyle w:val="SourceNote"/>
      </w:pPr>
      <w:r>
        <w:rPr>
          <w:b/>
        </w:rPr>
        <w:t>Review status:</w:t>
      </w:r>
      <w:r>
        <w:t xml:space="preserve"> unchecked — group association only; no outcome judgment</w:t>
      </w:r>
    </w:p>
    <w:p>
      <w:pPr>
        <w:pStyle w:val="Heading2"/>
      </w:pPr>
      <w:r>
        <w:t>163. Claim + two later sources: The role of district heating systems to provide balancing services in the European Union</w:t>
      </w:r>
    </w:p>
    <w:p>
      <w:pPr>
        <w:pStyle w:val="SourceNote"/>
      </w:pPr>
      <w:r>
        <w:rPr>
          <w:b/>
        </w:rPr>
        <w:t>Group ID:</w:t>
      </w:r>
      <w:r>
        <w:t xml:space="preserve"> group-074c01ecd3127d8fa22c</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Overcoming the central planner approach – Bilevel optimization of the European energy transition — https://doi.org/10.1016/j.isci.2024.110168</w:t>
      </w:r>
    </w:p>
    <w:p>
      <w:pPr/>
      <w:r>
        <w:rPr>
          <w:b/>
        </w:rPr>
        <w:t>Later source:</w:t>
      </w:r>
      <w:r>
        <w:t xml:space="preserve"> “The heat of a multitudinous assembly”: Striking short fiction and the rise of feminist potencia — https://doi.org/10.1111/lic3.12740</w:t>
      </w:r>
    </w:p>
    <w:p>
      <w:pPr>
        <w:pStyle w:val="SourceNote"/>
      </w:pPr>
      <w:r>
        <w:rPr>
          <w:b/>
        </w:rPr>
        <w:t>Review status:</w:t>
      </w:r>
      <w:r>
        <w:t xml:space="preserve"> unchecked — group association only; no outcome judgment</w:t>
      </w:r>
    </w:p>
    <w:p>
      <w:pPr>
        <w:pStyle w:val="Heading2"/>
      </w:pPr>
      <w:r>
        <w:t>164.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group association only; no outcome judgment</w:t>
      </w:r>
    </w:p>
    <w:p>
      <w:pPr>
        <w:pStyle w:val="Heading2"/>
      </w:pPr>
      <w:r>
        <w:t>165. Claim + two later sources: Scenarios for selected maritime economic functions</w:t>
      </w:r>
    </w:p>
    <w:p>
      <w:pPr>
        <w:pStyle w:val="SourceNote"/>
      </w:pPr>
      <w:r>
        <w:rPr>
          <w:b/>
        </w:rPr>
        <w:t>Group ID:</w:t>
      </w:r>
      <w:r>
        <w:t xml:space="preserve"> group-f356508a4da2e27a4493</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Current Status of the Algae Production Industry in Europe: An Emerging Sector of the Blue Bioeconomy — https://doi.org/10.3389/fmars.2020.626389</w:t>
      </w:r>
    </w:p>
    <w:p>
      <w:pPr>
        <w:pStyle w:val="SourceNote"/>
      </w:pPr>
      <w:r>
        <w:rPr>
          <w:b/>
        </w:rPr>
        <w:t>Review status:</w:t>
      </w:r>
      <w:r>
        <w:t xml:space="preserve"> unchecked — group association only; no outcome judgment</w:t>
      </w:r>
    </w:p>
    <w:p>
      <w:pPr>
        <w:pStyle w:val="Heading2"/>
      </w:pPr>
      <w:r>
        <w:t>166. Claim + two later sources: Towards Europe 2035 - In Search of the Archimedean Screw: FOCUS in Perspective</w:t>
      </w:r>
    </w:p>
    <w:p>
      <w:pPr>
        <w:pStyle w:val="SourceNote"/>
      </w:pPr>
      <w:r>
        <w:rPr>
          <w:b/>
        </w:rPr>
        <w:t>Group ID:</w:t>
      </w:r>
      <w:r>
        <w:t xml:space="preserve"> group-2997c97102fd34c1511d</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PUBLIC SECURITY AS AN ADMINISTRATIVE FUNCTION IN THE EUROPEAN UNION. A MULTILEVEL GOVERNANCE APPROACH — https://doi.org/10.13165/pspo-25-38-01-02</w:t>
      </w:r>
    </w:p>
    <w:p>
      <w:pPr/>
      <w:r>
        <w:rPr>
          <w:b/>
        </w:rPr>
        <w:t>Later source:</w:t>
      </w:r>
      <w:r>
        <w:t xml:space="preserve"> NATO’s evolution and European security dynamics — https://doi.org/10.1007/s44282-026-00594-1</w:t>
      </w:r>
    </w:p>
    <w:p>
      <w:pPr>
        <w:pStyle w:val="SourceNote"/>
      </w:pPr>
      <w:r>
        <w:rPr>
          <w:b/>
        </w:rPr>
        <w:t>Review status:</w:t>
      </w:r>
      <w:r>
        <w:t xml:space="preserve"> unchecked — group association only; no outcome judgment</w:t>
      </w:r>
    </w:p>
    <w:p>
      <w:pPr>
        <w:pStyle w:val="Heading2"/>
      </w:pPr>
      <w:r>
        <w:t>167. Claim + two later sources: Towards an assessment of adaptive capacity of the European agricultural sector to droughts</w:t>
      </w:r>
    </w:p>
    <w:p>
      <w:pPr>
        <w:pStyle w:val="SourceNote"/>
      </w:pPr>
      <w:r>
        <w:rPr>
          <w:b/>
        </w:rPr>
        <w:t>Group ID:</w:t>
      </w:r>
      <w:r>
        <w:t xml:space="preserve"> group-722a36de2773b79b8a55</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High resolution maps of European agricultural indicators — https://doi.org/10.5194/egusphere-egu25-16510</w:t>
      </w:r>
    </w:p>
    <w:p>
      <w:pPr/>
      <w:r>
        <w:rPr>
          <w:b/>
        </w:rPr>
        <w:t>Later source:</w:t>
      </w:r>
      <w:r>
        <w:t xml:space="preserve"> Creating a data processing warehouse to support performance monitoring of cancer screening programmes in Europe using a common set of indicators — https://doi.org/10.1093/eurpub/ckaf119</w:t>
      </w:r>
    </w:p>
    <w:p>
      <w:pPr>
        <w:pStyle w:val="SourceNote"/>
      </w:pPr>
      <w:r>
        <w:rPr>
          <w:b/>
        </w:rPr>
        <w:t>Review status:</w:t>
      </w:r>
      <w:r>
        <w:t xml:space="preserve"> unchecked — group association only; no outcome judgment</w:t>
      </w:r>
    </w:p>
    <w:p>
      <w:pPr>
        <w:pStyle w:val="Heading2"/>
      </w:pPr>
      <w:r>
        <w:t>168.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group-511ba903d2e10f434e77</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Precise Editing of Indolines at Different Positions via SET and CMD Pathways — https://doi.org/10.1021/jacsau.6c00050</w:t>
      </w:r>
    </w:p>
    <w:p>
      <w:pPr/>
      <w:r>
        <w:rPr>
          <w:b/>
        </w:rPr>
        <w:t>Later source:</w:t>
      </w:r>
      <w:r>
        <w:t xml:space="preserve"> Factors Influencing Participation in Student Evaluation of Teaching (SETs): A Quality Improvement Analysis — https://doi.org/10.1002/jdd.70303</w:t>
      </w:r>
    </w:p>
    <w:p>
      <w:pPr>
        <w:pStyle w:val="SourceNote"/>
      </w:pPr>
      <w:r>
        <w:rPr>
          <w:b/>
        </w:rPr>
        <w:t>Review status:</w:t>
      </w:r>
      <w:r>
        <w:t xml:space="preserve"> unchecked — group association only; no outcome judgment</w:t>
      </w:r>
    </w:p>
    <w:p>
      <w:pPr>
        <w:pStyle w:val="Heading2"/>
      </w:pPr>
      <w:r>
        <w:t>169. Claim + two later sources: One step ahead? The use of foresight by Czech and Slovak non-governmental organizations</w:t>
      </w:r>
    </w:p>
    <w:p>
      <w:pPr>
        <w:pStyle w:val="SourceNote"/>
      </w:pPr>
      <w:r>
        <w:rPr>
          <w:b/>
        </w:rPr>
        <w:t>Group ID:</w:t>
      </w:r>
      <w:r>
        <w:t xml:space="preserve"> group-2bc333f213a83c6abcba</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The End of Bourgeois Humanism and the Mindfulness of Nature in Adorno’s Writings of the 1950s and 1960s — https://doi.org/10.65272/978-88-6977-570-3_5</w:t>
      </w:r>
    </w:p>
    <w:p>
      <w:pPr/>
      <w:r>
        <w:rPr>
          <w:b/>
        </w:rPr>
        <w:t>Later source:</w:t>
      </w:r>
      <w:r>
        <w:t xml:space="preserve"> Rethinking Automation and the Future of Work with Hannah Arendt — https://doi.org/10.1007/s10551-025-05991-1</w:t>
      </w:r>
    </w:p>
    <w:p>
      <w:pPr>
        <w:pStyle w:val="SourceNote"/>
      </w:pPr>
      <w:r>
        <w:rPr>
          <w:b/>
        </w:rPr>
        <w:t>Review status:</w:t>
      </w:r>
      <w:r>
        <w:t xml:space="preserve"> unchecked — group association only; no outcome judgment</w:t>
      </w:r>
    </w:p>
    <w:p>
      <w:pPr>
        <w:pStyle w:val="Heading2"/>
      </w:pPr>
      <w:r>
        <w:t>170.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group association only; no outcome judgment</w:t>
      </w:r>
    </w:p>
    <w:p>
      <w:pPr>
        <w:pStyle w:val="Heading2"/>
      </w:pPr>
      <w:r>
        <w:t>171.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group association only; no outcome judgment</w:t>
      </w:r>
    </w:p>
    <w:p>
      <w:pPr>
        <w:pStyle w:val="Heading2"/>
      </w:pPr>
      <w:r>
        <w:t>172.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group association only; no outcome judgment</w:t>
      </w:r>
    </w:p>
    <w:p>
      <w:pPr>
        <w:pStyle w:val="Heading2"/>
      </w:pPr>
      <w:r>
        <w:t>173. Claim + two later sources: How much does climate change threaten European forest tree species distributions?</w:t>
      </w:r>
    </w:p>
    <w:p>
      <w:pPr>
        <w:pStyle w:val="SourceNote"/>
      </w:pPr>
      <w:r>
        <w:rPr>
          <w:b/>
        </w:rPr>
        <w:t>Group ID:</w:t>
      </w:r>
      <w:r>
        <w:t xml:space="preserve"> group-2411e744243b3819d8f9</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A scoping review of human health co-benefits of forest-based climate change mitigation in Europe — https://doi.org/10.1016/j.envint.2024.108593</w:t>
      </w:r>
    </w:p>
    <w:p>
      <w:pPr/>
      <w:r>
        <w:rPr>
          <w:b/>
        </w:rPr>
        <w:t>Later source:</w:t>
      </w:r>
      <w:r>
        <w:t xml:space="preserve"> Tracking climate change and health in Europe — https://doi.org/10.1289/isee.2023.op-169</w:t>
      </w:r>
    </w:p>
    <w:p>
      <w:pPr>
        <w:pStyle w:val="SourceNote"/>
      </w:pPr>
      <w:r>
        <w:rPr>
          <w:b/>
        </w:rPr>
        <w:t>Review status:</w:t>
      </w:r>
      <w:r>
        <w:t xml:space="preserve"> unchecked — group association only; no outcome judgment</w:t>
      </w:r>
    </w:p>
    <w:p>
      <w:pPr>
        <w:pStyle w:val="Heading2"/>
      </w:pPr>
      <w:r>
        <w:t>174. Claim + two later sources: European Road Safety Policy 2016-2020: A Forecast on Topics and Activities</w:t>
      </w:r>
    </w:p>
    <w:p>
      <w:pPr>
        <w:pStyle w:val="SourceNote"/>
      </w:pPr>
      <w:r>
        <w:rPr>
          <w:b/>
        </w:rPr>
        <w:t>Group ID:</w:t>
      </w:r>
      <w:r>
        <w:t xml:space="preserve"> group-483b042be6307af9a43e</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THE LEGISLATIVE POWER IN THE EUROPEAN UNION — https://doi.org/10.56238/sevened2026.035-019</w:t>
      </w:r>
    </w:p>
    <w:p>
      <w:pPr>
        <w:pStyle w:val="SourceNote"/>
      </w:pPr>
      <w:r>
        <w:rPr>
          <w:b/>
        </w:rPr>
        <w:t>Review status:</w:t>
      </w:r>
      <w:r>
        <w:t xml:space="preserve"> unchecked — group association only; no outcome judgment</w:t>
      </w:r>
    </w:p>
    <w:p>
      <w:pPr>
        <w:pStyle w:val="Heading2"/>
      </w:pPr>
      <w:r>
        <w:t>175. Claim + two later sources: ECONOMIC GROWTH PROJECTION FOR EUROPEAN UNION BY 2030</w:t>
      </w:r>
    </w:p>
    <w:p>
      <w:pPr>
        <w:pStyle w:val="SourceNote"/>
      </w:pPr>
      <w:r>
        <w:rPr>
          <w:b/>
        </w:rPr>
        <w:t>Group ID:</w:t>
      </w:r>
      <w:r>
        <w:t xml:space="preserve"> group-90c69ae67133f76369cb</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Institutional Development of Family-owned Businesses in Japan: A European Perspective — https://doi.org/10.25105/ijsmebs.v1i4.20500</w:t>
      </w:r>
    </w:p>
    <w:p>
      <w:pPr>
        <w:pStyle w:val="SourceNote"/>
      </w:pPr>
      <w:r>
        <w:rPr>
          <w:b/>
        </w:rPr>
        <w:t>Review status:</w:t>
      </w:r>
      <w:r>
        <w:t xml:space="preserve"> unchecked — group association only; no outcome judgment</w:t>
      </w:r>
    </w:p>
    <w:p>
      <w:pPr>
        <w:pStyle w:val="Heading2"/>
      </w:pPr>
      <w:r>
        <w:t>176. Claim + two later sources: Which way to net zero? a comparative analysis of seven UK 2050 decarbonisation pathways</w:t>
      </w:r>
    </w:p>
    <w:p>
      <w:pPr>
        <w:pStyle w:val="SourceNote"/>
      </w:pPr>
      <w:r>
        <w:rPr>
          <w:b/>
        </w:rPr>
        <w:t>Group ID:</w:t>
      </w:r>
      <w:r>
        <w:t xml:space="preserve"> group-595ad2da72906cfc78cb</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InYA – Invisible Young Athletes: Key Findings Report (Project Deliverable) — https://doi.org/10.5281/zenodo.17963501</w:t>
      </w:r>
    </w:p>
    <w:p>
      <w:pPr/>
      <w:r>
        <w:rPr>
          <w:b/>
        </w:rPr>
        <w:t>Later source:</w:t>
      </w:r>
      <w:r>
        <w:t xml:space="preserve"> National Diabetes Audit: key findings from latest Diabetes in Pregnancy report — https://doi.org/10.1002/pdi.2504</w:t>
      </w:r>
    </w:p>
    <w:p>
      <w:pPr>
        <w:pStyle w:val="SourceNote"/>
      </w:pPr>
      <w:r>
        <w:rPr>
          <w:b/>
        </w:rPr>
        <w:t>Review status:</w:t>
      </w:r>
      <w:r>
        <w:t xml:space="preserve"> unchecked — group association only; no outcome judgment</w:t>
      </w:r>
    </w:p>
    <w:p>
      <w:pPr>
        <w:pStyle w:val="Heading2"/>
      </w:pPr>
      <w:r>
        <w:t>177. Claim + two later sources: Interpreting long-term energy scenarios and the role of bioenergy in Germany</w:t>
      </w:r>
    </w:p>
    <w:p>
      <w:pPr>
        <w:pStyle w:val="SourceNote"/>
      </w:pPr>
      <w:r>
        <w:rPr>
          <w:b/>
        </w:rPr>
        <w:t>Group ID:</w:t>
      </w:r>
      <w:r>
        <w:t xml:space="preserve"> group-ea6720a020ac9af88f6e</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A Mapping of Textile Waste Recycling Technologies in Europe and Spain — https://doi.org/10.3390/textiles4030022</w:t>
      </w:r>
    </w:p>
    <w:p>
      <w:pPr/>
      <w:r>
        <w:rPr>
          <w:b/>
        </w:rPr>
        <w:t>Later source:</w:t>
      </w:r>
      <w:r>
        <w:t xml:space="preserve"> The European Universities Initiative and European spatial imaginaries — https://doi.org/10.1080/14767724.2023.2210515</w:t>
      </w:r>
    </w:p>
    <w:p>
      <w:pPr>
        <w:pStyle w:val="SourceNote"/>
      </w:pPr>
      <w:r>
        <w:rPr>
          <w:b/>
        </w:rPr>
        <w:t>Review status:</w:t>
      </w:r>
      <w:r>
        <w:t xml:space="preserve"> unchecked — group association only; no outcome judgment</w:t>
      </w:r>
    </w:p>
    <w:p>
      <w:pPr>
        <w:pStyle w:val="Heading2"/>
      </w:pPr>
      <w:r>
        <w:t>178. Claim + two later sources: Czech Republic as A Deferring Factor for European Union to Achieve Climate Change Measures</w:t>
      </w:r>
    </w:p>
    <w:p>
      <w:pPr>
        <w:pStyle w:val="SourceNote"/>
      </w:pPr>
      <w:r>
        <w:rPr>
          <w:b/>
        </w:rPr>
        <w:t>Group ID:</w:t>
      </w:r>
      <w:r>
        <w:t xml:space="preserve"> group-fdc3ed0a539daf0dee3b</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Contemporary European conducting process: educational models — https://doi.org/10.34064/khnum1-72.05</w:t>
      </w:r>
    </w:p>
    <w:p>
      <w:pPr>
        <w:pStyle w:val="SourceNote"/>
      </w:pPr>
      <w:r>
        <w:rPr>
          <w:b/>
        </w:rPr>
        <w:t>Review status:</w:t>
      </w:r>
      <w:r>
        <w:t xml:space="preserve"> unchecked — group association only; no outcome judgment</w:t>
      </w:r>
    </w:p>
    <w:p>
      <w:pPr>
        <w:pStyle w:val="Heading2"/>
      </w:pPr>
      <w:r>
        <w:t>179. Claim + two later sources: Potential stocks and increments of woody biomass in the European Union under different management and climate scenarios</w:t>
      </w:r>
    </w:p>
    <w:p>
      <w:pPr>
        <w:pStyle w:val="SourceNote"/>
      </w:pPr>
      <w:r>
        <w:rPr>
          <w:b/>
        </w:rPr>
        <w:t>Group ID:</w:t>
      </w:r>
      <w:r>
        <w:t xml:space="preserve"> group-511161772e681b4b8469</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Accelerating biomass loss from forest disturbances across Europe — https://doi.org/10.1038/s41561-026-02032-y</w:t>
      </w:r>
    </w:p>
    <w:p>
      <w:pPr/>
      <w:r>
        <w:rPr>
          <w:b/>
        </w:rPr>
        <w:t>Later source:</w:t>
      </w:r>
      <w:r>
        <w:t xml:space="preserve"> The Role of Wood Density Variation and Biomass Allocation in Accurate Forest Carbon Stock Estimation of European Beech (Fagus sylvatica L.) Mountain Forests — https://doi.org/10.3390/f15030404</w:t>
      </w:r>
    </w:p>
    <w:p>
      <w:pPr>
        <w:pStyle w:val="SourceNote"/>
      </w:pPr>
      <w:r>
        <w:rPr>
          <w:b/>
        </w:rPr>
        <w:t>Review status:</w:t>
      </w:r>
      <w:r>
        <w:t xml:space="preserve"> unchecked — group association only; no outcome judgment</w:t>
      </w:r>
    </w:p>
    <w:p>
      <w:pPr>
        <w:pStyle w:val="Heading2"/>
      </w:pPr>
      <w:r>
        <w:t>180. Claim + two later sources: Foresight on the future of public research metrology in Europe</w:t>
      </w:r>
    </w:p>
    <w:p>
      <w:pPr>
        <w:pStyle w:val="SourceNote"/>
      </w:pPr>
      <w:r>
        <w:rPr>
          <w:b/>
        </w:rPr>
        <w:t>Group ID:</w:t>
      </w:r>
      <w:r>
        <w:t xml:space="preserve"> group-e30dac9086e0620366b5</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Characteristics of special purpose acquisition companies as a new challenge in European markets — https://doi.org/10.5937/bizinfo2401089d</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group association only; no outcome judgment</w:t>
      </w:r>
    </w:p>
    <w:p>
      <w:pPr>
        <w:pStyle w:val="Heading2"/>
      </w:pPr>
      <w:r>
        <w:t>181. Claim + two later sources: Crisis futures: The affects and temporalities of economic collapse in Iceland</w:t>
      </w:r>
    </w:p>
    <w:p>
      <w:pPr>
        <w:pStyle w:val="SourceNote"/>
      </w:pPr>
      <w:r>
        <w:rPr>
          <w:b/>
        </w:rPr>
        <w:t>Group ID:</w:t>
      </w:r>
      <w:r>
        <w:t xml:space="preserve"> group-a9670ab7fab1ea5f19e7</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"Happy those for whom the fold of ...": Intention and interpretation in the unfinished Romantic poetic text — https://openalex.org/W7135642000</w:t>
      </w:r>
    </w:p>
    <w:p>
      <w:pPr/>
      <w:r>
        <w:rPr>
          <w:b/>
        </w:rPr>
        <w:t>Later source:</w:t>
      </w:r>
      <w:r>
        <w:t xml:space="preserve"> The unfinished business of Church history — https://doi.org/10.4102/ve.v42i1.2329</w:t>
      </w:r>
    </w:p>
    <w:p>
      <w:pPr>
        <w:pStyle w:val="SourceNote"/>
      </w:pPr>
      <w:r>
        <w:rPr>
          <w:b/>
        </w:rPr>
        <w:t>Review status:</w:t>
      </w:r>
      <w:r>
        <w:t xml:space="preserve"> unchecked — group association only; no outcome judgment</w:t>
      </w:r>
    </w:p>
    <w:p>
      <w:pPr>
        <w:pStyle w:val="Heading2"/>
      </w:pPr>
      <w:r>
        <w:t>182. Claim + two later sources: The perspectives of development of high-speed rail network in the European Union till</w:t>
        <w:br/>
        <w:t>the year 2050</w:t>
      </w:r>
    </w:p>
    <w:p>
      <w:pPr>
        <w:pStyle w:val="SourceNote"/>
      </w:pPr>
      <w:r>
        <w:rPr>
          <w:b/>
        </w:rPr>
        <w:t>Group ID:</w:t>
      </w:r>
      <w:r>
        <w:t xml:space="preserve"> group-688f9ebdafa1eed59b31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Selecting and analysing climate change adaptation measures at six research sites across Europe — https://doi.org/10.5194/nhess-21-2145-2021</w:t>
      </w:r>
    </w:p>
    <w:p>
      <w:pPr/>
      <w:r>
        <w:rPr>
          <w:b/>
        </w:rPr>
        <w:t>Later source:</w:t>
      </w:r>
      <w:r>
        <w:t xml:space="preserve"> Treatment and Outcome in Children With Tuberculous Meningitis: A Multicenter Pediatric Tuberculosis Network European Trials Group Study — https://doi.org/10.1093/cid/ciab982</w:t>
      </w:r>
    </w:p>
    <w:p>
      <w:pPr>
        <w:pStyle w:val="SourceNote"/>
      </w:pPr>
      <w:r>
        <w:rPr>
          <w:b/>
        </w:rPr>
        <w:t>Review status:</w:t>
      </w:r>
      <w:r>
        <w:t xml:space="preserve"> unchecked — group association only; no outcome judgment</w:t>
      </w:r>
    </w:p>
    <w:p>
      <w:pPr>
        <w:pStyle w:val="Heading2"/>
      </w:pPr>
      <w:r>
        <w:t>183. Claim + two later sources: Long-term vision of rural areas in Hungary, focusing on foresights</w:t>
      </w:r>
    </w:p>
    <w:p>
      <w:pPr>
        <w:pStyle w:val="SourceNote"/>
      </w:pPr>
      <w:r>
        <w:rPr>
          <w:b/>
        </w:rPr>
        <w:t>Group ID:</w:t>
      </w:r>
      <w:r>
        <w:t xml:space="preserve"> group-65324a9a3b61c905122d</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Nutritional therapy of post-stroke dysphagia patients, with special reference to the role of dietitians in multidisciplinary teams: A Hungarian study — https://doi.org/10.1556/2066.2025.00068</w:t>
      </w:r>
    </w:p>
    <w:p>
      <w:pPr>
        <w:pStyle w:val="SourceNote"/>
      </w:pPr>
      <w:r>
        <w:rPr>
          <w:b/>
        </w:rPr>
        <w:t>Review status:</w:t>
      </w:r>
      <w:r>
        <w:t xml:space="preserve"> unchecked — group association only; no outcome judgment</w:t>
      </w:r>
    </w:p>
    <w:p>
      <w:pPr>
        <w:pStyle w:val="Heading2"/>
      </w:pPr>
      <w:r>
        <w:t>184. Claim + two later sources: European human‐dominated landscapes provide ample space for the recolonization of large carnivore populations under future land change scenarios</w:t>
      </w:r>
    </w:p>
    <w:p>
      <w:pPr>
        <w:pStyle w:val="SourceNote"/>
      </w:pPr>
      <w:r>
        <w:rPr>
          <w:b/>
        </w:rPr>
        <w:t>Group ID:</w:t>
      </w:r>
      <w:r>
        <w:t xml:space="preserve"> group-ebb9fe6f8b88d81b6ef9</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Tipping points and farmer decision-making in European permanent grassland (PG) agricultural systems — https://doi.org/10.1016/j.jrurstud.2024.103364</w:t>
      </w:r>
    </w:p>
    <w:p>
      <w:pPr/>
      <w:r>
        <w:rPr>
          <w:b/>
        </w:rPr>
        <w:t>Later source:</w:t>
      </w:r>
      <w:r>
        <w:t xml:space="preserve"> The European Registry for Patients with Mechanical Circulatory Support of the European Association for Cardio-Thoracic Surgery: third report — https://doi.org/10.1093/ejcts/ezac032</w:t>
      </w:r>
    </w:p>
    <w:p>
      <w:pPr>
        <w:pStyle w:val="SourceNote"/>
      </w:pPr>
      <w:r>
        <w:rPr>
          <w:b/>
        </w:rPr>
        <w:t>Review status:</w:t>
      </w:r>
      <w:r>
        <w:t xml:space="preserve"> unchecked — group association only; no outcome judgment</w:t>
      </w:r>
    </w:p>
    <w:p>
      <w:pPr>
        <w:pStyle w:val="Heading2"/>
      </w:pPr>
      <w:r>
        <w:t>185. Claim + two later sources: Quantifying the sensitivity of european power systems to energy scenarios and climate change projections</w:t>
      </w:r>
    </w:p>
    <w:p>
      <w:pPr>
        <w:pStyle w:val="SourceNote"/>
      </w:pPr>
      <w:r>
        <w:rPr>
          <w:b/>
        </w:rPr>
        <w:t>Group ID:</w:t>
      </w:r>
      <w:r>
        <w:t xml:space="preserve"> group-170592e0ec6640b465c7</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Spatial shifts of seasonal vegetation cycles in Europe over time — https://doi.org/10.5194/egusphere-egu25-11953</w:t>
      </w:r>
    </w:p>
    <w:p>
      <w:pPr/>
      <w:r>
        <w:rPr>
          <w:b/>
        </w:rPr>
        <w:t>Later source:</w:t>
      </w:r>
      <w:r>
        <w:t xml:space="preserve"> The spatiotemporal dynamics of COVID-19 in Europe: time-series clustering maps 5 distinct trajectories to spatial patterns — https://doi.org/10.1186/s12963-025-00405-w</w:t>
      </w:r>
    </w:p>
    <w:p>
      <w:pPr>
        <w:pStyle w:val="SourceNote"/>
      </w:pPr>
      <w:r>
        <w:rPr>
          <w:b/>
        </w:rPr>
        <w:t>Review status:</w:t>
      </w:r>
      <w:r>
        <w:t xml:space="preserve"> unchecked — group association only; no outcome judgment</w:t>
      </w:r>
    </w:p>
    <w:p>
      <w:pPr>
        <w:pStyle w:val="Heading2"/>
      </w:pPr>
      <w:r>
        <w:t>186. Claim + two later sources: After-crisis Scenarios for the European Regions</w:t>
      </w:r>
    </w:p>
    <w:p>
      <w:pPr>
        <w:pStyle w:val="SourceNote"/>
      </w:pPr>
      <w:r>
        <w:rPr>
          <w:b/>
        </w:rPr>
        <w:t>Group ID:</w:t>
      </w:r>
      <w:r>
        <w:t xml:space="preserve"> group-d2eb864ee39774a7f4bd</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The New European Bauhaus Academy: a novel skills, knowledge and innovation platform to boost sustainable construction within the built environment — https://doi.org/10.5281/zenodo.20586709</w:t>
      </w:r>
    </w:p>
    <w:p>
      <w:pPr/>
      <w:r>
        <w:rPr>
          <w:b/>
        </w:rPr>
        <w:t>Later source:</w:t>
      </w:r>
      <w:r>
        <w:t xml:space="preserve"> Public perception of dermatologists in Europe — https://openalex.org/W7171337581</w:t>
      </w:r>
    </w:p>
    <w:p>
      <w:pPr>
        <w:pStyle w:val="SourceNote"/>
      </w:pPr>
      <w:r>
        <w:rPr>
          <w:b/>
        </w:rPr>
        <w:t>Review status:</w:t>
      </w:r>
      <w:r>
        <w:t xml:space="preserve"> unchecked — group association only; no outcome judgment</w:t>
      </w:r>
    </w:p>
    <w:p>
      <w:pPr>
        <w:pStyle w:val="Heading2"/>
      </w:pPr>
      <w:r>
        <w:t>187.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group association only; no outcome judgment</w:t>
      </w:r>
    </w:p>
    <w:p>
      <w:pPr>
        <w:pStyle w:val="Heading2"/>
      </w:pPr>
      <w:r>
        <w:t>188. Claim + two later sources: Analytical support to foresighting EU roles as a Global Security Actor</w:t>
      </w:r>
    </w:p>
    <w:p>
      <w:pPr>
        <w:pStyle w:val="SourceNote"/>
      </w:pPr>
      <w:r>
        <w:rPr>
          <w:b/>
        </w:rPr>
        <w:t>Group ID:</w:t>
      </w:r>
      <w:r>
        <w:t xml:space="preserve"> group-e7d07994583e19cc3f5a</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Logistics Security in Transport and Decision-making Problems in the Management of European Satellite Resources in Space — https://doi.org/10.54740/ros.2025.063</w:t>
      </w:r>
    </w:p>
    <w:p>
      <w:pPr>
        <w:pStyle w:val="SourceNote"/>
      </w:pPr>
      <w:r>
        <w:rPr>
          <w:b/>
        </w:rPr>
        <w:t>Review status:</w:t>
      </w:r>
      <w:r>
        <w:t xml:space="preserve"> unchecked — group association only; no outcome judgment</w:t>
      </w:r>
    </w:p>
    <w:p>
      <w:pPr>
        <w:pStyle w:val="Heading2"/>
      </w:pPr>
      <w:r>
        <w:t>189. Claim + two later sources: Scenarios for European agricultural policymaking in the era of digitalisation</w:t>
      </w:r>
    </w:p>
    <w:p>
      <w:pPr>
        <w:pStyle w:val="SourceNote"/>
      </w:pPr>
      <w:r>
        <w:rPr>
          <w:b/>
        </w:rPr>
        <w:t>Group ID:</w:t>
      </w:r>
      <w:r>
        <w:t xml:space="preserve"> group-e5092bbdc7d7207f2c44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Is Digitalization Alone Enough for Tax Revenue Mobilization Across Europe and Asia? — https://doi.org/10.24912/je.v31i2.4056</w:t>
      </w:r>
    </w:p>
    <w:p>
      <w:pPr/>
      <w:r>
        <w:rPr>
          <w:b/>
        </w:rPr>
        <w:t>Later source:</w:t>
      </w:r>
      <w:r>
        <w:t xml:space="preserve"> Understanding Driver Distraction : Key Performance Indicator Findings from Baseline and Trendline in 4 European Countries — https://openalex.org/W7137534956</w:t>
      </w:r>
    </w:p>
    <w:p>
      <w:pPr>
        <w:pStyle w:val="SourceNote"/>
      </w:pPr>
      <w:r>
        <w:rPr>
          <w:b/>
        </w:rPr>
        <w:t>Review status:</w:t>
      </w:r>
      <w:r>
        <w:t xml:space="preserve"> unchecked — group association only; no outcome judgment</w:t>
      </w:r>
    </w:p>
    <w:p>
      <w:pPr>
        <w:pStyle w:val="Heading2"/>
      </w:pPr>
      <w:r>
        <w:t>190. Claim + two later sources: STRATEGIC DIRECTIONS OF DEVELOPMENT OF THE POLISH POWER SECTOR IN THE LIGHT OF CLIMATE AND ENERGY POLICY OF THE EUROPEAN UNION</w:t>
      </w:r>
    </w:p>
    <w:p>
      <w:pPr>
        <w:pStyle w:val="SourceNote"/>
      </w:pPr>
      <w:r>
        <w:rPr>
          <w:b/>
        </w:rPr>
        <w:t>Group ID:</w:t>
      </w:r>
      <w:r>
        <w:t xml:space="preserve"> group-3fbb2a342f24df017dcf</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Study of directions of unification of technology transfer in ukraine with the regulation of the European Union — https://doi.org/10.37772/2518-1718-2024-3(47)-2</w:t>
      </w:r>
    </w:p>
    <w:p>
      <w:pPr/>
      <w:r>
        <w:rPr>
          <w:b/>
        </w:rPr>
        <w:t>Later source:</w:t>
      </w:r>
      <w:r>
        <w:t xml:space="preserve"> Directions and risks for the recovery of Ukraine in the context of European integration during the recovery period — https://doi.org/10.24144/2788-6018.2023.03.15</w:t>
      </w:r>
    </w:p>
    <w:p>
      <w:pPr>
        <w:pStyle w:val="SourceNote"/>
      </w:pPr>
      <w:r>
        <w:rPr>
          <w:b/>
        </w:rPr>
        <w:t>Review status:</w:t>
      </w:r>
      <w:r>
        <w:t xml:space="preserve"> unchecked — group association only; no outcome judgment</w:t>
      </w:r>
    </w:p>
    <w:p>
      <w:pPr>
        <w:pStyle w:val="Heading2"/>
      </w:pPr>
      <w:r>
        <w:t>191. Claim + two later sources: MARKET DRIVEN POWER PLANT INVESTMENT PERSPECTIVES IN EUROPE: CLIMATE POLICY AND TECHNOLOGY SCENARIOS UNTIL 2050 IN THE MODEL EMELIE-ESY</w:t>
      </w:r>
    </w:p>
    <w:p>
      <w:pPr>
        <w:pStyle w:val="SourceNote"/>
      </w:pPr>
      <w:r>
        <w:rPr>
          <w:b/>
        </w:rPr>
        <w:t>Group ID:</w:t>
      </w:r>
      <w:r>
        <w:t xml:space="preserve"> group-ceeab11ca9f44551bf96</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Retreat of Major European Tree Species Distribution under Climate Change—Minor Natives to the Rescue? — https://doi.org/10.3390/su14095213</w:t>
      </w:r>
    </w:p>
    <w:p>
      <w:pPr/>
      <w:r>
        <w:rPr>
          <w:b/>
        </w:rPr>
        <w:t>Later source:</w:t>
      </w:r>
      <w:r>
        <w:t xml:space="preserve"> Modelling site response at regional scale for the 2020 European Seismic Risk Model (ESRM20) — https://doi.org/10.1007/s10518-022-01526-5</w:t>
      </w:r>
    </w:p>
    <w:p>
      <w:pPr>
        <w:pStyle w:val="SourceNote"/>
      </w:pPr>
      <w:r>
        <w:rPr>
          <w:b/>
        </w:rPr>
        <w:t>Review status:</w:t>
      </w:r>
      <w:r>
        <w:t xml:space="preserve"> unchecked — group association only; no outcome judgment</w:t>
      </w:r>
    </w:p>
    <w:p>
      <w:pPr>
        <w:pStyle w:val="Heading2"/>
      </w:pPr>
      <w:r>
        <w:t>192.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group-4cf855c4405d5d0b085e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The duck curve in electricity demand — https://doi.org/10.4337/9781035310371.000120</w:t>
      </w:r>
    </w:p>
    <w:p>
      <w:pPr/>
      <w:r>
        <w:rPr>
          <w:b/>
        </w:rPr>
        <w:t>Later source:</w:t>
      </w:r>
      <w:r>
        <w:t xml:space="preserve"> Energy access challenge and the role of fossil fuels in meeting electricity demand: Promoting renewable energy capacity for sustainable development — https://doi.org/10.1016/j.gsf.2024.101873</w:t>
      </w:r>
    </w:p>
    <w:p>
      <w:pPr>
        <w:pStyle w:val="SourceNote"/>
      </w:pPr>
      <w:r>
        <w:rPr>
          <w:b/>
        </w:rPr>
        <w:t>Review status:</w:t>
      </w:r>
      <w:r>
        <w:t xml:space="preserve"> unchecked — group association only; no outcome judgment</w:t>
      </w:r>
    </w:p>
    <w:p>
      <w:pPr>
        <w:pStyle w:val="Heading2"/>
      </w:pPr>
      <w:r>
        <w:t>193. Claim + two later sources: Policy Modelling for Ambitious Energy Efficiency Investment in the EU Residential Buildings</w:t>
      </w:r>
    </w:p>
    <w:p>
      <w:pPr>
        <w:pStyle w:val="SourceNote"/>
      </w:pPr>
      <w:r>
        <w:rPr>
          <w:b/>
        </w:rPr>
        <w:t>Group ID:</w:t>
      </w:r>
      <w:r>
        <w:t xml:space="preserve"> group-8db9e61e0152e5b86f3a</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Editorial: Ex situ conservation of plant genetic resources in Europe – A journey through history, mission, challenges and future opportunities — https://doi.org/10.46265/genresj.blds6319</w:t>
      </w:r>
    </w:p>
    <w:p>
      <w:pPr/>
      <w:r>
        <w:rPr>
          <w:b/>
        </w:rPr>
        <w:t>Later source:</w:t>
      </w:r>
      <w:r>
        <w:t xml:space="preserve"> Building an Agricultural Biogas Supply Chain in Europe: Organizational Models and Social Challenges — https://doi.org/10.3390/su17135806</w:t>
      </w:r>
    </w:p>
    <w:p>
      <w:pPr>
        <w:pStyle w:val="SourceNote"/>
      </w:pPr>
      <w:r>
        <w:rPr>
          <w:b/>
        </w:rPr>
        <w:t>Review status:</w:t>
      </w:r>
      <w:r>
        <w:t xml:space="preserve"> unchecked — group association only; no outcome judgment</w:t>
      </w:r>
    </w:p>
    <w:p>
      <w:pPr>
        <w:pStyle w:val="Heading2"/>
      </w:pPr>
      <w:r>
        <w:t>194. Claim + two later sources: A New Climate for Europe: 2030 Climate Targets Must Be More Ambitious</w:t>
      </w:r>
    </w:p>
    <w:p>
      <w:pPr>
        <w:pStyle w:val="SourceNote"/>
      </w:pPr>
      <w:r>
        <w:rPr>
          <w:b/>
        </w:rPr>
        <w:t>Group ID:</w:t>
      </w:r>
      <w:r>
        <w:t xml:space="preserve"> group-2c85a88d49125f30593b</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The 2026 Europe report of the Lancet Countdown on health and climate change: narrowing window for decisive health action — https://doi.org/10.1016/s2468-2667(26)00025-3</w:t>
      </w:r>
    </w:p>
    <w:p>
      <w:pPr/>
      <w:r>
        <w:rPr>
          <w:b/>
        </w:rPr>
        <w:t>Later source:</w:t>
      </w:r>
      <w:r>
        <w:t xml:space="preserve"> Simulating Nature Futures Pathways for Europe using a Nexus Modelling Framework — https://doi.org/10.5281/zenodo.22918966</w:t>
      </w:r>
    </w:p>
    <w:p>
      <w:pPr>
        <w:pStyle w:val="SourceNote"/>
      </w:pPr>
      <w:r>
        <w:rPr>
          <w:b/>
        </w:rPr>
        <w:t>Review status:</w:t>
      </w:r>
      <w:r>
        <w:t xml:space="preserve"> unchecked — group association only; no outcome judgment</w:t>
      </w:r>
    </w:p>
    <w:p>
      <w:pPr>
        <w:pStyle w:val="Heading2"/>
      </w:pPr>
      <w:r>
        <w:t>195. Claim + two later sources: Dutch Public health Foresight study 2018/20</w:t>
      </w:r>
    </w:p>
    <w:p>
      <w:pPr>
        <w:pStyle w:val="SourceNote"/>
      </w:pPr>
      <w:r>
        <w:rPr>
          <w:b/>
        </w:rPr>
        <w:t>Group ID:</w:t>
      </w:r>
      <w:r>
        <w:t xml:space="preserve"> group-de61c650db018e97a61b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Seeking the Cause of Dementia: An Analysis of Correlation Leading to Hypotheses for Causation and the Grok-Ritchie Dementia Protocol — https://doi.org/10.5281/zenodo.19362993</w:t>
      </w:r>
    </w:p>
    <w:p>
      <w:pPr>
        <w:pStyle w:val="SourceNote"/>
      </w:pPr>
      <w:r>
        <w:rPr>
          <w:b/>
        </w:rPr>
        <w:t>Review status:</w:t>
      </w:r>
      <w:r>
        <w:t xml:space="preserve"> unchecked — group association only; no outcome judgment</w:t>
      </w:r>
    </w:p>
    <w:p>
      <w:pPr>
        <w:pStyle w:val="Heading2"/>
      </w:pPr>
      <w:r>
        <w:t>196. Claim + two later sources: Constructing Resilient Futures: Integrating UK multi-stakeholder transport and energy resilience for 2050</w:t>
      </w:r>
    </w:p>
    <w:p>
      <w:pPr>
        <w:pStyle w:val="SourceNote"/>
      </w:pPr>
      <w:r>
        <w:rPr>
          <w:b/>
        </w:rPr>
        <w:t>Group ID:</w:t>
      </w:r>
      <w:r>
        <w:t xml:space="preserve"> group-f8eb019d0aa5c3ab4503</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Online Interest in Radical Islam and Terrorist Attacks — https://doi.org/10.1515/peps-2024-0054</w:t>
      </w:r>
    </w:p>
    <w:p>
      <w:pPr/>
      <w:r>
        <w:rPr>
          <w:b/>
        </w:rPr>
        <w:t>Later source:</w:t>
      </w:r>
      <w:r>
        <w:t xml:space="preserve"> PREVENTION OF TERRORIST ATTACKS ON CRITICAL INFRASTRUCTURE ON THE EXAMPLE OF AN AIRPORT — https://doi.org/10.29119/1641-3466.2025.216.13</w:t>
      </w:r>
    </w:p>
    <w:p>
      <w:pPr>
        <w:pStyle w:val="SourceNote"/>
      </w:pPr>
      <w:r>
        <w:rPr>
          <w:b/>
        </w:rPr>
        <w:t>Review status:</w:t>
      </w:r>
      <w:r>
        <w:t xml:space="preserve"> unchecked — group association only; no outcome judgment</w:t>
      </w:r>
    </w:p>
    <w:p>
      <w:pPr>
        <w:pStyle w:val="Heading2"/>
      </w:pPr>
      <w:r>
        <w:t>197. Claim + two later sources: An Agent-Based Assessment of Land Use and Ecosystem Changes in Traditional Agricultural Landscape of Portugal</w:t>
      </w:r>
    </w:p>
    <w:p>
      <w:pPr>
        <w:pStyle w:val="SourceNote"/>
      </w:pPr>
      <w:r>
        <w:rPr>
          <w:b/>
        </w:rPr>
        <w:t>Group ID:</w:t>
      </w:r>
      <w:r>
        <w:t xml:space="preserve"> group-43dba695fd8c003dd97b</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Pasture Quality Monitoring Based on Proximal and Remote Optical Sensors: A Case Study in the Montado Mediterranean Ecosystem — https://doi.org/10.3390/agriengineering5010025</w:t>
      </w:r>
    </w:p>
    <w:p>
      <w:pPr>
        <w:pStyle w:val="SourceNote"/>
      </w:pPr>
      <w:r>
        <w:rPr>
          <w:b/>
        </w:rPr>
        <w:t>Review status:</w:t>
      </w:r>
      <w:r>
        <w:t xml:space="preserve"> unchecked — group association only; no outcome judgment</w:t>
      </w:r>
    </w:p>
    <w:p>
      <w:pPr>
        <w:pStyle w:val="Heading2"/>
      </w:pPr>
      <w:r>
        <w:t>198. Claim + two later sources: A history of futures: A review of scenario use in water policy studies in the Netherlands</w:t>
      </w:r>
    </w:p>
    <w:p>
      <w:pPr>
        <w:pStyle w:val="SourceNote"/>
      </w:pPr>
      <w:r>
        <w:rPr>
          <w:b/>
        </w:rPr>
        <w:t>Group ID:</w:t>
      </w:r>
      <w:r>
        <w:t xml:space="preserve"> group-5b558553800abab81f0a</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Assessing the energy security of European Union countries from two perspectives – A new integrated approach based on MCDM methods — https://doi.org/10.1016/j.apenergy.2023.121443</w:t>
      </w:r>
    </w:p>
    <w:p>
      <w:pPr/>
      <w:r>
        <w:rPr>
          <w:b/>
        </w:rPr>
        <w:t>Later source:</w:t>
      </w:r>
      <w:r>
        <w:t xml:space="preserve"> Approval of artificial intelligence and machine learning-based medical devices in the USA and Europe (2015–20): a comparative analysis — https://doi.org/10.1016/s2589-7500(20)30292-2</w:t>
      </w:r>
    </w:p>
    <w:p>
      <w:pPr>
        <w:pStyle w:val="SourceNote"/>
      </w:pPr>
      <w:r>
        <w:rPr>
          <w:b/>
        </w:rPr>
        <w:t>Review status:</w:t>
      </w:r>
      <w:r>
        <w:t xml:space="preserve"> unchecked — group association only; no outcome judgment</w:t>
      </w:r>
    </w:p>
    <w:p>
      <w:pPr>
        <w:pStyle w:val="Heading2"/>
      </w:pPr>
      <w:r>
        <w:t>199.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group association only; no outcome judgment</w:t>
      </w:r>
    </w:p>
    <w:p>
      <w:pPr>
        <w:pStyle w:val="Heading2"/>
      </w:pPr>
      <w:r>
        <w:t>200. Claim + two later sources: Governance barriers to sustainable energy transitions – Assessing Ireland's capacity towards marine energy futures</w:t>
      </w:r>
    </w:p>
    <w:p>
      <w:pPr>
        <w:pStyle w:val="SourceNote"/>
      </w:pPr>
      <w:r>
        <w:rPr>
          <w:b/>
        </w:rPr>
        <w:t>Group ID:</w:t>
      </w:r>
      <w:r>
        <w:t xml:space="preserve"> group-3fdf031e476612fe8bce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The Governance Context for Adaptive Heritage Reuse: A Review and Typology of Fifteen European Countries — https://doi.org/10.1080/17567505.2022.2153201</w:t>
      </w:r>
    </w:p>
    <w:p>
      <w:pPr/>
      <w:r>
        <w:rPr>
          <w:b/>
        </w:rPr>
        <w:t>Later source:</w:t>
      </w:r>
      <w:r>
        <w:t xml:space="preserve"> The Quality of Governance in Europe: A Guide for the Perplexed — https://openalex.org/W3128833016</w:t>
      </w:r>
    </w:p>
    <w:p>
      <w:pPr>
        <w:pStyle w:val="SourceNote"/>
      </w:pPr>
      <w:r>
        <w:rPr>
          <w:b/>
        </w:rPr>
        <w:t>Review status:</w:t>
      </w:r>
      <w:r>
        <w:t xml:space="preserve"> unchecked — group association only; no outcome judgment</w:t>
      </w:r>
    </w:p>
    <w:p>
      <w:pPr>
        <w:pStyle w:val="Heading2"/>
      </w:pPr>
      <w:r>
        <w:t>201. Claim + two later sources: Developments in Energy use for Transport in 27 European Union Countries through 2030</w:t>
      </w:r>
    </w:p>
    <w:p>
      <w:pPr>
        <w:pStyle w:val="SourceNote"/>
      </w:pPr>
      <w:r>
        <w:rPr>
          <w:b/>
        </w:rPr>
        <w:t>Group ID:</w:t>
      </w:r>
      <w:r>
        <w:t xml:space="preserve"> group-f2b6a49346377efb5674</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Forecast reconciliation of agricultural GHG emissions in Europe with fuzzy clustering — https://doi.org/10.1007/s10479-026-07363-y</w:t>
      </w:r>
    </w:p>
    <w:p>
      <w:pPr/>
      <w:r>
        <w:rPr>
          <w:b/>
        </w:rPr>
        <w:t>Later source:</w:t>
      </w:r>
      <w:r>
        <w:t xml:space="preserve"> Crayfish and Climate: how invasive species amplify aquatic GHG emissions — https://doi.org/10.5194/egusphere-egu25-6790</w:t>
      </w:r>
    </w:p>
    <w:p>
      <w:pPr>
        <w:pStyle w:val="SourceNote"/>
      </w:pPr>
      <w:r>
        <w:rPr>
          <w:b/>
        </w:rPr>
        <w:t>Review status:</w:t>
      </w:r>
      <w:r>
        <w:t xml:space="preserve"> unchecked — group association only; no outcome judgment</w:t>
      </w:r>
    </w:p>
    <w:p>
      <w:pPr>
        <w:pStyle w:val="Heading2"/>
      </w:pPr>
      <w:r>
        <w:t>202. Claim + two later sources: Impact of Quasi‐Idealized Future Land Cover Scenarios at High Latitudes in Complex Terrain</w:t>
      </w:r>
    </w:p>
    <w:p>
      <w:pPr>
        <w:pStyle w:val="SourceNote"/>
      </w:pPr>
      <w:r>
        <w:rPr>
          <w:b/>
        </w:rPr>
        <w:t>Group ID:</w:t>
      </w:r>
      <w:r>
        <w:t xml:space="preserve"> group-e83284bd25cfcaf99e1b</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Human West Nile Virus infections in Europe: weather or climate? — https://doi.org/10.5194/egusphere-egu26-18547</w:t>
      </w:r>
    </w:p>
    <w:p>
      <w:pPr>
        <w:pStyle w:val="SourceNote"/>
      </w:pPr>
      <w:r>
        <w:rPr>
          <w:b/>
        </w:rPr>
        <w:t>Review status:</w:t>
      </w:r>
      <w:r>
        <w:t xml:space="preserve"> unchecked — group association only; no outcome judgment</w:t>
      </w:r>
    </w:p>
    <w:p>
      <w:pPr>
        <w:pStyle w:val="Heading2"/>
      </w:pPr>
      <w:r>
        <w:t>203. Claim + two later sources: International migration by 2030: impact of immigration policies scenarios on growth and employment</w:t>
      </w:r>
    </w:p>
    <w:p>
      <w:pPr>
        <w:pStyle w:val="SourceNote"/>
      </w:pPr>
      <w:r>
        <w:rPr>
          <w:b/>
        </w:rPr>
        <w:t>Group ID:</w:t>
      </w:r>
      <w:r>
        <w:t xml:space="preserve"> group-a8b014ae34921857432e</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Exceptionality and Common Features of Migration Law in the Age Of Mass Migration * — https://doi.org/10.4324/9781003560937-19</w:t>
      </w:r>
    </w:p>
    <w:p>
      <w:pPr/>
      <w:r>
        <w:rPr>
          <w:b/>
        </w:rPr>
        <w:t>Later source:</w:t>
      </w:r>
      <w:r>
        <w:t xml:space="preserve"> Mass Migration and Technological Change — https://doi.org/10.1093/jeea/jvac017</w:t>
      </w:r>
    </w:p>
    <w:p>
      <w:pPr>
        <w:pStyle w:val="SourceNote"/>
      </w:pPr>
      <w:r>
        <w:rPr>
          <w:b/>
        </w:rPr>
        <w:t>Review status:</w:t>
      </w:r>
      <w:r>
        <w:t xml:space="preserve"> unchecked — group association only; no outcome judgment</w:t>
      </w:r>
    </w:p>
    <w:p>
      <w:pPr>
        <w:pStyle w:val="Heading2"/>
      </w:pPr>
      <w:r>
        <w:t>204. Claim + two later sources: Will climate change affect the electricity production sector? A European study</w:t>
      </w:r>
    </w:p>
    <w:p>
      <w:pPr>
        <w:pStyle w:val="SourceNote"/>
      </w:pPr>
      <w:r>
        <w:rPr>
          <w:b/>
        </w:rPr>
        <w:t>Group ID:</w:t>
      </w:r>
      <w:r>
        <w:t xml:space="preserve"> group-822f6e2d29298993c5a1</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A data-driven framework for the temporal extrapolation of annual water withdrawals for hydrological modelling — https://doi.org/10.5194/egusphere-egu25-11405</w:t>
      </w:r>
    </w:p>
    <w:p>
      <w:pPr/>
      <w:r>
        <w:rPr>
          <w:b/>
        </w:rPr>
        <w:t>Later source:</w:t>
      </w:r>
      <w:r>
        <w:t xml:space="preserve"> Perspectives of Electricity Production from Biogas in the European Union — https://doi.org/10.3390/en17051169</w:t>
      </w:r>
    </w:p>
    <w:p>
      <w:pPr>
        <w:pStyle w:val="SourceNote"/>
      </w:pPr>
      <w:r>
        <w:rPr>
          <w:b/>
        </w:rPr>
        <w:t>Review status:</w:t>
      </w:r>
      <w:r>
        <w:t xml:space="preserve"> unchecked — group association only; no outcome judgment</w:t>
      </w:r>
    </w:p>
    <w:p>
      <w:pPr>
        <w:pStyle w:val="Heading2"/>
      </w:pPr>
      <w:r>
        <w:t>205. Claim + two later sources: Animal Health Surveillance in Scotland in 2030: Using Scenario Planning to Develop Strategies in the Context of “Brexit”</w:t>
      </w:r>
    </w:p>
    <w:p>
      <w:pPr>
        <w:pStyle w:val="SourceNote"/>
      </w:pPr>
      <w:r>
        <w:rPr>
          <w:b/>
        </w:rPr>
        <w:t>Group ID:</w:t>
      </w:r>
      <w:r>
        <w:t xml:space="preserve"> group-9c5fa689f9df3a36cc2e</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Using the Systems Engineering Initiative for Patient Safety (SEIPS) model to describe the planning and management of the COVID-19 pandemic in Hong Kong — https://doi.org/10.1093/intqhc/mzab042</w:t>
      </w:r>
    </w:p>
    <w:p>
      <w:pPr>
        <w:pStyle w:val="SourceNote"/>
      </w:pPr>
      <w:r>
        <w:rPr>
          <w:b/>
        </w:rPr>
        <w:t>Review status:</w:t>
      </w:r>
      <w:r>
        <w:t xml:space="preserve"> unchecked — group association only; no outcome judgment</w:t>
      </w:r>
    </w:p>
    <w:p>
      <w:pPr>
        <w:pStyle w:val="Heading2"/>
      </w:pPr>
      <w:r>
        <w:t>206. Claim + two later sources: Superconductivity and the environment: a Roadmap</w:t>
      </w:r>
    </w:p>
    <w:p>
      <w:pPr>
        <w:pStyle w:val="SourceNote"/>
      </w:pPr>
      <w:r>
        <w:rPr>
          <w:b/>
        </w:rPr>
        <w:t>Group ID:</w:t>
      </w:r>
      <w:r>
        <w:t xml:space="preserve"> group-9f31693245f69d548199</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flowVS: channel-specific variance stabilization in flow cytometry — https://doi.org/10.1186/s12859-016-1083-9</w:t>
      </w:r>
    </w:p>
    <w:p>
      <w:pPr>
        <w:pStyle w:val="SourceNote"/>
      </w:pPr>
      <w:r>
        <w:rPr>
          <w:b/>
        </w:rPr>
        <w:t>Review status:</w:t>
      </w:r>
      <w:r>
        <w:t xml:space="preserve"> unchecked — group association only; no outcome judgment</w:t>
      </w:r>
    </w:p>
    <w:p>
      <w:pPr>
        <w:pStyle w:val="Heading2"/>
      </w:pPr>
      <w:r>
        <w:t>207. Claim + two later sources: Foresight in Public Administration: Methods and Perspectives of Implementation in Ukraine</w:t>
      </w:r>
    </w:p>
    <w:p>
      <w:pPr>
        <w:pStyle w:val="SourceNote"/>
      </w:pPr>
      <w:r>
        <w:rPr>
          <w:b/>
        </w:rPr>
        <w:t>Group ID:</w:t>
      </w:r>
      <w:r>
        <w:t xml:space="preserve"> group-8f60c411fe7210a44cb8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Practical application and examples of using the developed approximation methods — https://doi.org/10.1016/b978-0-443-29141-8.00003-2</w:t>
      </w:r>
    </w:p>
    <w:p>
      <w:pPr/>
      <w:r>
        <w:rPr>
          <w:b/>
        </w:rPr>
        <w:t>Later source:</w:t>
      </w:r>
      <w:r>
        <w:t xml:space="preserve"> Practical Application of Surface Complexation Models: Evolution, Approaches, and Examples — https://doi.org/10.2138/rmg.2025.91a.13</w:t>
      </w:r>
    </w:p>
    <w:p>
      <w:pPr>
        <w:pStyle w:val="SourceNote"/>
      </w:pPr>
      <w:r>
        <w:rPr>
          <w:b/>
        </w:rPr>
        <w:t>Review status:</w:t>
      </w:r>
      <w:r>
        <w:t xml:space="preserve"> unchecked — group association only; no outcome judgment</w:t>
      </w:r>
    </w:p>
    <w:p>
      <w:pPr>
        <w:pStyle w:val="Heading2"/>
      </w:pPr>
      <w:r>
        <w:t>208. Claim + two later sources: Energy Efficiency Vision 2050: How will new societal trends influence future energy demand in the European countries?</w:t>
      </w:r>
    </w:p>
    <w:p>
      <w:pPr>
        <w:pStyle w:val="SourceNote"/>
      </w:pPr>
      <w:r>
        <w:rPr>
          <w:b/>
        </w:rPr>
        <w:t>Group ID:</w:t>
      </w:r>
      <w:r>
        <w:t xml:space="preserve"> group-f85ac607280daa2b73b4</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The (worst) laws of the land: the concept of legislative basket cases, legislative backsliding and public administration in Central-Eastern Europe — https://doi.org/10.1080/01442872.2025.2501741</w:t>
      </w:r>
    </w:p>
    <w:p>
      <w:pPr/>
      <w:r>
        <w:rPr>
          <w:b/>
        </w:rPr>
        <w:t>Later source:</w:t>
      </w:r>
      <w:r>
        <w:t xml:space="preserve"> Future sea level rise dominates changes in worst case extreme sea levels along the global coastline by 2100 — https://doi.org/10.1088/1748-9326/acb504</w:t>
      </w:r>
    </w:p>
    <w:p>
      <w:pPr>
        <w:pStyle w:val="SourceNote"/>
      </w:pPr>
      <w:r>
        <w:rPr>
          <w:b/>
        </w:rPr>
        <w:t>Review status:</w:t>
      </w:r>
      <w:r>
        <w:t xml:space="preserve"> unchecked — group association only; no outcome judgment</w:t>
      </w:r>
    </w:p>
    <w:p>
      <w:pPr>
        <w:pStyle w:val="Heading2"/>
      </w:pPr>
      <w:r>
        <w:t>209. Claim + two later sources: Energy system transition and macroeconomic impacts of a European decarbonization action towards a below 2 °C climate stabilization</w:t>
      </w:r>
    </w:p>
    <w:p>
      <w:pPr>
        <w:pStyle w:val="SourceNote"/>
      </w:pPr>
      <w:r>
        <w:rPr>
          <w:b/>
        </w:rPr>
        <w:t>Group ID:</w:t>
      </w:r>
      <w:r>
        <w:t xml:space="preserve"> group-c778ace47271f7144243</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Firm's emission reduction effectiveness and the influence of the five institutional dimensions of the quintuple helix model: European evidence — https://doi.org/10.1111/beer.12662</w:t>
      </w:r>
    </w:p>
    <w:p>
      <w:pPr>
        <w:pStyle w:val="SourceNote"/>
      </w:pPr>
      <w:r>
        <w:rPr>
          <w:b/>
        </w:rPr>
        <w:t>Review status:</w:t>
      </w:r>
      <w:r>
        <w:t xml:space="preserve"> unchecked — group association only; no outcome judgment</w:t>
      </w:r>
    </w:p>
    <w:p>
      <w:pPr>
        <w:pStyle w:val="Heading2"/>
      </w:pPr>
      <w:r>
        <w:t>210. Claim + two later sources: Securing a bioenergy future without imports</w:t>
      </w:r>
    </w:p>
    <w:p>
      <w:pPr>
        <w:pStyle w:val="SourceNote"/>
      </w:pPr>
      <w:r>
        <w:rPr>
          <w:b/>
        </w:rPr>
        <w:t>Group ID:</w:t>
      </w:r>
      <w:r>
        <w:t xml:space="preserve"> group-0037f6526531bc31b249</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Later source:</w:t>
      </w:r>
      <w:r>
        <w:t xml:space="preserve"> Indigenous leadership in universities: One Indigenous perspective — https://doi.org/10.3316/informit.149715942686089</w:t>
      </w:r>
    </w:p>
    <w:p>
      <w:pPr>
        <w:pStyle w:val="SourceNote"/>
      </w:pPr>
      <w:r>
        <w:rPr>
          <w:b/>
        </w:rPr>
        <w:t>Review status:</w:t>
      </w:r>
      <w:r>
        <w:t xml:space="preserve"> unchecked — group association only; no outcome judgment</w:t>
      </w:r>
    </w:p>
    <w:p>
      <w:pPr>
        <w:pStyle w:val="Heading2"/>
      </w:pPr>
      <w:r>
        <w:t>211. Claim + two later sources: Shifts, turning points and inertia exploring long-term industry trends in European transport</w:t>
      </w:r>
    </w:p>
    <w:p>
      <w:pPr>
        <w:pStyle w:val="SourceNote"/>
      </w:pPr>
      <w:r>
        <w:rPr>
          <w:b/>
        </w:rPr>
        <w:t>Group ID:</w:t>
      </w:r>
      <w:r>
        <w:t xml:space="preserve"> group-4e71ad284affd701dca6</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Economic, technological and environmental drivers of the circular economy in the European Union: a panel data analysis — https://doi.org/10.1186/s12302-025-01119-4</w:t>
      </w:r>
    </w:p>
    <w:p>
      <w:pPr/>
      <w:r>
        <w:rPr>
          <w:b/>
        </w:rPr>
        <w:t>Later source:</w:t>
      </w:r>
      <w:r>
        <w:t xml:space="preserve"> Technological Challenges and Opportunities to Plastics Valorization in the Context of a Circular Economy in Europe — https://doi.org/10.3390/su15043741</w:t>
      </w:r>
    </w:p>
    <w:p>
      <w:pPr>
        <w:pStyle w:val="SourceNote"/>
      </w:pPr>
      <w:r>
        <w:rPr>
          <w:b/>
        </w:rPr>
        <w:t>Review status:</w:t>
      </w:r>
      <w:r>
        <w:t xml:space="preserve"> unchecked — group association only; no outcome judgment</w:t>
      </w:r>
    </w:p>
    <w:p>
      <w:pPr>
        <w:pStyle w:val="Heading2"/>
      </w:pPr>
      <w:r>
        <w:t>212. Claim + two later sources: Electricity Spot Market Design 2030-2050</w:t>
      </w:r>
    </w:p>
    <w:p>
      <w:pPr>
        <w:pStyle w:val="SourceNote"/>
      </w:pPr>
      <w:r>
        <w:rPr>
          <w:b/>
        </w:rPr>
        <w:t>Group ID:</w:t>
      </w:r>
      <w:r>
        <w:t xml:space="preserve"> group-3375f250a0d37d3f927a</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Urban Nature Plans: Strategic Tool for Integrated Biodiversity and Climate Planning in German Cities — https://doi.org/10.2148/benv.51.4.569</w:t>
      </w:r>
    </w:p>
    <w:p>
      <w:pPr/>
      <w:r>
        <w:rPr>
          <w:b/>
        </w:rPr>
        <w:t>Later source:</w:t>
      </w:r>
      <w:r>
        <w:t xml:space="preserve"> The Impact of the Russian-Ukrainian War on Europe and the German Leadership — https://doi.org/10.35757/stp.2025.53.3.02</w:t>
      </w:r>
    </w:p>
    <w:p>
      <w:pPr>
        <w:pStyle w:val="SourceNote"/>
      </w:pPr>
      <w:r>
        <w:rPr>
          <w:b/>
        </w:rPr>
        <w:t>Review status:</w:t>
      </w:r>
      <w:r>
        <w:t xml:space="preserve"> unchecked — group association only; no outcome judgment</w:t>
      </w:r>
    </w:p>
    <w:p>
      <w:pPr>
        <w:pStyle w:val="Heading2"/>
      </w:pPr>
      <w:r>
        <w:t>213. Claim + two later sources: Centre-Periphery Relations in Europe: Demographic Aspect</w:t>
      </w:r>
    </w:p>
    <w:p>
      <w:pPr>
        <w:pStyle w:val="SourceNote"/>
      </w:pPr>
      <w:r>
        <w:rPr>
          <w:b/>
        </w:rPr>
        <w:t>Group ID:</w:t>
      </w:r>
      <w:r>
        <w:t xml:space="preserve"> group-2ec13039c44536a6c9f2</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The European Social Fund Supports the Reintegration of the Long-term Unemployed Individuals Aged 50+ Into the Labor Market - A Comparison of the Federal States in Austria — https://doi.org/10.2478/ngoe-2021-0012</w:t>
      </w:r>
    </w:p>
    <w:p>
      <w:pPr/>
      <w:r>
        <w:rPr>
          <w:b/>
        </w:rPr>
        <w:t>Later source:</w:t>
      </w:r>
      <w:r>
        <w:t xml:space="preserve"> Inclusion of Unemployed People at Social Risk and Private Training Markets in Ireland, Portugal, and Spain — https://doi.org/10.1007/978-3-319-94532-3_108</w:t>
      </w:r>
    </w:p>
    <w:p>
      <w:pPr>
        <w:pStyle w:val="SourceNote"/>
      </w:pPr>
      <w:r>
        <w:rPr>
          <w:b/>
        </w:rPr>
        <w:t>Review status:</w:t>
      </w:r>
      <w:r>
        <w:t xml:space="preserve"> unchecked — group association only; no outcome judgment</w:t>
      </w:r>
    </w:p>
    <w:p>
      <w:pPr>
        <w:pStyle w:val="Heading2"/>
      </w:pPr>
      <w:r>
        <w:t>214.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group association only; no outcome judgment</w:t>
      </w:r>
    </w:p>
    <w:p>
      <w:pPr>
        <w:pStyle w:val="Heading2"/>
      </w:pPr>
      <w:r>
        <w:t>215. Claim + two later sources: Assessing the future medical cost burden for the European health systems under alternative exposure-to-risks scenarios</w:t>
      </w:r>
    </w:p>
    <w:p>
      <w:pPr>
        <w:pStyle w:val="SourceNote"/>
      </w:pPr>
      <w:r>
        <w:rPr>
          <w:b/>
        </w:rPr>
        <w:t>Group ID:</w:t>
      </w:r>
      <w:r>
        <w:t xml:space="preserve"> group-c0dc32275adf821b1dfc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Association between healthcare resources, healthcare systems, and population health in European countries — https://doi.org/10.1186/s12913-024-11743-0</w:t>
      </w:r>
    </w:p>
    <w:p>
      <w:pPr/>
      <w:r>
        <w:rPr>
          <w:b/>
        </w:rPr>
        <w:t>Later source:</w:t>
      </w:r>
      <w:r>
        <w:t xml:space="preserve"> Exploring the Dichotomy: The Impact of Private Healthcare Investment on Public Healthcare Quality in Europe — https://doi.org/10.37355/kd-2025-09</w:t>
      </w:r>
    </w:p>
    <w:p>
      <w:pPr>
        <w:pStyle w:val="SourceNote"/>
      </w:pPr>
      <w:r>
        <w:rPr>
          <w:b/>
        </w:rPr>
        <w:t>Review status:</w:t>
      </w:r>
      <w:r>
        <w:t xml:space="preserve"> unchecked — group association only; no outcome judgment</w:t>
      </w:r>
    </w:p>
    <w:p>
      <w:pPr>
        <w:pStyle w:val="Heading2"/>
      </w:pPr>
      <w:r>
        <w:t>216. Claim + two later sources: FRESHER: Challenges and opportunities for building Health/Healthy futures</w:t>
      </w:r>
    </w:p>
    <w:p>
      <w:pPr>
        <w:pStyle w:val="SourceNote"/>
      </w:pPr>
      <w:r>
        <w:rPr>
          <w:b/>
        </w:rPr>
        <w:t>Group ID:</w:t>
      </w:r>
      <w:r>
        <w:t xml:space="preserve"> group-9a321e441307a04aefc5</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Techno-economic evaluation of an elastic composite phase change material for building envelopes — https://doi.org/10.1016/j.tsep.2026.104727</w:t>
      </w:r>
    </w:p>
    <w:p>
      <w:pPr/>
      <w:r>
        <w:rPr>
          <w:b/>
        </w:rPr>
        <w:t>Later source:</w:t>
      </w:r>
      <w:r>
        <w:t xml:space="preserve"> Optimising phase change materials for ventilated building components in sustainable building design: a comprehensive review — https://doi.org/10.1016/j.enbuild.2025.115947</w:t>
      </w:r>
    </w:p>
    <w:p>
      <w:pPr>
        <w:pStyle w:val="SourceNote"/>
      </w:pPr>
      <w:r>
        <w:rPr>
          <w:b/>
        </w:rPr>
        <w:t>Review status:</w:t>
      </w:r>
      <w:r>
        <w:t xml:space="preserve"> unchecked — group association only; no outcome judgment</w:t>
      </w:r>
    </w:p>
    <w:p>
      <w:pPr>
        <w:pStyle w:val="Heading2"/>
      </w:pPr>
      <w:r>
        <w:t>217.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group association only; no outcome judgment</w:t>
      </w:r>
    </w:p>
    <w:p>
      <w:pPr>
        <w:pStyle w:val="Heading2"/>
      </w:pPr>
      <w:r>
        <w:t>218. Claim + two later sources: A scenario-planning approach to human resources for health: the case of community pharmacists in Portugal</w:t>
      </w:r>
    </w:p>
    <w:p>
      <w:pPr>
        <w:pStyle w:val="SourceNote"/>
      </w:pPr>
      <w:r>
        <w:rPr>
          <w:b/>
        </w:rPr>
        <w:t>Group ID:</w:t>
      </w:r>
      <w:r>
        <w:t xml:space="preserve"> group-1f09d36a69729f890317</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Design Policy Mapping in Europe — https://openalex.org/W7215223829</w:t>
      </w:r>
    </w:p>
    <w:p>
      <w:pPr/>
      <w:r>
        <w:rPr>
          <w:b/>
        </w:rPr>
        <w:t>Later source:</w:t>
      </w:r>
      <w:r>
        <w:t xml:space="preserve"> E-learning design and entrepreneurship in three European universities — https://doi.org/10.1108/ijebr-06-2019-0407</w:t>
      </w:r>
    </w:p>
    <w:p>
      <w:pPr>
        <w:pStyle w:val="SourceNote"/>
      </w:pPr>
      <w:r>
        <w:rPr>
          <w:b/>
        </w:rPr>
        <w:t>Review status:</w:t>
      </w:r>
      <w:r>
        <w:t xml:space="preserve"> unchecked — group association only; no outcome judgment</w:t>
      </w:r>
    </w:p>
    <w:p>
      <w:pPr>
        <w:pStyle w:val="Heading2"/>
      </w:pPr>
      <w:r>
        <w:t>219. Claim + two later sources: The northern hemisphere circumglobal teleconnection in a seasonal forecast model and its relationship to European summer forecast skill</w:t>
      </w:r>
    </w:p>
    <w:p>
      <w:pPr>
        <w:pStyle w:val="SourceNote"/>
      </w:pPr>
      <w:r>
        <w:rPr>
          <w:b/>
        </w:rPr>
        <w:t>Group ID:</w:t>
      </w:r>
      <w:r>
        <w:t xml:space="preserve"> group-c15cc0570bd84a7b91c8</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Drivers of the Northern Extratropical Eddy‐Driven Jet Change in CMIP5 and CMIP6 Models — https://doi.org/10.1029/2019gl086695</w:t>
      </w:r>
    </w:p>
    <w:p>
      <w:pPr/>
      <w:r>
        <w:rPr>
          <w:b/>
        </w:rPr>
        <w:t>Later source:</w:t>
      </w:r>
      <w:r>
        <w:t xml:space="preserve"> Testing a prediction model for the H-mode density pedestal against JET-ILW pedestals — https://doi.org/10.1088/1741-4326/acc084</w:t>
      </w:r>
    </w:p>
    <w:p>
      <w:pPr>
        <w:pStyle w:val="SourceNote"/>
      </w:pPr>
      <w:r>
        <w:rPr>
          <w:b/>
        </w:rPr>
        <w:t>Review status:</w:t>
      </w:r>
      <w:r>
        <w:t xml:space="preserve"> unchecked — group association only; no outcome judgment</w:t>
      </w:r>
    </w:p>
    <w:p>
      <w:pPr>
        <w:pStyle w:val="Heading2"/>
      </w:pPr>
      <w:r>
        <w:t>220. Claim + two later sources: Forecast for the zone of viticulture in European Russia under climate change</w:t>
      </w:r>
    </w:p>
    <w:p>
      <w:pPr>
        <w:pStyle w:val="SourceNote"/>
      </w:pPr>
      <w:r>
        <w:rPr>
          <w:b/>
        </w:rPr>
        <w:t>Group ID:</w:t>
      </w:r>
      <w:r>
        <w:t xml:space="preserve"> group-3384b1391602a35dea61</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Non-stationary time series attribution for heatwaves over Europe — https://doi.org/10.5194/ascmo-12-243-2026</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group association only; no outcome judgment</w:t>
      </w:r>
    </w:p>
    <w:p>
      <w:pPr>
        <w:pStyle w:val="Heading2"/>
      </w:pPr>
      <w:r>
        <w:t>221. Claim + two later sources: Integrating foresight into government. Is it possible? Is it likely?</w:t>
      </w:r>
    </w:p>
    <w:p>
      <w:pPr>
        <w:pStyle w:val="SourceNote"/>
      </w:pPr>
      <w:r>
        <w:rPr>
          <w:b/>
        </w:rPr>
        <w:t>Group ID:</w:t>
      </w:r>
      <w:r>
        <w:t xml:space="preserve"> group-f198ee04b7620b628895</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Genome-wide analyses of ADHD identify 27 risk loci, refine the genetic architecture and implicate several cognitive domains — https://doi.org/10.1038/s41588-022-01285-8</w:t>
      </w:r>
    </w:p>
    <w:p>
      <w:pPr/>
      <w:r>
        <w:rPr>
          <w:b/>
        </w:rPr>
        <w:t>Later source:</w:t>
      </w:r>
      <w:r>
        <w:t xml:space="preserve"> A named entity recognition framework using transformers to identify relevant clinical findings from mammographic radiological reports — https://doi.org/10.1117/12.2670228</w:t>
      </w:r>
    </w:p>
    <w:p>
      <w:pPr>
        <w:pStyle w:val="SourceNote"/>
      </w:pPr>
      <w:r>
        <w:rPr>
          <w:b/>
        </w:rPr>
        <w:t>Review status:</w:t>
      </w:r>
      <w:r>
        <w:t xml:space="preserve"> unchecked — group association only; no outcome judgment</w:t>
      </w:r>
    </w:p>
    <w:p>
      <w:pPr>
        <w:pStyle w:val="Heading2"/>
      </w:pPr>
      <w:r>
        <w:t>222. Claim + two later sources: An exploratory policy analysis of electric vehicle sales competition and sensitivity to infrastructure in Europe</w:t>
      </w:r>
    </w:p>
    <w:p>
      <w:pPr>
        <w:pStyle w:val="SourceNote"/>
      </w:pPr>
      <w:r>
        <w:rPr>
          <w:b/>
        </w:rPr>
        <w:t>Group ID:</w:t>
      </w:r>
      <w:r>
        <w:t xml:space="preserve"> group-1c5720e14f4690b65cc1</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 Charging Infrastructure and Electrification Dynamics in Europe: A Descriptive Assessment of Infrastructure Strain — https://doi.org/10.3390/en19092063</w:t>
      </w:r>
    </w:p>
    <w:p>
      <w:pPr/>
      <w:r>
        <w:rPr>
          <w:b/>
        </w:rPr>
        <w:t>Later source:</w:t>
      </w:r>
      <w:r>
        <w:t xml:space="preserve"> Infrastructure provision — https://doi.org/10.4337/9781785366192.00008</w:t>
      </w:r>
    </w:p>
    <w:p>
      <w:pPr>
        <w:pStyle w:val="SourceNote"/>
      </w:pPr>
      <w:r>
        <w:rPr>
          <w:b/>
        </w:rPr>
        <w:t>Review status:</w:t>
      </w:r>
      <w:r>
        <w:t xml:space="preserve"> unchecked — group association only; no outcome judgment</w:t>
      </w:r>
    </w:p>
    <w:p>
      <w:pPr>
        <w:pStyle w:val="Heading2"/>
      </w:pPr>
      <w:r>
        <w:t>223. Claim + two later sources: CORPORATE FORESIGHT AND ASSESSMENT OF INNOVATIVE ACTIVITY OF INDUSTRIAL ENTERPRISES</w:t>
      </w:r>
    </w:p>
    <w:p>
      <w:pPr>
        <w:pStyle w:val="SourceNote"/>
      </w:pPr>
      <w:r>
        <w:rPr>
          <w:b/>
        </w:rPr>
        <w:t>Group ID:</w:t>
      </w:r>
      <w:r>
        <w:t xml:space="preserve"> group-acf9d1f2fdf71ead7d3f</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Foresight (prevision) of development of the tourist system in Ukraine — https://doi.org/10.21511/ppm.21(4).2023.52</w:t>
      </w:r>
    </w:p>
    <w:p>
      <w:pPr>
        <w:pStyle w:val="SourceNote"/>
      </w:pPr>
      <w:r>
        <w:rPr>
          <w:b/>
        </w:rPr>
        <w:t>Review status:</w:t>
      </w:r>
      <w:r>
        <w:t xml:space="preserve"> unchecked — group association only; no outcome judgment</w:t>
      </w:r>
    </w:p>
    <w:p>
      <w:pPr>
        <w:pStyle w:val="Heading2"/>
      </w:pPr>
      <w:r>
        <w:t>224. Claim + two later sources: Varying soil moisture–atmosphere feedbacks explain divergent temperature extremes and precipitation projections in central Europe</w:t>
      </w:r>
    </w:p>
    <w:p>
      <w:pPr>
        <w:pStyle w:val="SourceNote"/>
      </w:pPr>
      <w:r>
        <w:rPr>
          <w:b/>
        </w:rPr>
        <w:t>Group ID:</w:t>
      </w:r>
      <w:r>
        <w:t xml:space="preserve"> group-dba52654bd76e59c69ea</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Civilizational Temperature: A CRTI-Based Heuristic Exploration of Long-Term System Dynamics (1000 BCE–2025 CE) — https://doi.org/10.5281/zenodo.19058865</w:t>
      </w:r>
    </w:p>
    <w:p>
      <w:pPr/>
      <w:r>
        <w:rPr>
          <w:b/>
        </w:rPr>
        <w:t>Later source:</w:t>
      </w:r>
      <w:r>
        <w:t xml:space="preserve"> Long-term daily water temperatures unveil escalating water warming and intensifying heatwaves in the Odra river Basin, Central Europe — https://doi.org/10.1016/j.gsf.2024.101916</w:t>
      </w:r>
    </w:p>
    <w:p>
      <w:pPr>
        <w:pStyle w:val="SourceNote"/>
      </w:pPr>
      <w:r>
        <w:rPr>
          <w:b/>
        </w:rPr>
        <w:t>Review status:</w:t>
      </w:r>
      <w:r>
        <w:t xml:space="preserve"> unchecked — group association only; no outcome judgment</w:t>
      </w:r>
    </w:p>
    <w:p>
      <w:pPr>
        <w:pStyle w:val="Heading2"/>
      </w:pPr>
      <w:r>
        <w:t>225.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group association only; no outcome judgment</w:t>
      </w:r>
    </w:p>
    <w:p>
      <w:pPr>
        <w:pStyle w:val="Heading2"/>
      </w:pPr>
      <w:r>
        <w:t>226. Claim + two later sources: Long-term outlook for wood construction in Europe</w:t>
      </w:r>
    </w:p>
    <w:p>
      <w:pPr>
        <w:pStyle w:val="SourceNote"/>
      </w:pPr>
      <w:r>
        <w:rPr>
          <w:b/>
        </w:rPr>
        <w:t>Group ID:</w:t>
      </w:r>
      <w:r>
        <w:t xml:space="preserve"> group-f767d3d9d5064fab6f0c</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Community Mental Health in Türkiye and Europe: Data and Influencing Factors — https://doi.org/10.18863/pgy.1392348</w:t>
      </w:r>
    </w:p>
    <w:p>
      <w:pPr/>
      <w:r>
        <w:rPr>
          <w:b/>
        </w:rPr>
        <w:t>Later source:</w:t>
      </w:r>
      <w:r>
        <w:t xml:space="preserve"> Escalating incidence of infective endocarditis in Europe in the 21st century — https://doi.org/10.1136/openhrt-2021-001846</w:t>
      </w:r>
    </w:p>
    <w:p>
      <w:pPr>
        <w:pStyle w:val="SourceNote"/>
      </w:pPr>
      <w:r>
        <w:rPr>
          <w:b/>
        </w:rPr>
        <w:t>Review status:</w:t>
      </w:r>
      <w:r>
        <w:t xml:space="preserve"> unchecked — group association only; no outcome judgment</w:t>
      </w:r>
    </w:p>
    <w:p>
      <w:pPr>
        <w:pStyle w:val="Heading2"/>
      </w:pPr>
      <w:r>
        <w:t>227. Claim + two later sources: A ‘futures’ approach towards the wellbeing of future generations in Wales and beyond</w:t>
      </w:r>
    </w:p>
    <w:p>
      <w:pPr>
        <w:pStyle w:val="SourceNote"/>
      </w:pPr>
      <w:r>
        <w:rPr>
          <w:b/>
        </w:rPr>
        <w:t>Group ID:</w:t>
      </w:r>
      <w:r>
        <w:t xml:space="preserve"> group-bd4804e882c07b94a54d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A Short Review about Predicting the Dew Point Pressure for Gas Condensate Reservoirs by Empirical Correlations — https://doi.org/10.5281/zenodo.8195449</w:t>
      </w:r>
    </w:p>
    <w:p>
      <w:pPr/>
      <w:r>
        <w:rPr>
          <w:b/>
        </w:rPr>
        <w:t>Later source:</w:t>
      </w:r>
      <w:r>
        <w:t xml:space="preserve"> Physicians' perception about predictors of opioid abuse in patients with chronic non-cancer pain: a Delphi study — https://doi.org/10.3389/fpain.2023.1269018</w:t>
      </w:r>
    </w:p>
    <w:p>
      <w:pPr>
        <w:pStyle w:val="SourceNote"/>
      </w:pPr>
      <w:r>
        <w:rPr>
          <w:b/>
        </w:rPr>
        <w:t>Review status:</w:t>
      </w:r>
      <w:r>
        <w:t xml:space="preserve"> unchecked — group association only; no outcome judgment</w:t>
      </w:r>
    </w:p>
    <w:p>
      <w:pPr>
        <w:pStyle w:val="Heading2"/>
      </w:pPr>
      <w:r>
        <w:t>228. Claim + two later sources: Electromobility Scenarios: Research Findings to Inform Policy</w:t>
      </w:r>
    </w:p>
    <w:p>
      <w:pPr>
        <w:pStyle w:val="SourceNote"/>
      </w:pPr>
      <w:r>
        <w:rPr>
          <w:b/>
        </w:rPr>
        <w:t>Group ID:</w:t>
      </w:r>
      <w:r>
        <w:t xml:space="preserve"> group-af7c7b21b5eab027eba9</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Cost benefit analysis of diversified farming systems across Europe: Incorporating non-market benefits of ecosystem services — https://doi.org/10.1016/j.scitotenv.2023.169272</w:t>
      </w:r>
    </w:p>
    <w:p>
      <w:pPr/>
      <w:r>
        <w:rPr>
          <w:b/>
        </w:rPr>
        <w:t>Later source:</w:t>
      </w:r>
      <w:r>
        <w:t xml:space="preserve"> Comparative cost-benefit analysis of upgrading existing office buildings in European climates — https://doi.org/10.26868/25222708.2023.1461</w:t>
      </w:r>
    </w:p>
    <w:p>
      <w:pPr>
        <w:pStyle w:val="SourceNote"/>
      </w:pPr>
      <w:r>
        <w:rPr>
          <w:b/>
        </w:rPr>
        <w:t>Review status:</w:t>
      </w:r>
      <w:r>
        <w:t xml:space="preserve"> unchecked — group association only; no outcome judgment</w:t>
      </w:r>
    </w:p>
    <w:p>
      <w:pPr>
        <w:pStyle w:val="Heading2"/>
      </w:pPr>
      <w:r>
        <w:t>229. Claim + two later sources: The Future of Visitor Attractions in The Netherlands</w:t>
      </w:r>
    </w:p>
    <w:p>
      <w:pPr>
        <w:pStyle w:val="SourceNote"/>
      </w:pPr>
      <w:r>
        <w:rPr>
          <w:b/>
        </w:rPr>
        <w:t>Group ID:</w:t>
      </w:r>
      <w:r>
        <w:t xml:space="preserve"> group-f1a4bb8030c68b80ea6d</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Sports Marketing as a Tool for Creating an Image of Leading European Football Clubs — https://doi.org/10.15611/2022.29.9.03</w:t>
      </w:r>
    </w:p>
    <w:p>
      <w:pPr/>
      <w:r>
        <w:rPr>
          <w:b/>
        </w:rPr>
        <w:t>Later source:</w:t>
      </w:r>
      <w:r>
        <w:t xml:space="preserve"> Creating the European Literary Text Collection (ELTeC): Challenges and Perspectives — https://doi.org/10.3828/mlo.v0i0.364</w:t>
      </w:r>
    </w:p>
    <w:p>
      <w:pPr>
        <w:pStyle w:val="SourceNote"/>
      </w:pPr>
      <w:r>
        <w:rPr>
          <w:b/>
        </w:rPr>
        <w:t>Review status:</w:t>
      </w:r>
      <w:r>
        <w:t xml:space="preserve"> unchecked — group association only; no outcome judgment</w:t>
      </w:r>
    </w:p>
    <w:p>
      <w:pPr>
        <w:pStyle w:val="Heading2"/>
      </w:pPr>
      <w:r>
        <w:t>230. Claim + two later sources: Using Scenarios to Assess Policy Mixes for Resource Efficiency and Eco-Innovation in Different Fiscal Policy Frameworks</w:t>
      </w:r>
    </w:p>
    <w:p>
      <w:pPr>
        <w:pStyle w:val="SourceNote"/>
      </w:pPr>
      <w:r>
        <w:rPr>
          <w:b/>
        </w:rPr>
        <w:t>Group ID:</w:t>
      </w:r>
      <w:r>
        <w:t xml:space="preserve"> group-792404cc13e6f41baba3</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Foresight on Demand (FoD) Impact of the COVID-19 Pandemic on European Consumer Behaviour - Foresight Study — https://openalex.org/W7137724443</w:t>
      </w:r>
    </w:p>
    <w:p>
      <w:pPr>
        <w:pStyle w:val="SourceNote"/>
      </w:pPr>
      <w:r>
        <w:rPr>
          <w:b/>
        </w:rPr>
        <w:t>Review status:</w:t>
      </w:r>
      <w:r>
        <w:t xml:space="preserve"> unchecked — group association only; no outcome judgment</w:t>
      </w:r>
    </w:p>
    <w:p>
      <w:pPr>
        <w:pStyle w:val="Heading2"/>
      </w:pPr>
      <w:r>
        <w:t>231. Claim + two later sources: Spatial Simulation of Codesigned Land Cover Change Scenarios in New England: Alternative Futures and Their Consequences for Conservation Priorities</w:t>
      </w:r>
    </w:p>
    <w:p>
      <w:pPr>
        <w:pStyle w:val="SourceNote"/>
      </w:pPr>
      <w:r>
        <w:rPr>
          <w:b/>
        </w:rPr>
        <w:t>Group ID:</w:t>
      </w:r>
      <w:r>
        <w:t xml:space="preserve"> group-ed97c3c445945be6be5a</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to Prepare a Manuscript — https://doi.org/10.1097/nur.0000000000000973</w:t>
      </w:r>
    </w:p>
    <w:p>
      <w:pPr/>
      <w:r>
        <w:rPr>
          <w:b/>
        </w:rPr>
        <w:t>Later source:</w:t>
      </w:r>
      <w:r>
        <w:t xml:space="preserve"> Can AI help authors prepare better risk science manuscripts? — https://doi.org/10.1111/risa.70055</w:t>
      </w:r>
    </w:p>
    <w:p>
      <w:pPr>
        <w:pStyle w:val="SourceNote"/>
      </w:pPr>
      <w:r>
        <w:rPr>
          <w:b/>
        </w:rPr>
        <w:t>Review status:</w:t>
      </w:r>
      <w:r>
        <w:t xml:space="preserve"> unchecked — group association only; no outcome judgment</w:t>
      </w:r>
    </w:p>
    <w:p>
      <w:pPr>
        <w:pStyle w:val="Heading2"/>
      </w:pPr>
      <w:r>
        <w:t>232. Claim + two later sources: Futuring European industry: assessing the ManuFuture road towards EU re-industrialization</w:t>
      </w:r>
    </w:p>
    <w:p>
      <w:pPr>
        <w:pStyle w:val="SourceNote"/>
      </w:pPr>
      <w:r>
        <w:rPr>
          <w:b/>
        </w:rPr>
        <w:t>Group ID:</w:t>
      </w:r>
      <w:r>
        <w:t xml:space="preserve"> group-570e02e8305897270ce0</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A network analysis of systemic risk in the European banking sector — https://doi.org/10.1007/s10203-026-00600-w</w:t>
      </w:r>
    </w:p>
    <w:p>
      <w:pPr/>
      <w:r>
        <w:rPr>
          <w:b/>
        </w:rPr>
        <w:t>Later source:</w:t>
      </w:r>
      <w:r>
        <w:t xml:space="preserve"> Evaluation of the European Society of Cardiology Risk Assessment Score in Incident Systemic Sclerosis‐Associated Pulmonary Arterial Hypertension — https://doi.org/10.1002/acr.25328</w:t>
      </w:r>
    </w:p>
    <w:p>
      <w:pPr>
        <w:pStyle w:val="SourceNote"/>
      </w:pPr>
      <w:r>
        <w:rPr>
          <w:b/>
        </w:rPr>
        <w:t>Review status:</w:t>
      </w:r>
      <w:r>
        <w:t xml:space="preserve"> unchecked — group association only; no outcome judgment</w:t>
      </w:r>
    </w:p>
    <w:p>
      <w:pPr>
        <w:pStyle w:val="Heading2"/>
      </w:pPr>
      <w:r>
        <w:t>233. Claim + two later sources: THREE INVESTMENT SCENARIOS FOR  FUTURE NUCLEAR REACTORS IN EUROPE</w:t>
      </w:r>
    </w:p>
    <w:p>
      <w:pPr>
        <w:pStyle w:val="SourceNote"/>
      </w:pPr>
      <w:r>
        <w:rPr>
          <w:b/>
        </w:rPr>
        <w:t>Group ID:</w:t>
      </w:r>
      <w:r>
        <w:t xml:space="preserve"> group-3ecd51afddcb55327247</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Atomic rivers. The (Un)sustainability of nuclear power in an age of climate change — https://doi.org/10.1016/j.enpol.2025.114631</w:t>
      </w:r>
    </w:p>
    <w:p>
      <w:pPr/>
      <w:r>
        <w:rPr>
          <w:b/>
        </w:rPr>
        <w:t>Later source:</w:t>
      </w:r>
      <w:r>
        <w:t xml:space="preserve"> Can the European nuclear power industry compete with the Chinese nuclear power industry? — https://doi.org/10.24294/jipd.v8i11.8715</w:t>
      </w:r>
    </w:p>
    <w:p>
      <w:pPr>
        <w:pStyle w:val="SourceNote"/>
      </w:pPr>
      <w:r>
        <w:rPr>
          <w:b/>
        </w:rPr>
        <w:t>Review status:</w:t>
      </w:r>
      <w:r>
        <w:t xml:space="preserve"> unchecked — group association only; no outcome judgment</w:t>
      </w:r>
    </w:p>
    <w:p>
      <w:pPr>
        <w:pStyle w:val="Heading2"/>
      </w:pPr>
      <w:r>
        <w:t>234. Claim + two later sources: A road map for explorative scenario creation on Belgian rail freight transport development</w:t>
      </w:r>
    </w:p>
    <w:p>
      <w:pPr>
        <w:pStyle w:val="SourceNote"/>
      </w:pPr>
      <w:r>
        <w:rPr>
          <w:b/>
        </w:rPr>
        <w:t>Group ID:</w:t>
      </w:r>
      <w:r>
        <w:t xml:space="preserve"> group-c4e009ad8eb9678b2750</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Educational Innovation for Sustainability: An Interdisciplinary Model of Road Decarbonization in Higher Education — https://doi.org/10.20944/preprints202502.0760.v1</w:t>
      </w:r>
    </w:p>
    <w:p>
      <w:pPr/>
      <w:r>
        <w:rPr>
          <w:b/>
        </w:rPr>
        <w:t>Later source:</w:t>
      </w:r>
      <w:r>
        <w:t xml:space="preserve"> Explainable Artificial Intelligence (XAI) 2.0: A manifesto of open challenges and interdisciplinary research directions — https://doi.org/10.1016/j.inffus.2024.102301</w:t>
      </w:r>
    </w:p>
    <w:p>
      <w:pPr>
        <w:pStyle w:val="SourceNote"/>
      </w:pPr>
      <w:r>
        <w:rPr>
          <w:b/>
        </w:rPr>
        <w:t>Review status:</w:t>
      </w:r>
      <w:r>
        <w:t xml:space="preserve"> unchecked — group association only; no outcome judgment</w:t>
      </w:r>
    </w:p>
    <w:p>
      <w:pPr>
        <w:pStyle w:val="Heading2"/>
      </w:pPr>
      <w:r>
        <w:t>235. Claim + two later sources: Three scenarios for industrial relations in Europe</w:t>
      </w:r>
    </w:p>
    <w:p>
      <w:pPr>
        <w:pStyle w:val="SourceNote"/>
      </w:pPr>
      <w:r>
        <w:rPr>
          <w:b/>
        </w:rPr>
        <w:t>Group ID:</w:t>
      </w:r>
      <w:r>
        <w:t xml:space="preserve"> group-2b44f7d6324862b3f6b2</w:t>
      </w:r>
    </w:p>
    <w:p>
      <w:pPr>
        <w:pStyle w:val="SourceNote"/>
      </w:pPr>
      <w:r>
        <w:rPr>
          <w:b/>
        </w:rPr>
        <w:t>Original source:</w:t>
      </w:r>
      <w:r>
        <w:t xml:space="preserve"> https://doi.org/10.1111/j.1564-913x.2015.00221.x</w:t>
      </w:r>
    </w:p>
    <w:p>
      <w:pPr/>
      <w:r>
        <w:rPr>
          <w:b/>
        </w:rPr>
        <w:t>Original future claim:</w:t>
      </w:r>
      <w:r>
        <w:t xml:space="preserve">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Causes of the Russian-Ukrainian Conflict and its Impact on Security in Europe — https://doi.org/10.2478/kbo-2023-0004</w:t>
      </w:r>
    </w:p>
    <w:p>
      <w:pPr/>
      <w:r>
        <w:rPr>
          <w:b/>
        </w:rPr>
        <w:t>Later source:</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pStyle w:val="SourceNote"/>
      </w:pPr>
      <w:r>
        <w:rPr>
          <w:b/>
        </w:rPr>
        <w:t>Review status:</w:t>
      </w:r>
      <w:r>
        <w:t xml:space="preserve"> unchecked — group association only; no outcome judgment</w:t>
      </w:r>
    </w:p>
    <w:p>
      <w:pPr>
        <w:pStyle w:val="Heading2"/>
      </w:pPr>
      <w:r>
        <w:t>236.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group association only; no outcome judgment</w:t>
      </w:r>
    </w:p>
    <w:p>
      <w:pPr>
        <w:pStyle w:val="Heading2"/>
      </w:pPr>
      <w:r>
        <w:t>237. Claim + two later sources: Fiscal sustainability and the accuracy of macroeconomic forecasts: Do supranational forecasts rather than government forecasts make a difference?</w:t>
      </w:r>
    </w:p>
    <w:p>
      <w:pPr>
        <w:pStyle w:val="SourceNote"/>
      </w:pPr>
      <w:r>
        <w:rPr>
          <w:b/>
        </w:rPr>
        <w:t>Group ID:</w:t>
      </w:r>
      <w:r>
        <w:t xml:space="preserve"> group-1c8b174f853205bc122a</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European anthropogenic AFOLU greenhouse gas emissions: a review and benchmark data — https://doi.org/10.5194/essd-12-961-2020</w:t>
      </w:r>
    </w:p>
    <w:p>
      <w:pPr/>
      <w:r>
        <w:rPr>
          <w:b/>
        </w:rPr>
        <w:t>Later source:</w:t>
      </w:r>
      <w:r>
        <w:t xml:space="preserve"> The European Union and Democratization in Central and Southeastern Europe since 1989 — https://doi.org/10.1017/9781108752466.021</w:t>
      </w:r>
    </w:p>
    <w:p>
      <w:pPr>
        <w:pStyle w:val="SourceNote"/>
      </w:pPr>
      <w:r>
        <w:rPr>
          <w:b/>
        </w:rPr>
        <w:t>Review status:</w:t>
      </w:r>
      <w:r>
        <w:t xml:space="preserve"> unchecked — group association only; no outcome judgment</w:t>
      </w:r>
    </w:p>
    <w:p>
      <w:pPr>
        <w:pStyle w:val="Heading2"/>
      </w:pPr>
      <w:r>
        <w:t>238. Claim + two later sources: Shared Socio-economic Pathways for European agriculture and food systems: The Eur-Agri-SSPs</w:t>
      </w:r>
    </w:p>
    <w:p>
      <w:pPr>
        <w:pStyle w:val="SourceNote"/>
      </w:pPr>
      <w:r>
        <w:rPr>
          <w:b/>
        </w:rPr>
        <w:t>Group ID:</w:t>
      </w:r>
      <w:r>
        <w:t xml:space="preserve"> group-759767af802046fe9713</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Multicentre evaluation of a selective isolation protocol for detection of mcr-positive E. coli and Salmonella spp. in food-producing animals and meat — https://doi.org/10.1111/lam.13717</w:t>
      </w:r>
    </w:p>
    <w:p>
      <w:pPr/>
      <w:r>
        <w:rPr>
          <w:b/>
        </w:rPr>
        <w:t>Later source:</w:t>
      </w:r>
      <w:r>
        <w:t xml:space="preserve"> Implementation of a pan-European ecosystem and an interoperable platform for Smart and Healthy Ageing in Europe: An Innovation Action research protocol — https://doi.org/10.12688/openreseurope.14827.1</w:t>
      </w:r>
    </w:p>
    <w:p>
      <w:pPr>
        <w:pStyle w:val="SourceNote"/>
      </w:pPr>
      <w:r>
        <w:rPr>
          <w:b/>
        </w:rPr>
        <w:t>Review status:</w:t>
      </w:r>
      <w:r>
        <w:t xml:space="preserve"> unchecked — group association only; no outcome judgment</w:t>
      </w:r>
    </w:p>
    <w:p>
      <w:pPr>
        <w:pStyle w:val="Heading2"/>
      </w:pPr>
      <w:r>
        <w:t>239. Claim + two later sources: Flexible electricity generation, grid exchange and storage for the transition to a 100% renewable energy system in Europe</w:t>
      </w:r>
    </w:p>
    <w:p>
      <w:pPr>
        <w:pStyle w:val="SourceNote"/>
      </w:pPr>
      <w:r>
        <w:rPr>
          <w:b/>
        </w:rPr>
        <w:t>Group ID:</w:t>
      </w:r>
      <w:r>
        <w:t xml:space="preserve"> group-0baf416bcea760699085</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D8.2: 'Just' transition pathway &amp; intermediate targets — https://doi.org/10.5281/zenodo.20486783</w:t>
      </w:r>
    </w:p>
    <w:p>
      <w:pPr/>
      <w:r>
        <w:rPr>
          <w:b/>
        </w:rPr>
        <w:t>Later source:</w:t>
      </w:r>
      <w:r>
        <w:t xml:space="preserve"> European Circular Economy Structural Typology Based on Multivariate Analysis of Latent Dimensions and Transition Pathways — https://doi.org/10.1002/sd.71629</w:t>
      </w:r>
    </w:p>
    <w:p>
      <w:pPr>
        <w:pStyle w:val="SourceNote"/>
      </w:pPr>
      <w:r>
        <w:rPr>
          <w:b/>
        </w:rPr>
        <w:t>Review status:</w:t>
      </w:r>
      <w:r>
        <w:t xml:space="preserve"> unchecked — group association only; no outcome judgment</w:t>
      </w:r>
    </w:p>
    <w:p>
      <w:pPr>
        <w:pStyle w:val="Heading2"/>
      </w:pPr>
      <w:r>
        <w:t>240. Claim + two later sources: Consequences of Enduring Low Fertility – A German Case Study. Demographic Projections and Implications for Different Policy Fields</w:t>
      </w:r>
    </w:p>
    <w:p>
      <w:pPr>
        <w:pStyle w:val="SourceNote"/>
      </w:pPr>
      <w:r>
        <w:rPr>
          <w:b/>
        </w:rPr>
        <w:t>Group ID:</w:t>
      </w:r>
      <w:r>
        <w:t xml:space="preserve"> group-8cfd1c12e855e8160b3b</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Ageing and ocular problems — https://doi.org/10.1556/2066.2021.00042</w:t>
      </w:r>
    </w:p>
    <w:p>
      <w:pPr/>
      <w:r>
        <w:rPr>
          <w:b/>
        </w:rPr>
        <w:t>Later source:</w:t>
      </w:r>
      <w:r>
        <w:t xml:space="preserve"> Central and Peripheral Neuromuscular Adaptations to Ageing — https://doi.org/10.3390/jcm9030741</w:t>
      </w:r>
    </w:p>
    <w:p>
      <w:pPr>
        <w:pStyle w:val="SourceNote"/>
      </w:pPr>
      <w:r>
        <w:rPr>
          <w:b/>
        </w:rPr>
        <w:t>Review status:</w:t>
      </w:r>
      <w:r>
        <w:t xml:space="preserve"> unchecked — group association only; no outcome judgment</w:t>
      </w:r>
    </w:p>
    <w:p>
      <w:pPr>
        <w:pStyle w:val="Heading2"/>
      </w:pPr>
      <w:r>
        <w:t>241. Claim + two later sources: A look into the future of the COVID-19 pandemic in Europe: an expert consultation</w:t>
      </w:r>
    </w:p>
    <w:p>
      <w:pPr>
        <w:pStyle w:val="SourceNote"/>
      </w:pPr>
      <w:r>
        <w:rPr>
          <w:b/>
        </w:rPr>
        <w:t>Group ID:</w:t>
      </w:r>
      <w:r>
        <w:t xml:space="preserve"> group-d02dd0d12a48ceaa5ba6</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DEVELOPMENTS AND CHALLENGES REGARDING THE EUROPEAN CAPITAL MARKETS INTEGRATION PROJECT — https://doi.org/10.55654/jfs.2024.9.16.13</w:t>
      </w:r>
    </w:p>
    <w:p>
      <w:pPr/>
      <w:r>
        <w:rPr>
          <w:b/>
        </w:rPr>
        <w:t>Later source:</w:t>
      </w:r>
      <w:r>
        <w:t xml:space="preserve"> European Youth Work Developments and Challenges—A Meta-Synthesis — https://doi.org/10.3390/youth4030075</w:t>
      </w:r>
    </w:p>
    <w:p>
      <w:pPr>
        <w:pStyle w:val="SourceNote"/>
      </w:pPr>
      <w:r>
        <w:rPr>
          <w:b/>
        </w:rPr>
        <w:t>Review status:</w:t>
      </w:r>
      <w:r>
        <w:t xml:space="preserve"> unchecked — group association only; no outcome judgment</w:t>
      </w:r>
    </w:p>
    <w:p>
      <w:pPr>
        <w:pStyle w:val="Heading2"/>
      </w:pPr>
      <w:r>
        <w:t>242.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group-d610c70072f94cb030b1</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Application of the World Café method to discuss the efficiency of African swine fever control strategies in European wild boar (Sus scrofa) populations — https://doi.org/10.1016/j.prevetmed.2020.105178</w:t>
      </w:r>
    </w:p>
    <w:p>
      <w:pPr>
        <w:pStyle w:val="SourceNote"/>
      </w:pPr>
      <w:r>
        <w:rPr>
          <w:b/>
        </w:rPr>
        <w:t>Review status:</w:t>
      </w:r>
      <w:r>
        <w:t xml:space="preserve"> unchecked — group association only; no outcome judgment</w:t>
      </w:r>
    </w:p>
    <w:p>
      <w:pPr>
        <w:pStyle w:val="Heading2"/>
      </w:pPr>
      <w:r>
        <w:t>243.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group association only; no outcome judgment</w:t>
      </w:r>
    </w:p>
    <w:p>
      <w:pPr>
        <w:pStyle w:val="Heading2"/>
      </w:pPr>
      <w:r>
        <w:t>244. Claim + two later sources: Trends and Possible Future Developments in Global Forest-Product Markets—Implications for the Swedish Forest Sector</w:t>
      </w:r>
    </w:p>
    <w:p>
      <w:pPr>
        <w:pStyle w:val="SourceNote"/>
      </w:pPr>
      <w:r>
        <w:rPr>
          <w:b/>
        </w:rPr>
        <w:t>Group ID:</w:t>
      </w:r>
      <w:r>
        <w:t xml:space="preserve"> group-d28351f4e4cc58f9e2c3</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Editorial: Critical perspectives in times of uncertainty — https://doi.org/10.1108/dpm-08-2025-435</w:t>
      </w:r>
    </w:p>
    <w:p>
      <w:pPr/>
      <w:r>
        <w:rPr>
          <w:b/>
        </w:rPr>
        <w:t>Later source:</w:t>
      </w:r>
      <w:r>
        <w:t xml:space="preserve"> Lithium: critical, or not so critical? — https://doi.org/10.1144/geoenergy2023-045</w:t>
      </w:r>
    </w:p>
    <w:p>
      <w:pPr>
        <w:pStyle w:val="SourceNote"/>
      </w:pPr>
      <w:r>
        <w:rPr>
          <w:b/>
        </w:rPr>
        <w:t>Review status:</w:t>
      </w:r>
      <w:r>
        <w:t xml:space="preserve"> unchecked — group association only; no outcome judgment</w:t>
      </w:r>
    </w:p>
    <w:p>
      <w:pPr>
        <w:pStyle w:val="Heading2"/>
      </w:pPr>
      <w:r>
        <w:t>245. Claim + two later sources: Energy Portfolio of the Eastern Poland Macroregion in the European Union</w:t>
      </w:r>
    </w:p>
    <w:p>
      <w:pPr>
        <w:pStyle w:val="SourceNote"/>
      </w:pPr>
      <w:r>
        <w:rPr>
          <w:b/>
        </w:rPr>
        <w:t>Group ID:</w:t>
      </w:r>
      <w:r>
        <w:t xml:space="preserve"> group-28d1e00ff30d4520c8e1</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TOPAS-CH4: a service for methane monitoring, source attribution and emission reduction over Europe — https://doi.org/10.5194/egusphere-egu24-8844</w:t>
      </w:r>
    </w:p>
    <w:p>
      <w:pPr/>
      <w:r>
        <w:rPr>
          <w:b/>
        </w:rPr>
        <w:t>Later source:</w:t>
      </w:r>
      <w:r>
        <w:t xml:space="preserve"> Predicting atrial fibrillation risk following embolic stroke of unknown source using cardiac magnetic resonance imaging — https://doi.org/10.1093/europace/euae102.252</w:t>
      </w:r>
    </w:p>
    <w:p>
      <w:pPr>
        <w:pStyle w:val="SourceNote"/>
      </w:pPr>
      <w:r>
        <w:rPr>
          <w:b/>
        </w:rPr>
        <w:t>Review status:</w:t>
      </w:r>
      <w:r>
        <w:t xml:space="preserve"> unchecked — group association only; no outcome judgment</w:t>
      </w:r>
    </w:p>
    <w:p>
      <w:pPr>
        <w:pStyle w:val="Heading2"/>
      </w:pPr>
      <w:r>
        <w:t>246. Claim + two later sources: Future air quality in Europe: a multi-model assessment of projected exposure to ozone</w:t>
      </w:r>
    </w:p>
    <w:p>
      <w:pPr>
        <w:pStyle w:val="SourceNote"/>
      </w:pPr>
      <w:r>
        <w:rPr>
          <w:b/>
        </w:rPr>
        <w:t>Group ID:</w:t>
      </w:r>
      <w:r>
        <w:t xml:space="preserve"> group-3e5da3dfcc08d6453b44</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Geographic sources of ozone air pollution and mortality burden in Europe — https://doi.org/10.1038/s41591-024-02976-x</w:t>
      </w:r>
    </w:p>
    <w:p>
      <w:pPr>
        <w:pStyle w:val="SourceNote"/>
      </w:pPr>
      <w:r>
        <w:rPr>
          <w:b/>
        </w:rPr>
        <w:t>Review status:</w:t>
      </w:r>
      <w:r>
        <w:t xml:space="preserve"> unchecked — group association only; no outcome judgment</w:t>
      </w:r>
    </w:p>
    <w:p>
      <w:pPr>
        <w:pStyle w:val="Heading2"/>
      </w:pPr>
      <w:r>
        <w:t>247. Claim + two later sources: The future of trade unions in Croatia – various stakeholders’ perspectives</w:t>
      </w:r>
    </w:p>
    <w:p>
      <w:pPr>
        <w:pStyle w:val="SourceNote"/>
      </w:pPr>
      <w:r>
        <w:rPr>
          <w:b/>
        </w:rPr>
        <w:t>Group ID:</w:t>
      </w:r>
      <w:r>
        <w:t xml:space="preserve"> group-aae1bc713ddad7d10ff1</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Exploring the effects of protected area networks on the European land system — https://doi.org/10.1016/j.jenvman.2023.117741</w:t>
      </w:r>
    </w:p>
    <w:p>
      <w:pPr/>
      <w:r>
        <w:rPr>
          <w:b/>
        </w:rPr>
        <w:t>Later source:</w:t>
      </w:r>
      <w:r>
        <w:t xml:space="preserve"> European Green Deal necropolitics: Exploring ‘green’ energy transition, degrowth &amp; infrastructural colonization — https://doi.org/10.1016/j.polgeo.2022.102640</w:t>
      </w:r>
    </w:p>
    <w:p>
      <w:pPr>
        <w:pStyle w:val="SourceNote"/>
      </w:pPr>
      <w:r>
        <w:rPr>
          <w:b/>
        </w:rPr>
        <w:t>Review status:</w:t>
      </w:r>
      <w:r>
        <w:t xml:space="preserve"> unchecked — group association only; no outcome judgment</w:t>
      </w:r>
    </w:p>
    <w:p>
      <w:pPr>
        <w:pStyle w:val="Heading2"/>
      </w:pPr>
      <w:r>
        <w:t>248. Claim + two later sources: Agent‐Based Modeling of Alternative Futures in the British Land Use System</w:t>
      </w:r>
    </w:p>
    <w:p>
      <w:pPr>
        <w:pStyle w:val="SourceNote"/>
      </w:pPr>
      <w:r>
        <w:rPr>
          <w:b/>
        </w:rPr>
        <w:t>Group ID:</w:t>
      </w:r>
      <w:r>
        <w:t xml:space="preserve"> group-b15c50b9aad95b4c7b27</w:t>
      </w:r>
    </w:p>
    <w:p>
      <w:pPr>
        <w:pStyle w:val="SourceNote"/>
      </w:pPr>
      <w:r>
        <w:rPr>
          <w:b/>
        </w:rPr>
        <w:t>Original source:</w:t>
      </w:r>
      <w:r>
        <w:t xml:space="preserve"> https://doi.org/10.1029/2022ef002905</w:t>
      </w:r>
    </w:p>
    <w:p>
      <w:pPr/>
      <w:r>
        <w:rPr>
          <w:b/>
        </w:rPr>
        <w:t>Original future claim:</w:t>
      </w:r>
      <w:r>
        <w:t xml:space="preserve">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Abstract WMP47: Neighborhood Socio-Economic Status as a Predictor of All-Cause Long-Term Post-Stroke Mortality — https://doi.org/10.1161/str.55.suppl_1.wmp47</w:t>
      </w:r>
    </w:p>
    <w:p>
      <w:pPr>
        <w:pStyle w:val="SourceNote"/>
      </w:pPr>
      <w:r>
        <w:rPr>
          <w:b/>
        </w:rPr>
        <w:t>Review status:</w:t>
      </w:r>
      <w:r>
        <w:t xml:space="preserve"> unchecked — group association only; no outcome judgment</w:t>
      </w:r>
    </w:p>
    <w:p>
      <w:pPr>
        <w:pStyle w:val="Heading2"/>
      </w:pPr>
      <w:r>
        <w:t>249. Claim + two later sources: Toward a Diagnostic Tool for Organizational Ethical Culture With Futures Thinking and Scenario Planning</w:t>
      </w:r>
    </w:p>
    <w:p>
      <w:pPr>
        <w:pStyle w:val="SourceNote"/>
      </w:pPr>
      <w:r>
        <w:rPr>
          <w:b/>
        </w:rPr>
        <w:t>Group ID:</w:t>
      </w:r>
      <w:r>
        <w:t xml:space="preserve"> group-cd418560fe3e31c5dec9</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Mapping the Evidence on Antimicrobial Resistance Transmission in Mass Gatherings: A Scoping Review — https://doi.org/10.17605/osf.io/9hq5t</w:t>
      </w:r>
    </w:p>
    <w:p>
      <w:pPr/>
      <w:r>
        <w:rPr>
          <w:b/>
        </w:rPr>
        <w:t>Later source:</w:t>
      </w:r>
      <w:r>
        <w:t xml:space="preserve"> Improved LEACH Model with Efficient Data Gathering Scheme for Mobile Internet of Things — https://doi.org/10.1109/icngcs64900.2025.11183334</w:t>
      </w:r>
    </w:p>
    <w:p>
      <w:pPr>
        <w:pStyle w:val="SourceNote"/>
      </w:pPr>
      <w:r>
        <w:rPr>
          <w:b/>
        </w:rPr>
        <w:t>Review status:</w:t>
      </w:r>
      <w:r>
        <w:t xml:space="preserve"> unchecked — group association only; no outcome judgment</w:t>
      </w:r>
    </w:p>
    <w:p>
      <w:pPr>
        <w:pStyle w:val="Heading2"/>
      </w:pPr>
      <w:r>
        <w:t>250. Claim + two later sources: Scenarios for the Development of Multimodal Transport in the TRITIA Cross-Border Area</w:t>
      </w:r>
    </w:p>
    <w:p>
      <w:pPr>
        <w:pStyle w:val="SourceNote"/>
      </w:pPr>
      <w:r>
        <w:rPr>
          <w:b/>
        </w:rPr>
        <w:t>Group ID:</w:t>
      </w:r>
      <w:r>
        <w:t xml:space="preserve"> group-e62e486ade7bde1f1e4f</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Soil Governance in current European Union Law and in the European Green Deal — https://doi.org/10.1016/j.soisec.2022.100053</w:t>
      </w:r>
    </w:p>
    <w:p>
      <w:pPr/>
      <w:r>
        <w:rPr>
          <w:b/>
        </w:rPr>
        <w:t>Later source:</w:t>
      </w:r>
      <w:r>
        <w:t xml:space="preserve"> Nature-Based Solutions in Urban Areas: A European Analysis — https://doi.org/10.3390/app13010168</w:t>
      </w:r>
    </w:p>
    <w:p>
      <w:pPr>
        <w:pStyle w:val="SourceNote"/>
      </w:pPr>
      <w:r>
        <w:rPr>
          <w:b/>
        </w:rPr>
        <w:t>Review status:</w:t>
      </w:r>
      <w:r>
        <w:t xml:space="preserve"> unchecked — group association only; no outcome judgment</w:t>
      </w:r>
    </w:p>
    <w:p>
      <w:pPr>
        <w:pStyle w:val="Heading2"/>
      </w:pPr>
      <w:r>
        <w:t>251. Claim + two later sources: Central Europe: Possible Scenarios</w:t>
      </w:r>
    </w:p>
    <w:p>
      <w:pPr>
        <w:pStyle w:val="SourceNote"/>
      </w:pPr>
      <w:r>
        <w:rPr>
          <w:b/>
        </w:rPr>
        <w:t>Group ID:</w:t>
      </w:r>
      <w:r>
        <w:t xml:space="preserve"> group-c289e79cd82c6bf99684</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How can Europe address its pressing AI compute infrastructure shortfall? — https://doi.org/10.64153/shia4474</w:t>
      </w:r>
    </w:p>
    <w:p>
      <w:pPr>
        <w:pStyle w:val="SourceNote"/>
      </w:pPr>
      <w:r>
        <w:rPr>
          <w:b/>
        </w:rPr>
        <w:t>Review status:</w:t>
      </w:r>
      <w:r>
        <w:t xml:space="preserve"> unchecked — group association only; no outcome judgment</w:t>
      </w:r>
    </w:p>
    <w:p>
      <w:pPr>
        <w:pStyle w:val="Heading2"/>
      </w:pPr>
      <w:r>
        <w:t>252.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group association only; no outcome judgment</w:t>
      </w:r>
    </w:p>
    <w:p>
      <w:pPr>
        <w:pStyle w:val="Heading2"/>
      </w:pPr>
      <w:r>
        <w:t>253. Claim + two later sources: Energy transition scenarios: What policies, societal attitudes, and technology developments will realize the EU Green Deal?</w:t>
      </w:r>
    </w:p>
    <w:p>
      <w:pPr>
        <w:pStyle w:val="SourceNote"/>
      </w:pPr>
      <w:r>
        <w:rPr>
          <w:b/>
        </w:rPr>
        <w:t>Group ID:</w:t>
      </w:r>
      <w:r>
        <w:t xml:space="preserve"> group-b4c8363bd667656b4b6c</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‘They Take Our Healthcare’: Health and Attitudes towards Immigration in Europe — https://doi.org/10.1177/00104140251342932</w:t>
      </w:r>
    </w:p>
    <w:p>
      <w:pPr>
        <w:pStyle w:val="SourceNote"/>
      </w:pPr>
      <w:r>
        <w:rPr>
          <w:b/>
        </w:rPr>
        <w:t>Review status:</w:t>
      </w:r>
      <w:r>
        <w:t xml:space="preserve"> unchecked — group association only; no outcome judgment</w:t>
      </w:r>
    </w:p>
    <w:p>
      <w:pPr>
        <w:pStyle w:val="Heading2"/>
      </w:pPr>
      <w:r>
        <w:t>254. Claim + two later sources: Five transition pathways to renewable energy futures—scenarios from a Delphi study on key drivers and policy options</w:t>
      </w:r>
    </w:p>
    <w:p>
      <w:pPr>
        <w:pStyle w:val="SourceNote"/>
      </w:pPr>
      <w:r>
        <w:rPr>
          <w:b/>
        </w:rPr>
        <w:t>Group ID:</w:t>
      </w:r>
      <w:r>
        <w:t xml:space="preserve"> group-df4bf4129d58d2b5a30a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Renewable Energy, Sustainable Business Models, and Decarbonization in the European Union: Comparative Analysis of Corporate Sustainability Reports — https://doi.org/10.3390/su17083646</w:t>
      </w:r>
    </w:p>
    <w:p>
      <w:pPr/>
      <w:r>
        <w:rPr>
          <w:b/>
        </w:rPr>
        <w:t>Later source:</w:t>
      </w:r>
      <w:r>
        <w:t xml:space="preserve"> Five models and ten predictors for energy costs on farms in the European Union — https://doi.org/10.1515/opag-2025-0441</w:t>
      </w:r>
    </w:p>
    <w:p>
      <w:pPr>
        <w:pStyle w:val="SourceNote"/>
      </w:pPr>
      <w:r>
        <w:rPr>
          <w:b/>
        </w:rPr>
        <w:t>Review status:</w:t>
      </w:r>
      <w:r>
        <w:t xml:space="preserve"> unchecked — group association only; no outcome judgment</w:t>
      </w:r>
    </w:p>
    <w:p>
      <w:pPr>
        <w:pStyle w:val="Heading2"/>
      </w:pPr>
      <w:r>
        <w:t>255. Claim + two later sources: European Union, transnational terrorism and the strategic choice of counterterrorism policies in democratic countries</w:t>
      </w:r>
    </w:p>
    <w:p>
      <w:pPr>
        <w:pStyle w:val="SourceNote"/>
      </w:pPr>
      <w:r>
        <w:rPr>
          <w:b/>
        </w:rPr>
        <w:t>Group ID:</w:t>
      </w:r>
      <w:r>
        <w:t xml:space="preserve"> group-aec516e45823612990ea</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The Role of the European Union and the Council of Europe in Promoting Democracy: The Case of the South Caucasus States — https://doi.org/10.54503/2579-2903-2026.1-183</w:t>
      </w:r>
    </w:p>
    <w:p>
      <w:pPr/>
      <w:r>
        <w:rPr>
          <w:b/>
        </w:rPr>
        <w:t>Later source:</w:t>
      </w:r>
      <w:r>
        <w:t xml:space="preserve"> Cultural diplomacy and economic cooperation in Europe — https://doi.org/10.59295/dnwe2025.42</w:t>
      </w:r>
    </w:p>
    <w:p>
      <w:pPr>
        <w:pStyle w:val="SourceNote"/>
      </w:pPr>
      <w:r>
        <w:rPr>
          <w:b/>
        </w:rPr>
        <w:t>Review status:</w:t>
      </w:r>
      <w:r>
        <w:t xml:space="preserve"> unchecked — group association only; no outcome judgment</w:t>
      </w:r>
    </w:p>
    <w:p>
      <w:pPr>
        <w:pStyle w:val="Heading2"/>
      </w:pPr>
      <w:r>
        <w:t>256. Claim + two later sources: Biotechnology versus agroecology: Entrenchments and surprise at a 2030 forecast scenario workshop</w:t>
      </w:r>
    </w:p>
    <w:p>
      <w:pPr>
        <w:pStyle w:val="SourceNote"/>
      </w:pPr>
      <w:r>
        <w:rPr>
          <w:b/>
        </w:rPr>
        <w:t>Group ID:</w:t>
      </w:r>
      <w:r>
        <w:t xml:space="preserve"> group-488509de24abbc95b71c</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Building Participatory Instant Messaging: Developing a Methodology for Online Workshops Using WhatsApp — https://doi.org/10.35844/001c.141333</w:t>
      </w:r>
    </w:p>
    <w:p>
      <w:pPr/>
      <w:r>
        <w:rPr>
          <w:b/>
        </w:rPr>
        <w:t>Later source:</w:t>
      </w:r>
      <w:r>
        <w:t xml:space="preserve"> Evaluating a research methodology workshop among postgraduate students using Kirkpatrick’s model — https://doi.org/10.4103/jehp.jehp_1026_23</w:t>
      </w:r>
    </w:p>
    <w:p>
      <w:pPr>
        <w:pStyle w:val="SourceNote"/>
      </w:pPr>
      <w:r>
        <w:rPr>
          <w:b/>
        </w:rPr>
        <w:t>Review status:</w:t>
      </w:r>
      <w:r>
        <w:t xml:space="preserve"> unchecked — group association only; no outcome judgment</w:t>
      </w:r>
    </w:p>
    <w:p>
      <w:pPr>
        <w:pStyle w:val="Heading2"/>
      </w:pPr>
      <w:r>
        <w:t>257. Claim + two later sources: Occupational Structure in European Countries: What do Forecasts Predict?</w:t>
      </w:r>
    </w:p>
    <w:p>
      <w:pPr>
        <w:pStyle w:val="SourceNote"/>
      </w:pPr>
      <w:r>
        <w:rPr>
          <w:b/>
        </w:rPr>
        <w:t>Group ID:</w:t>
      </w:r>
      <w:r>
        <w:t xml:space="preserve"> group-3d5e00cb5a51a97e9eee</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Digital communication and occupational well-being in 25 European countries — https://doi.org/10.1007/s10111-026-00902-4</w:t>
      </w:r>
    </w:p>
    <w:p>
      <w:pPr/>
      <w:r>
        <w:rPr>
          <w:b/>
        </w:rPr>
        <w:t>Later source:</w:t>
      </w:r>
      <w:r>
        <w:t xml:space="preserve"> Telework and Occupational Segregation in Europe — https://doi.org/10.3390/economies13100292</w:t>
      </w:r>
    </w:p>
    <w:p>
      <w:pPr>
        <w:pStyle w:val="SourceNote"/>
      </w:pPr>
      <w:r>
        <w:rPr>
          <w:b/>
        </w:rPr>
        <w:t>Review status:</w:t>
      </w:r>
      <w:r>
        <w:t xml:space="preserve"> unchecked — group association only; no outcome judgment</w:t>
      </w:r>
    </w:p>
    <w:p>
      <w:pPr>
        <w:pStyle w:val="Heading2"/>
      </w:pPr>
      <w:r>
        <w:t>258. Claim + two later sources: What energy infrastructure will be needed by 2050 in the EU to support 1.5°C scenarios?</w:t>
      </w:r>
    </w:p>
    <w:p>
      <w:pPr>
        <w:pStyle w:val="SourceNote"/>
      </w:pPr>
      <w:r>
        <w:rPr>
          <w:b/>
        </w:rPr>
        <w:t>Group ID:</w:t>
      </w:r>
      <w:r>
        <w:t xml:space="preserve"> group-a1add20492c58bd2ca79</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Energy and Emission Disutilities of Transport Modes Under Transport Innovation in the European Union — https://doi.org/10.3390/en19051346</w:t>
      </w:r>
    </w:p>
    <w:p>
      <w:pPr/>
      <w:r>
        <w:rPr>
          <w:b/>
        </w:rPr>
        <w:t>Later source:</w:t>
      </w:r>
      <w:r>
        <w:t xml:space="preserve"> Sustainability of the European Energy System: The Evolution of the Energy Transition, Renewable Energy, and Energy Conservation — https://doi.org/10.3390/su18084046</w:t>
      </w:r>
    </w:p>
    <w:p>
      <w:pPr>
        <w:pStyle w:val="SourceNote"/>
      </w:pPr>
      <w:r>
        <w:rPr>
          <w:b/>
        </w:rPr>
        <w:t>Review status:</w:t>
      </w:r>
      <w:r>
        <w:t xml:space="preserve"> unchecked — group association only; no outcome judgment</w:t>
      </w:r>
    </w:p>
    <w:p>
      <w:pPr>
        <w:pStyle w:val="Heading2"/>
      </w:pPr>
      <w:r>
        <w:t>259. Claim + two later sources: About global forecast of European Parliament TO 2035</w:t>
      </w:r>
    </w:p>
    <w:p>
      <w:pPr>
        <w:pStyle w:val="SourceNote"/>
      </w:pPr>
      <w:r>
        <w:rPr>
          <w:b/>
        </w:rPr>
        <w:t>Group ID:</w:t>
      </w:r>
      <w:r>
        <w:t xml:space="preserve"> group-7aa621cb267db0d2dec7</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Parabolic Modeling Forecasts of Space and Time European Hydropower Production — https://doi.org/10.3390/pr12061098</w:t>
      </w:r>
    </w:p>
    <w:p>
      <w:pPr/>
      <w:r>
        <w:rPr>
          <w:b/>
        </w:rPr>
        <w:t>Later source:</w:t>
      </w:r>
      <w:r>
        <w:t xml:space="preserve"> European Mortality Forecasts: Are the Targets Still Moving? — https://doi.org/10.1007/978-3-030-42472-5_9</w:t>
      </w:r>
    </w:p>
    <w:p>
      <w:pPr>
        <w:pStyle w:val="SourceNote"/>
      </w:pPr>
      <w:r>
        <w:rPr>
          <w:b/>
        </w:rPr>
        <w:t>Review status:</w:t>
      </w:r>
      <w:r>
        <w:t xml:space="preserve"> unchecked — group association only; no outcome judgment</w:t>
      </w:r>
    </w:p>
    <w:p>
      <w:pPr>
        <w:pStyle w:val="Heading2"/>
      </w:pPr>
      <w:r>
        <w:t>260. Claim + two later sources: Assessing the impacts of technology improvements on the deployment of marine energy in Europe with an energy system perspective</w:t>
      </w:r>
    </w:p>
    <w:p>
      <w:pPr>
        <w:pStyle w:val="SourceNote"/>
      </w:pPr>
      <w:r>
        <w:rPr>
          <w:b/>
        </w:rPr>
        <w:t>Group ID:</w:t>
      </w:r>
      <w:r>
        <w:t xml:space="preserve"> group-a25c41a48b4c1293b256</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Planning the Installation of Marine Renewable Energies in Portugal - a tool for decision making — https://doi.org/10.1088/1742-6596/2626/1/012074</w:t>
      </w:r>
    </w:p>
    <w:p>
      <w:pPr/>
      <w:r>
        <w:rPr>
          <w:b/>
        </w:rPr>
        <w:t>Later source:</w:t>
      </w:r>
      <w:r>
        <w:t xml:space="preserve"> Economic feasibility of marine renewable energy: Review — https://doi.org/10.3389/fmars.2022.988513</w:t>
      </w:r>
    </w:p>
    <w:p>
      <w:pPr>
        <w:pStyle w:val="SourceNote"/>
      </w:pPr>
      <w:r>
        <w:rPr>
          <w:b/>
        </w:rPr>
        <w:t>Review status:</w:t>
      </w:r>
      <w:r>
        <w:t xml:space="preserve"> unchecked — group association only; no outcome judgment</w:t>
      </w:r>
    </w:p>
    <w:p>
      <w:pPr>
        <w:pStyle w:val="Heading2"/>
      </w:pPr>
      <w:r>
        <w:t>261. Claim + two later sources: Implementing Systemic Innovation Strategies for a More Sustainable Future: The Case of Three Overseas Countries and Territories</w:t>
      </w:r>
    </w:p>
    <w:p>
      <w:pPr>
        <w:pStyle w:val="SourceNote"/>
      </w:pPr>
      <w:r>
        <w:rPr>
          <w:b/>
        </w:rPr>
        <w:t>Group ID:</w:t>
      </w:r>
      <w:r>
        <w:t xml:space="preserve"> group-ac64c99253990b454627</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Concluding Remarks — https://doi.org/10.1017/9781009381437.012</w:t>
      </w:r>
    </w:p>
    <w:p>
      <w:pPr/>
      <w:r>
        <w:rPr>
          <w:b/>
        </w:rPr>
        <w:t>Later source:</w:t>
      </w:r>
      <w:r>
        <w:t xml:space="preserve"> When Replication Fails: What to Conclude and Not to Conclude? — https://doi.org/10.1177/25152459241268197</w:t>
      </w:r>
    </w:p>
    <w:p>
      <w:pPr>
        <w:pStyle w:val="SourceNote"/>
      </w:pPr>
      <w:r>
        <w:rPr>
          <w:b/>
        </w:rPr>
        <w:t>Review status:</w:t>
      </w:r>
      <w:r>
        <w:t xml:space="preserve"> unchecked — group association only; no outcome judgment</w:t>
      </w:r>
    </w:p>
    <w:p>
      <w:pPr>
        <w:pStyle w:val="Heading2"/>
      </w:pPr>
      <w:r>
        <w:t>262. Claim + two later sources: Dynamics of the land use, land use change, and forestry sink in the European Union: the impacts of energy and climate targets for 2030</w:t>
      </w:r>
    </w:p>
    <w:p>
      <w:pPr>
        <w:pStyle w:val="SourceNote"/>
      </w:pPr>
      <w:r>
        <w:rPr>
          <w:b/>
        </w:rPr>
        <w:t>Group ID:</w:t>
      </w:r>
      <w:r>
        <w:t xml:space="preserve"> group-18802279e4e58b6123a7</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Balancing GHG mitigation and land-use conflicts: Alternative Northern European energy system scenarios — https://doi.org/10.1016/j.apenergy.2022.118557</w:t>
      </w:r>
    </w:p>
    <w:p>
      <w:pPr>
        <w:pStyle w:val="SourceNote"/>
      </w:pPr>
      <w:r>
        <w:rPr>
          <w:b/>
        </w:rPr>
        <w:t>Review status:</w:t>
      </w:r>
      <w:r>
        <w:t xml:space="preserve"> unchecked — group association only; no outcome judgment</w:t>
      </w:r>
    </w:p>
    <w:p>
      <w:pPr>
        <w:pStyle w:val="Heading2"/>
      </w:pPr>
      <w:r>
        <w:t>263. Claim + two later sources: The future of the drug phenomenon and drug monitoring in Europe until 2030</w:t>
      </w:r>
    </w:p>
    <w:p>
      <w:pPr>
        <w:pStyle w:val="SourceNote"/>
      </w:pPr>
      <w:r>
        <w:rPr>
          <w:b/>
        </w:rPr>
        <w:t>Group ID:</w:t>
      </w:r>
      <w:r>
        <w:t xml:space="preserve"> group-f2b60d8b1f0bfedc229e</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Bridging the gap between research and decision making: A European survey to enhance cooperation in wastewater-based epidemiology (WBE) for illicit drugs — https://doi.org/10.1016/j.puhe.2025.02.009</w:t>
      </w:r>
    </w:p>
    <w:p>
      <w:pPr/>
      <w:r>
        <w:rPr>
          <w:b/>
        </w:rPr>
        <w:t>Later source:</w:t>
      </w:r>
      <w:r>
        <w:t xml:space="preserve"> A methodology to explore the road safety impact of fitness to drive solutions for commercial drivers: The PANACEA project — https://doi.org/10.1016/j.trpro.2023.02.241</w:t>
      </w:r>
    </w:p>
    <w:p>
      <w:pPr>
        <w:pStyle w:val="SourceNote"/>
      </w:pPr>
      <w:r>
        <w:rPr>
          <w:b/>
        </w:rPr>
        <w:t>Review status:</w:t>
      </w:r>
      <w:r>
        <w:t xml:space="preserve"> unchecked — group association only; no outcome judgment</w:t>
      </w:r>
    </w:p>
    <w:p>
      <w:pPr>
        <w:pStyle w:val="Heading2"/>
      </w:pPr>
      <w:r>
        <w:t>264. Claim + two later sources: Macrofinancial linkages in Europe: Evidence from quantile local projections</w:t>
      </w:r>
    </w:p>
    <w:p>
      <w:pPr>
        <w:pStyle w:val="SourceNote"/>
      </w:pPr>
      <w:r>
        <w:rPr>
          <w:b/>
        </w:rPr>
        <w:t>Group ID:</w:t>
      </w:r>
      <w:r>
        <w:t xml:space="preserve"> group-edb1fd94d9b831a35477</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Extreme weather in Europe: Determinants and economic impact — https://doi.org/10.1016/j.euroecorev.2026.105327</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group association only; no outcome judgment</w:t>
      </w:r>
    </w:p>
    <w:p>
      <w:pPr>
        <w:pStyle w:val="Heading2"/>
      </w:pPr>
      <w:r>
        <w:t>265. Claim + two later sources: Foresighting organizational learning equilibrium in European universities</w:t>
      </w:r>
    </w:p>
    <w:p>
      <w:pPr>
        <w:pStyle w:val="SourceNote"/>
      </w:pPr>
      <w:r>
        <w:rPr>
          <w:b/>
        </w:rPr>
        <w:t>Group ID:</w:t>
      </w:r>
      <w:r>
        <w:t xml:space="preserve"> group-469789aabdb601c38d79</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Effects of Climate Change on Areas Suitable for Maize Cultivation and Aflatoxin Contamination in Europe — https://doi.org/10.3390/toxins15100599</w:t>
      </w:r>
    </w:p>
    <w:p>
      <w:pPr/>
      <w:r>
        <w:rPr>
          <w:b/>
        </w:rPr>
        <w:t>Later source:</w:t>
      </w:r>
      <w:r>
        <w:t xml:space="preserve"> Heat stress risk in European dairy cattle husbandry under different climate change scenarios – uncertainties and potential impacts — https://doi.org/10.5194/esd-10-859-2019</w:t>
      </w:r>
    </w:p>
    <w:p>
      <w:pPr>
        <w:pStyle w:val="SourceNote"/>
      </w:pPr>
      <w:r>
        <w:rPr>
          <w:b/>
        </w:rPr>
        <w:t>Review status:</w:t>
      </w:r>
      <w:r>
        <w:t xml:space="preserve"> unchecked — group association only; no outcome judgment</w:t>
      </w:r>
    </w:p>
    <w:p>
      <w:pPr>
        <w:pStyle w:val="Heading2"/>
      </w:pPr>
      <w:r>
        <w:t>266. Claim + two later sources: Backcasting scenarios for Finland 2050 of low emissions</w:t>
      </w:r>
    </w:p>
    <w:p>
      <w:pPr>
        <w:pStyle w:val="SourceNote"/>
      </w:pPr>
      <w:r>
        <w:rPr>
          <w:b/>
        </w:rPr>
        <w:t>Group ID:</w:t>
      </w:r>
      <w:r>
        <w:t xml:space="preserve"> group-4ba949d822bfde4713aa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Bronchiectasis in Europe: data on disease characteristics from the European Bronchiectasis registry (EMBARC) — https://doi.org/10.1016/s2213-2600(23)00093-0</w:t>
      </w:r>
    </w:p>
    <w:p>
      <w:pPr/>
      <w:r>
        <w:rPr>
          <w:b/>
        </w:rPr>
        <w:t>Later source:</w:t>
      </w:r>
      <w:r>
        <w:t xml:space="preserve"> Environmental Restrictions on the Exercise of Land Rights: European Experience — https://doi.org/10.33687/ijae.009.00.3963</w:t>
      </w:r>
    </w:p>
    <w:p>
      <w:pPr>
        <w:pStyle w:val="SourceNote"/>
      </w:pPr>
      <w:r>
        <w:rPr>
          <w:b/>
        </w:rPr>
        <w:t>Review status:</w:t>
      </w:r>
      <w:r>
        <w:t xml:space="preserve"> unchecked — group association only; no outcome judgment</w:t>
      </w:r>
    </w:p>
    <w:p>
      <w:pPr>
        <w:pStyle w:val="Heading2"/>
      </w:pPr>
      <w:r>
        <w:t>267.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group association only; no outcome judgment</w:t>
      </w:r>
    </w:p>
    <w:p>
      <w:pPr>
        <w:pStyle w:val="Heading2"/>
      </w:pPr>
      <w:r>
        <w:t>268. Claim + two later sources: Towards net zero CO2 in 2050: An emission reduction pathway for organic soils in Germany</w:t>
      </w:r>
    </w:p>
    <w:p>
      <w:pPr>
        <w:pStyle w:val="SourceNote"/>
      </w:pPr>
      <w:r>
        <w:rPr>
          <w:b/>
        </w:rPr>
        <w:t>Group ID:</w:t>
      </w:r>
      <w:r>
        <w:t xml:space="preserve"> group-76f28ace58ab5862e8be</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Energy pathway variety and the progress of the energy transition in European countries — https://doi.org/10.48550/arxiv.2609.09607</w:t>
      </w:r>
    </w:p>
    <w:p>
      <w:pPr/>
      <w:r>
        <w:rPr>
          <w:b/>
        </w:rPr>
        <w:t>Later source:</w:t>
      </w:r>
      <w:r>
        <w:t xml:space="preserve"> Women’s Leadership in Organizations as a Pathway to Ukraine’s European Integration — https://doi.org/10.32983/2222-4459-2024-11-377-386</w:t>
      </w:r>
    </w:p>
    <w:p>
      <w:pPr>
        <w:pStyle w:val="SourceNote"/>
      </w:pPr>
      <w:r>
        <w:rPr>
          <w:b/>
        </w:rPr>
        <w:t>Review status:</w:t>
      </w:r>
      <w:r>
        <w:t xml:space="preserve"> unchecked — group association only; no outcome judgment</w:t>
      </w:r>
    </w:p>
    <w:p>
      <w:pPr>
        <w:pStyle w:val="Heading2"/>
      </w:pPr>
      <w:r>
        <w:t>269. Claim + two later sources: Conservation biology research priorities for 2050: A Central-Eastern European perspective</w:t>
      </w:r>
    </w:p>
    <w:p>
      <w:pPr>
        <w:pStyle w:val="SourceNote"/>
      </w:pPr>
      <w:r>
        <w:rPr>
          <w:b/>
        </w:rPr>
        <w:t>Group ID:</w:t>
      </w:r>
      <w:r>
        <w:t xml:space="preserve"> group-f1dd99af848d02d231dc</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European Myeloma Network Group review and consensus statement on primary plasma cell leukemia — https://doi.org/10.1016/j.annonc.2025.01.022</w:t>
      </w:r>
    </w:p>
    <w:p>
      <w:pPr/>
      <w:r>
        <w:rPr>
          <w:b/>
        </w:rPr>
        <w:t>Later source:</w:t>
      </w:r>
      <w:r>
        <w:t xml:space="preserve"> Frequent questions and responses on the 2022 lipoprotein(a) consensus statement of the European Atherosclerosis Society — https://doi.org/10.1016/j.atherosclerosis.2023.04.012</w:t>
      </w:r>
    </w:p>
    <w:p>
      <w:pPr>
        <w:pStyle w:val="SourceNote"/>
      </w:pPr>
      <w:r>
        <w:rPr>
          <w:b/>
        </w:rPr>
        <w:t>Review status:</w:t>
      </w:r>
      <w:r>
        <w:t xml:space="preserve"> unchecked — group association only; no outcome judgment</w:t>
      </w:r>
    </w:p>
    <w:p>
      <w:pPr>
        <w:pStyle w:val="Heading2"/>
      </w:pPr>
      <w:r>
        <w:t>270. Claim + two later sources: Financing Innovations for the Renewable Energy Transition in Europe</w:t>
      </w:r>
    </w:p>
    <w:p>
      <w:pPr>
        <w:pStyle w:val="SourceNote"/>
      </w:pPr>
      <w:r>
        <w:rPr>
          <w:b/>
        </w:rPr>
        <w:t>Group ID:</w:t>
      </w:r>
      <w:r>
        <w:t xml:space="preserve"> group-2a0ba67d9bef489fab71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Comparison of Excise Duties in the Member States of the European Union — https://openalex.org/W7128985412</w:t>
      </w:r>
    </w:p>
    <w:p>
      <w:pPr/>
      <w:r>
        <w:rPr>
          <w:b/>
        </w:rPr>
        <w:t>Later source:</w:t>
      </w:r>
      <w:r>
        <w:t xml:space="preserve"> Stronger Member States for a Stronger European Union — https://doi.org/10.62733/2024.2.143-161</w:t>
      </w:r>
    </w:p>
    <w:p>
      <w:pPr>
        <w:pStyle w:val="SourceNote"/>
      </w:pPr>
      <w:r>
        <w:rPr>
          <w:b/>
        </w:rPr>
        <w:t>Review status:</w:t>
      </w:r>
      <w:r>
        <w:t xml:space="preserve"> unchecked — group association only; no outcome judgment</w:t>
      </w:r>
    </w:p>
    <w:p>
      <w:pPr>
        <w:pStyle w:val="Heading2"/>
      </w:pPr>
      <w:r>
        <w:t>271. Claim + two later sources: Medium-term forecast of European economic sustainable growth using Markov chains</w:t>
      </w:r>
    </w:p>
    <w:p>
      <w:pPr>
        <w:pStyle w:val="SourceNote"/>
      </w:pPr>
      <w:r>
        <w:rPr>
          <w:b/>
        </w:rPr>
        <w:t>Group ID:</w:t>
      </w:r>
      <w:r>
        <w:t xml:space="preserve"> group-c46bb4fe94e17b599134</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Digitalisation and Economic Growth in the European Union — https://doi.org/10.3390/electronics12071718</w:t>
      </w:r>
    </w:p>
    <w:p>
      <w:pPr/>
      <w:r>
        <w:rPr>
          <w:b/>
        </w:rPr>
        <w:t>Later source:</w:t>
      </w:r>
      <w:r>
        <w:t xml:space="preserve"> The impact of international economic sanctions on national economic growth. — https://openalex.org/W7125359130</w:t>
      </w:r>
    </w:p>
    <w:p>
      <w:pPr>
        <w:pStyle w:val="SourceNote"/>
      </w:pPr>
      <w:r>
        <w:rPr>
          <w:b/>
        </w:rPr>
        <w:t>Review status:</w:t>
      </w:r>
      <w:r>
        <w:t xml:space="preserve"> unchecked — group association only; no outcome judgment</w:t>
      </w:r>
    </w:p>
    <w:p>
      <w:pPr>
        <w:pStyle w:val="Heading2"/>
      </w:pPr>
      <w:r>
        <w:t>272. Claim + two later sources: What We Hope, What We Fear, What We Expect: Possible Scenarios for the Future of the Eurozone</w:t>
      </w:r>
    </w:p>
    <w:p>
      <w:pPr>
        <w:pStyle w:val="SourceNote"/>
      </w:pPr>
      <w:r>
        <w:rPr>
          <w:b/>
        </w:rPr>
        <w:t>Group ID:</w:t>
      </w:r>
      <w:r>
        <w:t xml:space="preserve"> group-124276965cd7f0717978</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European Reform Movements and the Making of the International Congress, 1840–1860 — https://doi.org/10.1080/07075332.2020.1808506</w:t>
      </w:r>
    </w:p>
    <w:p>
      <w:pPr/>
      <w:r>
        <w:rPr>
          <w:b/>
        </w:rPr>
        <w:t>Later source:</w:t>
      </w:r>
      <w:r>
        <w:t xml:space="preserve"> Economic Reforms and the Burdens of Transition — https://doi.org/10.1017/9781108752466.005</w:t>
      </w:r>
    </w:p>
    <w:p>
      <w:pPr>
        <w:pStyle w:val="SourceNote"/>
      </w:pPr>
      <w:r>
        <w:rPr>
          <w:b/>
        </w:rPr>
        <w:t>Review status:</w:t>
      </w:r>
      <w:r>
        <w:t xml:space="preserve"> unchecked — group association only; no outcome judgment</w:t>
      </w:r>
    </w:p>
    <w:p>
      <w:pPr>
        <w:pStyle w:val="Heading2"/>
      </w:pPr>
      <w:r>
        <w:t>273. Claim + two later sources: Mismatch, empowerment, fatigue or balance? Four scenarios of physical activity up to 2030 in Finland</w:t>
      </w:r>
    </w:p>
    <w:p>
      <w:pPr>
        <w:pStyle w:val="SourceNote"/>
      </w:pPr>
      <w:r>
        <w:rPr>
          <w:b/>
        </w:rPr>
        <w:t>Group ID:</w:t>
      </w:r>
      <w:r>
        <w:t xml:space="preserve"> group-751de3fe7e6ca938fe23</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Stakeholders’ Perceptions of Barriers, Benefits, and Drivers for Digital Building Logbook Adoption in Building Renovation Projects in Europe — https://doi.org/10.3390/su18062688</w:t>
      </w:r>
    </w:p>
    <w:p>
      <w:pPr/>
      <w:r>
        <w:rPr>
          <w:b/>
        </w:rPr>
        <w:t>Later source:</w:t>
      </w:r>
      <w:r>
        <w:t xml:space="preserve"> Building consensus on demand-led legume breeding in Europe: Evidence from a Delphi expert study — https://doi.org/10.1016/j.jafr.2026.103142</w:t>
      </w:r>
    </w:p>
    <w:p>
      <w:pPr>
        <w:pStyle w:val="SourceNote"/>
      </w:pPr>
      <w:r>
        <w:rPr>
          <w:b/>
        </w:rPr>
        <w:t>Review status:</w:t>
      </w:r>
      <w:r>
        <w:t xml:space="preserve"> unchecked — group association only; no outcome judgment</w:t>
      </w:r>
    </w:p>
    <w:p>
      <w:pPr>
        <w:pStyle w:val="Heading2"/>
      </w:pPr>
      <w:r>
        <w:t>274. Claim + two later sources: Transport demand evolution in Europe – factors of change, scenarios and challenges</w:t>
      </w:r>
    </w:p>
    <w:p>
      <w:pPr>
        <w:pStyle w:val="SourceNote"/>
      </w:pPr>
      <w:r>
        <w:rPr>
          <w:b/>
        </w:rPr>
        <w:t>Group ID:</w:t>
      </w:r>
      <w:r>
        <w:t xml:space="preserve"> group-506d79f03deec0e33c19</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A review on Rail Transport in Europe and Italy — https://doi.org/10.1109/eeeic/icpseurope54979.2022.9854799</w:t>
      </w:r>
    </w:p>
    <w:p>
      <w:pPr>
        <w:pStyle w:val="SourceNote"/>
      </w:pPr>
      <w:r>
        <w:rPr>
          <w:b/>
        </w:rPr>
        <w:t>Review status:</w:t>
      </w:r>
      <w:r>
        <w:t xml:space="preserve"> unchecked — group association only; no outcome judgment</w:t>
      </w:r>
    </w:p>
    <w:p>
      <w:pPr>
        <w:pStyle w:val="Heading2"/>
      </w:pPr>
      <w:r>
        <w:t>275.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group association only; no outcome judgment</w:t>
      </w:r>
    </w:p>
    <w:p>
      <w:pPr>
        <w:pStyle w:val="Heading2"/>
      </w:pPr>
      <w:r>
        <w:t>276. Claim + two later sources: Long-Term Hydrocarbon Trade Options for the Maghreb Region and Europe—Renewable Energy Based Synthetic Fuels for a Net Zero Emissions World</w:t>
      </w:r>
    </w:p>
    <w:p>
      <w:pPr>
        <w:pStyle w:val="SourceNote"/>
      </w:pPr>
      <w:r>
        <w:rPr>
          <w:b/>
        </w:rPr>
        <w:t>Group ID:</w:t>
      </w:r>
      <w:r>
        <w:t xml:space="preserve"> group-7507f111ce25babd30da</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An Improved Spatiotemporal Weighted Mean Temperature Model over Europe Based on the Nonlinear Least Squares Estimation Method — https://doi.org/10.3390/rs14153609</w:t>
      </w:r>
    </w:p>
    <w:p>
      <w:pPr/>
      <w:r>
        <w:rPr>
          <w:b/>
        </w:rPr>
        <w:t>Later source:</w:t>
      </w:r>
      <w:r>
        <w:t xml:space="preserve"> Does it pay to be environmentally responsible? Investigating the effect on the weighted average cost of capital — https://doi.org/10.1002/csr.2164</w:t>
      </w:r>
    </w:p>
    <w:p>
      <w:pPr>
        <w:pStyle w:val="SourceNote"/>
      </w:pPr>
      <w:r>
        <w:rPr>
          <w:b/>
        </w:rPr>
        <w:t>Review status:</w:t>
      </w:r>
      <w:r>
        <w:t xml:space="preserve"> unchecked — group association only; no outcome judgment</w:t>
      </w:r>
    </w:p>
    <w:p>
      <w:pPr>
        <w:pStyle w:val="Heading2"/>
      </w:pPr>
      <w:r>
        <w:t>277. Claim + two later sources: Exploring the Future of Universities Through Experimental Foresight</w:t>
      </w:r>
    </w:p>
    <w:p>
      <w:pPr>
        <w:pStyle w:val="SourceNote"/>
      </w:pPr>
      <w:r>
        <w:rPr>
          <w:b/>
        </w:rPr>
        <w:t>Group ID:</w:t>
      </w:r>
      <w:r>
        <w:t xml:space="preserve"> group-f271df44074c235a7f21</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Becoming a forerunner in foresight : Key elements of success in organizational foresight — https://openalex.org/W3175285991</w:t>
      </w:r>
    </w:p>
    <w:p>
      <w:pPr/>
      <w:r>
        <w:rPr>
          <w:b/>
        </w:rPr>
        <w:t>Later source:</w:t>
      </w:r>
      <w:r>
        <w:t xml:space="preserve"> Creativity, proactivity, and foresight — https://doi.org/10.1016/j.techfore.2021.121215</w:t>
      </w:r>
    </w:p>
    <w:p>
      <w:pPr>
        <w:pStyle w:val="SourceNote"/>
      </w:pPr>
      <w:r>
        <w:rPr>
          <w:b/>
        </w:rPr>
        <w:t>Review status:</w:t>
      </w:r>
      <w:r>
        <w:t xml:space="preserve"> unchecked — group association only; no outcome judgment</w:t>
      </w:r>
    </w:p>
    <w:p>
      <w:pPr>
        <w:pStyle w:val="Heading2"/>
      </w:pPr>
      <w:r>
        <w:t>278. Claim + two later sources: Time banks, co-production and foresight: intertwined towards an alternative future</w:t>
      </w:r>
    </w:p>
    <w:p>
      <w:pPr>
        <w:pStyle w:val="SourceNote"/>
      </w:pPr>
      <w:r>
        <w:rPr>
          <w:b/>
        </w:rPr>
        <w:t>Group ID:</w:t>
      </w:r>
      <w:r>
        <w:t xml:space="preserve"> group-4f821bd3426036aefc52</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Willingness, motivators and barriers to time bank participation: A scoping review — https://doi.org/10.1371/journal.pone.0322760</w:t>
      </w:r>
    </w:p>
    <w:p>
      <w:pPr>
        <w:pStyle w:val="SourceNote"/>
      </w:pPr>
      <w:r>
        <w:rPr>
          <w:b/>
        </w:rPr>
        <w:t>Review status:</w:t>
      </w:r>
      <w:r>
        <w:t xml:space="preserve"> unchecked — group association only; no outcome judgment</w:t>
      </w:r>
    </w:p>
    <w:p>
      <w:pPr>
        <w:pStyle w:val="Heading2"/>
      </w:pPr>
      <w:r>
        <w:t>279.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group association only; no outcome judgment</w:t>
      </w:r>
    </w:p>
    <w:p>
      <w:pPr>
        <w:pStyle w:val="Heading2"/>
      </w:pPr>
      <w:r>
        <w:t>280. Claim + two later sources: Charging the future: Roadmaps and value tensions for mainstreaming prosumerism to 2030 and 2050</w:t>
      </w:r>
    </w:p>
    <w:p>
      <w:pPr>
        <w:pStyle w:val="SourceNote"/>
      </w:pPr>
      <w:r>
        <w:rPr>
          <w:b/>
        </w:rPr>
        <w:t>Group ID:</w:t>
      </w:r>
      <w:r>
        <w:t xml:space="preserve"> group-df3236ee1b2d1d62bb5c</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Discrimination of two-highlight versus single-highlight phantom echoes by bottlenose dolphins ( Tursiops truncatus ) — https://doi.org/10.1121/10.0043763</w:t>
      </w:r>
    </w:p>
    <w:p>
      <w:pPr/>
      <w:r>
        <w:rPr>
          <w:b/>
        </w:rPr>
        <w:t>Later source:</w:t>
      </w:r>
      <w:r>
        <w:t xml:space="preserve"> Three-dimensional third medium contact model for hyperelastic contact and pneumatically actuated systems — https://doi.org/10.48550/arxiv.2512.03181</w:t>
      </w:r>
    </w:p>
    <w:p>
      <w:pPr>
        <w:pStyle w:val="SourceNote"/>
      </w:pPr>
      <w:r>
        <w:rPr>
          <w:b/>
        </w:rPr>
        <w:t>Review status:</w:t>
      </w:r>
      <w:r>
        <w:t xml:space="preserve"> unchecked — group association only; no outcome judgment</w:t>
      </w:r>
    </w:p>
    <w:p>
      <w:pPr>
        <w:pStyle w:val="Heading2"/>
      </w:pPr>
      <w:r>
        <w:t>281. Claim + two later sources: Organic farming in the European Union – perspectives for 2030</w:t>
      </w:r>
    </w:p>
    <w:p>
      <w:pPr>
        <w:pStyle w:val="SourceNote"/>
      </w:pPr>
      <w:r>
        <w:rPr>
          <w:b/>
        </w:rPr>
        <w:t>Group ID:</w:t>
      </w:r>
      <w:r>
        <w:t xml:space="preserve"> group-6c4a9d9cab90bb846055</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The Scramble for Europe — https://doi.org/10.1093/9780197781470.001.0001</w:t>
      </w:r>
    </w:p>
    <w:p>
      <w:pPr/>
      <w:r>
        <w:rPr>
          <w:b/>
        </w:rPr>
        <w:t>Later source:</w:t>
      </w:r>
      <w:r>
        <w:t xml:space="preserve"> The Role of the European Commission in Soil Protection in the European Union — https://doi.org/10.54515/lcp.2025.1.149-159</w:t>
      </w:r>
    </w:p>
    <w:p>
      <w:pPr>
        <w:pStyle w:val="SourceNote"/>
      </w:pPr>
      <w:r>
        <w:rPr>
          <w:b/>
        </w:rPr>
        <w:t>Review status:</w:t>
      </w:r>
      <w:r>
        <w:t xml:space="preserve"> unchecked — group association only; no outcome judgment</w:t>
      </w:r>
    </w:p>
    <w:p>
      <w:pPr>
        <w:pStyle w:val="Heading2"/>
      </w:pPr>
      <w:r>
        <w:t>282.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group-796e17de2270e6385311</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Robust data integration methods for understanding associations between climate change and hantavirus infection in Europe are needed: A systematic-narrative hybrid literature review — https://doi.org/10.1016/j.envc.2026.101486</w:t>
      </w:r>
    </w:p>
    <w:p>
      <w:pPr/>
      <w:r>
        <w:rPr>
          <w:b/>
        </w:rPr>
        <w:t>Later source:</w:t>
      </w:r>
      <w:r>
        <w:t xml:space="preserve"> Climate Change Threatens Micronutrient Density of European Winter Wheat — https://doi.org/10.1002/advs.202513322</w:t>
      </w:r>
    </w:p>
    <w:p>
      <w:pPr>
        <w:pStyle w:val="SourceNote"/>
      </w:pPr>
      <w:r>
        <w:rPr>
          <w:b/>
        </w:rPr>
        <w:t>Review status:</w:t>
      </w:r>
      <w:r>
        <w:t xml:space="preserve"> unchecked — group association only; no outcome judgment</w:t>
      </w:r>
    </w:p>
    <w:p>
      <w:pPr>
        <w:pStyle w:val="Heading2"/>
      </w:pPr>
      <w:r>
        <w:t>283. Claim + two later sources: Estimation and Forecasts for the Share of Renewable Energy Consumption in Final Energy Consumption by 2020 in the European Union</w:t>
      </w:r>
    </w:p>
    <w:p>
      <w:pPr>
        <w:pStyle w:val="SourceNote"/>
      </w:pPr>
      <w:r>
        <w:rPr>
          <w:b/>
        </w:rPr>
        <w:t>Group ID:</w:t>
      </w:r>
      <w:r>
        <w:t xml:space="preserve"> group-239e80810c56621410f4</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European Economic Forecast — https://doi.org/10.2765/0071034</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group association only; no outcome judgment</w:t>
      </w:r>
    </w:p>
    <w:p>
      <w:pPr>
        <w:pStyle w:val="Heading2"/>
      </w:pPr>
      <w:r>
        <w:t>284.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group association only; no outcome judgment</w:t>
      </w:r>
    </w:p>
    <w:p>
      <w:pPr>
        <w:pStyle w:val="Heading2"/>
      </w:pPr>
      <w:r>
        <w:t>285. Claim + two later sources: EUROPEAN UNION STRATEGIC AUTONOMY IN THE CONTEXT OF THE CONFERENCE ON THE FUTURE OF EUROPE</w:t>
      </w:r>
    </w:p>
    <w:p>
      <w:pPr>
        <w:pStyle w:val="SourceNote"/>
      </w:pPr>
      <w:r>
        <w:rPr>
          <w:b/>
        </w:rPr>
        <w:t>Group ID:</w:t>
      </w:r>
      <w:r>
        <w:t xml:space="preserve"> group-86103db568027b42ddf1</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Legal, Ethical, and Social Issues of AI and Law Enforcement in Europe — https://doi.org/10.1017/9781009367783.022</w:t>
      </w:r>
    </w:p>
    <w:p>
      <w:pPr/>
      <w:r>
        <w:rPr>
          <w:b/>
        </w:rPr>
        <w:t>Later source:</w:t>
      </w:r>
      <w:r>
        <w:t xml:space="preserve"> The European Union Development Policy and Achieving Sustainable Development Goals (SDGs) of the United Nations — https://doi.org/10.4018/979-8-3693-1742-6.ch020</w:t>
      </w:r>
    </w:p>
    <w:p>
      <w:pPr>
        <w:pStyle w:val="SourceNote"/>
      </w:pPr>
      <w:r>
        <w:rPr>
          <w:b/>
        </w:rPr>
        <w:t>Review status:</w:t>
      </w:r>
      <w:r>
        <w:t xml:space="preserve"> unchecked — group association only; no outcome judgment</w:t>
      </w:r>
    </w:p>
    <w:p>
      <w:pPr>
        <w:pStyle w:val="Heading2"/>
      </w:pPr>
      <w:r>
        <w:t>286. Claim + two later sources: Assessing Energy Descent Scenarios for the Ecological Transition in Spain 2020–2030</w:t>
      </w:r>
    </w:p>
    <w:p>
      <w:pPr>
        <w:pStyle w:val="SourceNote"/>
      </w:pPr>
      <w:r>
        <w:rPr>
          <w:b/>
        </w:rPr>
        <w:t>Group ID:</w:t>
      </w:r>
      <w:r>
        <w:t xml:space="preserve"> group-e0e1fc1747d780ce6873</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Predictiveness and drivers of highly pathogenic avian influenza outbreaks in Europe — https://doi.org/10.1038/s41598-025-04624-x</w:t>
      </w:r>
    </w:p>
    <w:p>
      <w:pPr/>
      <w:r>
        <w:rPr>
          <w:b/>
        </w:rPr>
        <w:t>Later source:</w:t>
      </w:r>
      <w:r>
        <w:t xml:space="preserve"> Climate and host plant availability are favourable to the establishment of Lycorma delicatula in Europe — https://doi.org/10.1111/afe.12665</w:t>
      </w:r>
    </w:p>
    <w:p>
      <w:pPr>
        <w:pStyle w:val="SourceNote"/>
      </w:pPr>
      <w:r>
        <w:rPr>
          <w:b/>
        </w:rPr>
        <w:t>Review status:</w:t>
      </w:r>
      <w:r>
        <w:t xml:space="preserve"> unchecked — group association only; no outcome judgment</w:t>
      </w:r>
    </w:p>
    <w:p>
      <w:pPr>
        <w:pStyle w:val="Heading2"/>
      </w:pPr>
      <w:r>
        <w:t>287. Claim + two later sources: Future prospects for personal security in travel by public transport</w:t>
      </w:r>
    </w:p>
    <w:p>
      <w:pPr>
        <w:pStyle w:val="SourceNote"/>
      </w:pPr>
      <w:r>
        <w:rPr>
          <w:b/>
        </w:rPr>
        <w:t>Group ID:</w:t>
      </w:r>
      <w:r>
        <w:t xml:space="preserve"> group-b449cb44296e9f0e0dc8</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The Tension of Retention and Retirement: A Narrative Study of Full-Time Nursing Faculty Within Five Years of Retirement at Public, Four-Year Institutions in Texas — https://openalex.org/W7221400456</w:t>
      </w:r>
    </w:p>
    <w:p>
      <w:pPr/>
      <w:r>
        <w:rPr>
          <w:b/>
        </w:rPr>
        <w:t>Later source:</w:t>
      </w:r>
      <w:r>
        <w:t xml:space="preserve"> Time and Narrative in Augustine’s City of God and Confessions — https://openalex.org/W7217744295</w:t>
      </w:r>
    </w:p>
    <w:p>
      <w:pPr>
        <w:pStyle w:val="SourceNote"/>
      </w:pPr>
      <w:r>
        <w:rPr>
          <w:b/>
        </w:rPr>
        <w:t>Review status:</w:t>
      </w:r>
      <w:r>
        <w:t xml:space="preserve"> unchecked — group association only; no outcome judgment</w:t>
      </w:r>
    </w:p>
    <w:p>
      <w:pPr>
        <w:pStyle w:val="Heading2"/>
      </w:pPr>
      <w:r>
        <w:t>288. Claim + two later sources: Past and Future Trends in Refugee Migration on the Regional Level in Germany – An Analysis and Projection of Labor Market Effects</w:t>
      </w:r>
    </w:p>
    <w:p>
      <w:pPr>
        <w:pStyle w:val="SourceNote"/>
      </w:pPr>
      <w:r>
        <w:rPr>
          <w:b/>
        </w:rPr>
        <w:t>Group ID:</w:t>
      </w:r>
      <w:r>
        <w:t xml:space="preserve"> group-66650c41d7ecf395bf4a</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group association only; no outcome judgment</w:t>
      </w:r>
    </w:p>
    <w:p>
      <w:pPr>
        <w:pStyle w:val="Heading2"/>
      </w:pPr>
      <w:r>
        <w:t>289. Claim + two later sources: The EU Decarbonisation Roadmap 2050—What way to walk?</w:t>
      </w:r>
    </w:p>
    <w:p>
      <w:pPr>
        <w:pStyle w:val="SourceNote"/>
      </w:pPr>
      <w:r>
        <w:rPr>
          <w:b/>
        </w:rPr>
        <w:t>Group ID:</w:t>
      </w:r>
      <w:r>
        <w:t xml:space="preserve"> group-6fcc95e031c2804c367d</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clean development mechanism in Eastern Europe: an in-depth exploration — https://doi.org/10.1007/s11356-022-20988-3</w:t>
      </w:r>
    </w:p>
    <w:p>
      <w:pPr/>
      <w:r>
        <w:rPr>
          <w:b/>
        </w:rPr>
        <w:t>Later source:</w:t>
      </w:r>
      <w:r>
        <w:t xml:space="preserve"> 2014 European guideline on the management of syphilis — https://doi.org/10.1111/jdv.12734</w:t>
      </w:r>
    </w:p>
    <w:p>
      <w:pPr>
        <w:pStyle w:val="SourceNote"/>
      </w:pPr>
      <w:r>
        <w:rPr>
          <w:b/>
        </w:rPr>
        <w:t>Review status:</w:t>
      </w:r>
      <w:r>
        <w:t xml:space="preserve"> unchecked — group association only; no outcome judgment</w:t>
      </w:r>
    </w:p>
    <w:p>
      <w:pPr>
        <w:pStyle w:val="Heading2"/>
      </w:pPr>
      <w:r>
        <w:t>290. Claim + two later sources: Food futures: system transitions towards UK food security</w:t>
      </w:r>
    </w:p>
    <w:p>
      <w:pPr>
        <w:pStyle w:val="SourceNote"/>
      </w:pPr>
      <w:r>
        <w:rPr>
          <w:b/>
        </w:rPr>
        <w:t>Group ID:</w:t>
      </w:r>
      <w:r>
        <w:t xml:space="preserve"> group-8f1d23a72887ff784beb</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Carbon capture and utilization under EU law: impermanent storage of CO2 in products and pre-combustion carbon capture — https://doi.org/10.1093/jwelb/jwae009</w:t>
      </w:r>
    </w:p>
    <w:p>
      <w:pPr/>
      <w:r>
        <w:rPr>
          <w:b/>
        </w:rPr>
        <w:t>Later source:</w:t>
      </w:r>
      <w:r>
        <w:t xml:space="preserve"> Article 89 — https://doi.org/10.1093/law/9780192864536.003.0110</w:t>
      </w:r>
    </w:p>
    <w:p>
      <w:pPr>
        <w:pStyle w:val="SourceNote"/>
      </w:pPr>
      <w:r>
        <w:rPr>
          <w:b/>
        </w:rPr>
        <w:t>Review status:</w:t>
      </w:r>
      <w:r>
        <w:t xml:space="preserve"> unchecked — group association only; no outcome judgment</w:t>
      </w:r>
    </w:p>
    <w:p>
      <w:pPr>
        <w:pStyle w:val="Heading2"/>
      </w:pPr>
      <w:r>
        <w:t>291. Claim + two later sources: Scenario forecasting of consumption of main organic livestock products in Ukraine</w:t>
      </w:r>
    </w:p>
    <w:p>
      <w:pPr>
        <w:pStyle w:val="SourceNote"/>
      </w:pPr>
      <w:r>
        <w:rPr>
          <w:b/>
        </w:rPr>
        <w:t>Group ID:</w:t>
      </w:r>
      <w:r>
        <w:t xml:space="preserve"> group-f92096c410fd373c1157</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Influence of Multidrug Resistance 1 Gene Variants on Response to Intravenous Methylprednisolone Pulse in Systemic Lupus Erythematosus Patients: Preliminary Results — https://doi.org/10.2174/0115733971345970241107114732</w:t>
      </w:r>
    </w:p>
    <w:p>
      <w:pPr/>
      <w:r>
        <w:rPr>
          <w:b/>
        </w:rPr>
        <w:t>Later source:</w:t>
      </w:r>
      <w:r>
        <w:t xml:space="preserve"> Systemic effects of hypophosphatasia characterization of two novel variants in the ALPL gene — https://doi.org/10.3389/fendo.2023.1320516</w:t>
      </w:r>
    </w:p>
    <w:p>
      <w:pPr>
        <w:pStyle w:val="SourceNote"/>
      </w:pPr>
      <w:r>
        <w:rPr>
          <w:b/>
        </w:rPr>
        <w:t>Review status:</w:t>
      </w:r>
      <w:r>
        <w:t xml:space="preserve"> unchecked — group association only; no outcome judgment</w:t>
      </w:r>
    </w:p>
    <w:p>
      <w:pPr>
        <w:pStyle w:val="Heading2"/>
      </w:pPr>
      <w:r>
        <w:t>292. Claim + two later sources: European electricity sector decarbonization under different levels of foresight</w:t>
      </w:r>
    </w:p>
    <w:p>
      <w:pPr>
        <w:pStyle w:val="SourceNote"/>
      </w:pPr>
      <w:r>
        <w:rPr>
          <w:b/>
        </w:rPr>
        <w:t>Group ID:</w:t>
      </w:r>
      <w:r>
        <w:t xml:space="preserve"> group-3cc191e10f147b1fc256</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The European Union and the Wider Europe — https://doi.org/10.1017/9781009230322.017</w:t>
      </w:r>
    </w:p>
    <w:p>
      <w:pPr/>
      <w:r>
        <w:rPr>
          <w:b/>
        </w:rPr>
        <w:t>Later source:</w:t>
      </w:r>
      <w:r>
        <w:t xml:space="preserve"> European Integration and the Treaties on European Union — https://doi.org/10.1017/9781009230322.008</w:t>
      </w:r>
    </w:p>
    <w:p>
      <w:pPr>
        <w:pStyle w:val="SourceNote"/>
      </w:pPr>
      <w:r>
        <w:rPr>
          <w:b/>
        </w:rPr>
        <w:t>Review status:</w:t>
      </w:r>
      <w:r>
        <w:t xml:space="preserve"> unchecked — group association only; no outcome judgment</w:t>
      </w:r>
    </w:p>
    <w:p>
      <w:pPr>
        <w:pStyle w:val="Heading2"/>
      </w:pPr>
      <w:r>
        <w:t>293. Claim + two later sources: New opportunities for future tourism after 25 years of political and socioeconomic transformation – foresight in Poland’s tourism planning</w:t>
      </w:r>
    </w:p>
    <w:p>
      <w:pPr>
        <w:pStyle w:val="SourceNote"/>
      </w:pPr>
      <w:r>
        <w:rPr>
          <w:b/>
        </w:rPr>
        <w:t>Group ID:</w:t>
      </w:r>
      <w:r>
        <w:t xml:space="preserve"> group-c675d1f067ffbd73bd80</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From the Single European Act to the One Europe, One Market Agenda. — https://doi.org/10.22370/pe.2026.20.5851</w:t>
      </w:r>
    </w:p>
    <w:p>
      <w:pPr/>
      <w:r>
        <w:rPr>
          <w:b/>
        </w:rPr>
        <w:t>Later source:</w:t>
      </w:r>
      <w:r>
        <w:t xml:space="preserve"> The Main Concerns towards the European Union that Led the British to Vote for Brexit — https://doi.org/10.2478/eustu-2024-0008</w:t>
      </w:r>
    </w:p>
    <w:p>
      <w:pPr>
        <w:pStyle w:val="SourceNote"/>
      </w:pPr>
      <w:r>
        <w:rPr>
          <w:b/>
        </w:rPr>
        <w:t>Review status:</w:t>
      </w:r>
      <w:r>
        <w:t xml:space="preserve"> unchecked — group association only; no outcome judgment</w:t>
      </w:r>
    </w:p>
    <w:p>
      <w:pPr>
        <w:pStyle w:val="Heading2"/>
      </w:pPr>
      <w:r>
        <w:t>294. Claim + two later sources: Central-East European employees on the labour market of London</w:t>
      </w:r>
    </w:p>
    <w:p>
      <w:pPr>
        <w:pStyle w:val="SourceNote"/>
      </w:pPr>
      <w:r>
        <w:rPr>
          <w:b/>
        </w:rPr>
        <w:t>Group ID:</w:t>
      </w:r>
      <w:r>
        <w:t xml:space="preserve"> group-2498258cbe36ea96e1e4</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THEORETICAL AND PRACTICAL ASPECTS REGARDING THE ISSUANCE OF EUROPEAN INVESTIGATION ORDER — https://openalex.org/W4365816987</w:t>
      </w:r>
    </w:p>
    <w:p>
      <w:pPr/>
      <w:r>
        <w:rPr>
          <w:b/>
        </w:rPr>
        <w:t>Later source:</w:t>
      </w:r>
      <w:r>
        <w:t xml:space="preserve"> Practical Implications From European Hospital Pharmacists on Prospective Risk Assessment for Medicine Shortages — https://doi.org/10.3389/fmed.2020.00407</w:t>
      </w:r>
    </w:p>
    <w:p>
      <w:pPr>
        <w:pStyle w:val="SourceNote"/>
      </w:pPr>
      <w:r>
        <w:rPr>
          <w:b/>
        </w:rPr>
        <w:t>Review status:</w:t>
      </w:r>
      <w:r>
        <w:t xml:space="preserve"> unchecked — group association only; no outcome judgment</w:t>
      </w:r>
    </w:p>
    <w:p>
      <w:pPr>
        <w:pStyle w:val="Heading2"/>
      </w:pPr>
      <w:r>
        <w:t>295. Claim + two later sources: Scenarios of Automated Mobility in Austria: Implications for Future Transport Policy</w:t>
      </w:r>
    </w:p>
    <w:p>
      <w:pPr>
        <w:pStyle w:val="SourceNote"/>
      </w:pPr>
      <w:r>
        <w:rPr>
          <w:b/>
        </w:rPr>
        <w:t>Group ID:</w:t>
      </w:r>
      <w:r>
        <w:t xml:space="preserve"> group-00dbf2b9c736569ded82</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Attribution of flood impacts shows strong benefits of adaptation in Europe since 1950 — https://doi.org/10.1126/sciadv.adt7068</w:t>
      </w:r>
    </w:p>
    <w:p>
      <w:pPr>
        <w:pStyle w:val="SourceNote"/>
      </w:pPr>
      <w:r>
        <w:rPr>
          <w:b/>
        </w:rPr>
        <w:t>Review status:</w:t>
      </w:r>
      <w:r>
        <w:t xml:space="preserve"> unchecked — group association only; no outcome judgment</w:t>
      </w:r>
    </w:p>
    <w:p>
      <w:pPr>
        <w:pStyle w:val="Heading2"/>
      </w:pPr>
      <w:r>
        <w:t>296. Claim + two later sources: Long term impact of residue management on soil organic carbon stocks and nitrous oxide emissions from European croplands</w:t>
      </w:r>
    </w:p>
    <w:p>
      <w:pPr>
        <w:pStyle w:val="SourceNote"/>
      </w:pPr>
      <w:r>
        <w:rPr>
          <w:b/>
        </w:rPr>
        <w:t>Group ID:</w:t>
      </w:r>
      <w:r>
        <w:t xml:space="preserve"> group-dcea2bc5111b3fe1a165</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Biophysical climate responses to albedo management for wheat residue retention, cover crops, and pale wheat across European croplands — https://doi.org/10.5194/egusphere-egu26-9895</w:t>
      </w:r>
    </w:p>
    <w:p>
      <w:pPr/>
      <w:r>
        <w:rPr>
          <w:b/>
        </w:rPr>
        <w:t>Later source:</w:t>
      </w:r>
      <w:r>
        <w:t xml:space="preserve"> Associations between landscape-scale cereal residue management and local biodiversity in Europe — https://doi.org/10.1016/j.agee.2026.110664</w:t>
      </w:r>
    </w:p>
    <w:p>
      <w:pPr>
        <w:pStyle w:val="SourceNote"/>
      </w:pPr>
      <w:r>
        <w:rPr>
          <w:b/>
        </w:rPr>
        <w:t>Review status:</w:t>
      </w:r>
      <w:r>
        <w:t xml:space="preserve"> unchecked — group association only; no outcome judgment</w:t>
      </w:r>
    </w:p>
    <w:p>
      <w:pPr>
        <w:pStyle w:val="Heading2"/>
      </w:pPr>
      <w:r>
        <w:t>297. Claim + two later sources: Renewables in the European power system and the impact on system rotational inertia</w:t>
      </w:r>
    </w:p>
    <w:p>
      <w:pPr>
        <w:pStyle w:val="SourceNote"/>
      </w:pPr>
      <w:r>
        <w:rPr>
          <w:b/>
        </w:rPr>
        <w:t>Group ID:</w:t>
      </w:r>
      <w:r>
        <w:t xml:space="preserve"> group-c9587ffef6218db158a0</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ETS Price Signal in the Power Sector: Evidence on Decarbonisation and Policy Overlap — https://doi.org/10.32388/iogu7j</w:t>
      </w:r>
    </w:p>
    <w:p>
      <w:pPr/>
      <w:r>
        <w:rPr>
          <w:b/>
        </w:rPr>
        <w:t>Later source:</w:t>
      </w:r>
      <w:r>
        <w:t xml:space="preserve"> Discourse vs. Decarbonisation: Tracking the Alignment Between EU Climate Rhetoric and National Energy Patterns — https://doi.org/10.3390/en18195304</w:t>
      </w:r>
    </w:p>
    <w:p>
      <w:pPr>
        <w:pStyle w:val="SourceNote"/>
      </w:pPr>
      <w:r>
        <w:rPr>
          <w:b/>
        </w:rPr>
        <w:t>Review status:</w:t>
      </w:r>
      <w:r>
        <w:t xml:space="preserve"> unchecked — group association only; no outcome judgment</w:t>
      </w:r>
    </w:p>
    <w:p>
      <w:pPr>
        <w:pStyle w:val="Heading2"/>
      </w:pPr>
      <w:r>
        <w:t>298. Claim + two later sources: Assessing the prospective resource base for enhanced geothermal systems in Europe</w:t>
      </w:r>
    </w:p>
    <w:p>
      <w:pPr>
        <w:pStyle w:val="SourceNote"/>
      </w:pPr>
      <w:r>
        <w:rPr>
          <w:b/>
        </w:rPr>
        <w:t>Group ID:</w:t>
      </w:r>
      <w:r>
        <w:t xml:space="preserve"> group-330faab070b85a7e0a04</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EGS development in Europe based on operational geothermal projects — https://doi.org/10.1201/9781003271475-2</w:t>
      </w:r>
    </w:p>
    <w:p>
      <w:pPr>
        <w:pStyle w:val="SourceNote"/>
      </w:pPr>
      <w:r>
        <w:rPr>
          <w:b/>
        </w:rPr>
        <w:t>Review status:</w:t>
      </w:r>
      <w:r>
        <w:t xml:space="preserve"> unchecked — group association only; no outcome judgment</w:t>
      </w:r>
    </w:p>
    <w:p>
      <w:pPr>
        <w:pStyle w:val="Heading2"/>
      </w:pPr>
      <w:r>
        <w:t>299.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group association only; no outcome judgment</w:t>
      </w:r>
    </w:p>
    <w:p>
      <w:pPr>
        <w:pStyle w:val="Heading2"/>
      </w:pPr>
      <w:r>
        <w:t>300. Claim + two later sources: Scenario planning as communicative action: Lessons from participatory exercises conducted for the Scottish livestock industry</w:t>
      </w:r>
    </w:p>
    <w:p>
      <w:pPr>
        <w:pStyle w:val="SourceNote"/>
      </w:pPr>
      <w:r>
        <w:rPr>
          <w:b/>
        </w:rPr>
        <w:t>Group ID:</w:t>
      </w:r>
      <w:r>
        <w:t xml:space="preserve"> group-a495d23f1cb58982fb8c</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Corporate Sustainability Adoption in the Hospitality Industry: A Case Study of Tourist Hotels in Sri Lanka — https://doi.org/10.47772/ijriss.2024.809007</w:t>
      </w:r>
    </w:p>
    <w:p>
      <w:pPr>
        <w:pStyle w:val="SourceNote"/>
      </w:pPr>
      <w:r>
        <w:rPr>
          <w:b/>
        </w:rPr>
        <w:t>Review status:</w:t>
      </w:r>
      <w:r>
        <w:t xml:space="preserve"> unchecked — group association only; no outcome judgment</w:t>
      </w:r>
    </w:p>
    <w:p>
      <w:pPr>
        <w:pStyle w:val="Heading2"/>
      </w:pPr>
      <w:r>
        <w:t>301. Claim + two later sources: Toward Identification of the Priority Lines of Research in Nanotechnology on the Basis of the Technology Foresight NT for Podlaskie 2020</w:t>
      </w:r>
    </w:p>
    <w:p>
      <w:pPr>
        <w:pStyle w:val="SourceNote"/>
      </w:pPr>
      <w:r>
        <w:rPr>
          <w:b/>
        </w:rPr>
        <w:t>Group ID:</w:t>
      </w:r>
      <w:r>
        <w:t xml:space="preserve"> group-ffb5c12eaa3ae4542b49</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From Reaction to Foresight: EUPHA’s vision for health security in Europe — https://doi.org/10.1093/eurpub/ckaf071</w:t>
      </w:r>
    </w:p>
    <w:p>
      <w:pPr/>
      <w:r>
        <w:rPr>
          <w:b/>
        </w:rPr>
        <w:t>Later source:</w:t>
      </w:r>
      <w:r>
        <w:t xml:space="preserve"> Article: Project FORESIGHT and Return on Investment — https://doi.org/10.4324/9780429318528-14</w:t>
      </w:r>
    </w:p>
    <w:p>
      <w:pPr>
        <w:pStyle w:val="SourceNote"/>
      </w:pPr>
      <w:r>
        <w:rPr>
          <w:b/>
        </w:rPr>
        <w:t>Review status:</w:t>
      </w:r>
      <w:r>
        <w:t xml:space="preserve"> unchecked — group association only; no outcome judgment</w:t>
      </w:r>
    </w:p>
    <w:p>
      <w:pPr>
        <w:pStyle w:val="Heading2"/>
      </w:pPr>
      <w:r>
        <w:t>302. Claim + two later sources: Foresight technologies of economic systems: evidence from the tourism sector of Ukraine</w:t>
      </w:r>
    </w:p>
    <w:p>
      <w:pPr>
        <w:pStyle w:val="SourceNote"/>
      </w:pPr>
      <w:r>
        <w:rPr>
          <w:b/>
        </w:rPr>
        <w:t>Group ID:</w:t>
      </w:r>
      <w:r>
        <w:t xml:space="preserve"> group-9656dff343fc15e7eb8d</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Criminal Liability Arising from the Use of Artificial Intelligence Applications — https://doi.org/10.5281/zenodo.19810638</w:t>
      </w:r>
    </w:p>
    <w:p>
      <w:pPr/>
      <w:r>
        <w:rPr>
          <w:b/>
        </w:rPr>
        <w:t>Later source:</w:t>
      </w:r>
      <w:r>
        <w:t xml:space="preserve"> THE CHARACTERISTICS OF LOSSES ARISING FROM THE MISUSE OF DEBTORS' PERSONAL DATA IN ONLINE LENDING AGREEMENTS — https://doi.org/10.28946/lexl.v8i1.3827</w:t>
      </w:r>
    </w:p>
    <w:p>
      <w:pPr>
        <w:pStyle w:val="SourceNote"/>
      </w:pPr>
      <w:r>
        <w:rPr>
          <w:b/>
        </w:rPr>
        <w:t>Review status:</w:t>
      </w:r>
      <w:r>
        <w:t xml:space="preserve"> unchecked — group association only; no outcome judgment</w:t>
      </w:r>
    </w:p>
    <w:p>
      <w:pPr>
        <w:pStyle w:val="Heading2"/>
      </w:pPr>
      <w:r>
        <w:t>303. Claim + two later sources: The Dutch Public Health Foresight Study 2018: an example of a comprehensive foresight exercise</w:t>
      </w:r>
    </w:p>
    <w:p>
      <w:pPr>
        <w:pStyle w:val="SourceNote"/>
      </w:pPr>
      <w:r>
        <w:rPr>
          <w:b/>
        </w:rPr>
        <w:t>Group ID:</w:t>
      </w:r>
      <w:r>
        <w:t xml:space="preserve"> group-bc0af2a3eae6e562e902</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Short-term thinking, long-term costs: How managerial myopia undermines green innovation — https://doi.org/10.4102/sajbm.v57i1.5337</w:t>
      </w:r>
    </w:p>
    <w:p>
      <w:pPr/>
      <w:r>
        <w:rPr>
          <w:b/>
        </w:rPr>
        <w:t>Later source:</w:t>
      </w:r>
      <w:r>
        <w:t xml:space="preserve"> Conclusions…and Beginnings — https://doi.org/10.4324/9781003733386-7</w:t>
      </w:r>
    </w:p>
    <w:p>
      <w:pPr>
        <w:pStyle w:val="SourceNote"/>
      </w:pPr>
      <w:r>
        <w:rPr>
          <w:b/>
        </w:rPr>
        <w:t>Review status:</w:t>
      </w:r>
      <w:r>
        <w:t xml:space="preserve"> unchecked — group association only; no outcome judgment</w:t>
      </w:r>
    </w:p>
    <w:p>
      <w:pPr>
        <w:pStyle w:val="Heading2"/>
      </w:pPr>
      <w:r>
        <w:t>304. Claim + two later sources: The future of the Mediterranean agri-food systems: Trends and perspectives from a Delphi survey</w:t>
      </w:r>
    </w:p>
    <w:p>
      <w:pPr>
        <w:pStyle w:val="SourceNote"/>
      </w:pPr>
      <w:r>
        <w:rPr>
          <w:b/>
        </w:rPr>
        <w:t>Group ID:</w:t>
      </w:r>
      <w:r>
        <w:t xml:space="preserve"> group-207d74d14fc87045bf09</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Identifying and Ranking the Eight Risks of AI for Each of the Six Main AI-Focused Fintech Business Models — https://doi.org/10.1007/978-3-032-18109-1_7</w:t>
      </w:r>
    </w:p>
    <w:p>
      <w:pPr/>
      <w:r>
        <w:rPr>
          <w:b/>
        </w:rPr>
        <w:t>Later source:</w:t>
      </w:r>
      <w:r>
        <w:t xml:space="preserve"> A Greedy First-Fit Heuristic for Reallocating Outpatient Surgeries from Main OR to Ambulatory Surgery Center — https://doi.org/10.46254/na11.20260153</w:t>
      </w:r>
    </w:p>
    <w:p>
      <w:pPr>
        <w:pStyle w:val="SourceNote"/>
      </w:pPr>
      <w:r>
        <w:rPr>
          <w:b/>
        </w:rPr>
        <w:t>Review status:</w:t>
      </w:r>
      <w:r>
        <w:t xml:space="preserve"> unchecked — group association only; no outcome judgment</w:t>
      </w:r>
    </w:p>
    <w:p>
      <w:pPr>
        <w:pStyle w:val="Heading2"/>
      </w:pPr>
      <w:r>
        <w:t>305. Claim + two later sources: Implementing Dynamics of Immigration Integration in Labor Force Participation Projection in EU28</w:t>
      </w:r>
    </w:p>
    <w:p>
      <w:pPr>
        <w:pStyle w:val="SourceNote"/>
      </w:pPr>
      <w:r>
        <w:rPr>
          <w:b/>
        </w:rPr>
        <w:t>Group ID:</w:t>
      </w:r>
      <w:r>
        <w:t xml:space="preserve"> group-fdc3209370375e7fd674</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burden of informal family caregiving in Europe, 2000–2050: a microsimulation modelling study — https://doi.org/10.1016/j.lanepe.2025.101295</w:t>
      </w:r>
    </w:p>
    <w:p>
      <w:pPr/>
      <w:r>
        <w:rPr>
          <w:b/>
        </w:rPr>
        <w:t>Later source:</w:t>
      </w:r>
      <w:r>
        <w:t xml:space="preserve"> MicSim, a microsimulation model for population dynamics — https://doi.org/10.21203/rs.3.rs-2986170/v1</w:t>
      </w:r>
    </w:p>
    <w:p>
      <w:pPr>
        <w:pStyle w:val="SourceNote"/>
      </w:pPr>
      <w:r>
        <w:rPr>
          <w:b/>
        </w:rPr>
        <w:t>Review status:</w:t>
      </w:r>
      <w:r>
        <w:t xml:space="preserve"> unchecked — group association only; no outcome judgment</w:t>
      </w:r>
    </w:p>
    <w:p>
      <w:pPr>
        <w:pStyle w:val="Heading2"/>
      </w:pPr>
      <w:r>
        <w:t>306. Claim + two later sources: Towards the European Union's Foreign Policy 2025 – Taking Stock of the Dahrendorf Foresight Project</w:t>
      </w:r>
    </w:p>
    <w:p>
      <w:pPr>
        <w:pStyle w:val="SourceNote"/>
      </w:pPr>
      <w:r>
        <w:rPr>
          <w:b/>
        </w:rPr>
        <w:t>Group ID:</w:t>
      </w:r>
      <w:r>
        <w:t xml:space="preserve"> group-40ed1f2c6c5dee0e3ef8</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Analysis of the current state of sewage sludge treatment from the perspective of current European directives — https://doi.org/10.1186/s12302-025-01097-7</w:t>
      </w:r>
    </w:p>
    <w:p>
      <w:pPr/>
      <w:r>
        <w:rPr>
          <w:b/>
        </w:rPr>
        <w:t>Later source:</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pStyle w:val="SourceNote"/>
      </w:pPr>
      <w:r>
        <w:rPr>
          <w:b/>
        </w:rPr>
        <w:t>Review status:</w:t>
      </w:r>
      <w:r>
        <w:t xml:space="preserve"> unchecked — group association only; no outcome judgment</w:t>
      </w:r>
    </w:p>
    <w:p>
      <w:pPr>
        <w:pStyle w:val="Heading2"/>
      </w:pPr>
      <w:r>
        <w:t>307. Claim + two later sources: Prospects of labour migration pressure in Algeria, Morocco, Tunisia and Turkey</w:t>
      </w:r>
    </w:p>
    <w:p>
      <w:pPr>
        <w:pStyle w:val="SourceNote"/>
      </w:pPr>
      <w:r>
        <w:rPr>
          <w:b/>
        </w:rPr>
        <w:t>Group ID:</w:t>
      </w:r>
      <w:r>
        <w:t xml:space="preserve"> group-3b615ef855d121203731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A note on model selection using information criteria for general linear models estimated using REML — https://doi.org/10.1111/anzs.12254</w:t>
      </w:r>
    </w:p>
    <w:p>
      <w:pPr/>
      <w:r>
        <w:rPr>
          <w:b/>
        </w:rPr>
        <w:t>Later source:</w:t>
      </w:r>
      <w:r>
        <w:t xml:space="preserve"> AraVec: A set of Arabic Word Embedding Models for use in Arabic NLP — https://doi.org/10.1016/j.procs.2017.10.117</w:t>
      </w:r>
    </w:p>
    <w:p>
      <w:pPr>
        <w:pStyle w:val="SourceNote"/>
      </w:pPr>
      <w:r>
        <w:rPr>
          <w:b/>
        </w:rPr>
        <w:t>Review status:</w:t>
      </w:r>
      <w:r>
        <w:t xml:space="preserve"> unchecked — group association only; no outcome judgment</w:t>
      </w:r>
    </w:p>
    <w:p>
      <w:pPr>
        <w:pStyle w:val="Heading2"/>
      </w:pPr>
      <w:r>
        <w:t>308.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group association only; no outcome judgment</w:t>
      </w:r>
    </w:p>
    <w:p>
      <w:pPr>
        <w:pStyle w:val="Heading2"/>
      </w:pPr>
      <w:r>
        <w:t>309. Claim + two later sources: Health horizons: Future trends and technologies from the European Medicines Agency’s horizon scanning collaborations</w:t>
      </w:r>
    </w:p>
    <w:p>
      <w:pPr>
        <w:pStyle w:val="SourceNote"/>
      </w:pPr>
      <w:r>
        <w:rPr>
          <w:b/>
        </w:rPr>
        <w:t>Group ID:</w:t>
      </w:r>
      <w:r>
        <w:t xml:space="preserve"> group-c9e455213c90f38ff09e</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Artificial Intelligence for Regulatory Evidence: A Systematic Document Analysis of European Medicines Agency Regulatory Advice and Public Reports — https://doi.org/10.1002/cpt.70300</w:t>
      </w:r>
    </w:p>
    <w:p>
      <w:pPr>
        <w:pStyle w:val="SourceNote"/>
      </w:pPr>
      <w:r>
        <w:rPr>
          <w:b/>
        </w:rPr>
        <w:t>Review status:</w:t>
      </w:r>
      <w:r>
        <w:t xml:space="preserve"> unchecked — group association only; no outcome judgment</w:t>
      </w:r>
    </w:p>
    <w:p>
      <w:pPr>
        <w:pStyle w:val="Heading2"/>
      </w:pPr>
      <w:r>
        <w:t>310. Claim + two later sources: The Public Health Status and Foresight report 2014: Four normative perspectives on a healthier Netherlands in 2040</w:t>
      </w:r>
    </w:p>
    <w:p>
      <w:pPr>
        <w:pStyle w:val="SourceNote"/>
      </w:pPr>
      <w:r>
        <w:rPr>
          <w:b/>
        </w:rPr>
        <w:t>Group ID:</w:t>
      </w:r>
      <w:r>
        <w:t xml:space="preserve"> group-10a54fca539fc39c8ef9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Editorial: European Optical Society Annual Meeting (EOSAM) 2023 — https://doi.org/10.1051/jeos/2024037</w:t>
      </w:r>
    </w:p>
    <w:p>
      <w:pPr>
        <w:pStyle w:val="SourceNote"/>
      </w:pPr>
      <w:r>
        <w:rPr>
          <w:b/>
        </w:rPr>
        <w:t>Review status:</w:t>
      </w:r>
      <w:r>
        <w:t xml:space="preserve"> unchecked — group association only; no outcome judgment</w:t>
      </w:r>
    </w:p>
    <w:p>
      <w:pPr>
        <w:pStyle w:val="Heading2"/>
      </w:pPr>
      <w:r>
        <w:t>311. Claim + two later sources: Secular stagnation – are we stuck in Summers' long winter?</w:t>
      </w:r>
    </w:p>
    <w:p>
      <w:pPr>
        <w:pStyle w:val="SourceNote"/>
      </w:pPr>
      <w:r>
        <w:rPr>
          <w:b/>
        </w:rPr>
        <w:t>Group ID:</w:t>
      </w:r>
      <w:r>
        <w:t xml:space="preserve"> group-4f532d40a2f3fd0b5a7b</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Strong Inhibition of Ice Growth by Biomimetic Crowding Coacervates — https://doi.org/10.1002/anie.202311047</w:t>
      </w:r>
    </w:p>
    <w:p>
      <w:pPr/>
      <w:r>
        <w:rPr>
          <w:b/>
        </w:rPr>
        <w:t>Later source:</w:t>
      </w:r>
      <w:r>
        <w:t xml:space="preserve"> Morocco’s Quest for Stronger and Inclusive Growth — https://doi.org/10.5089/9798400225406.071</w:t>
      </w:r>
    </w:p>
    <w:p>
      <w:pPr>
        <w:pStyle w:val="SourceNote"/>
      </w:pPr>
      <w:r>
        <w:rPr>
          <w:b/>
        </w:rPr>
        <w:t>Review status:</w:t>
      </w:r>
      <w:r>
        <w:t xml:space="preserve"> unchecked — group association only; no outcome judgment</w:t>
      </w:r>
    </w:p>
    <w:p>
      <w:pPr>
        <w:pStyle w:val="Heading2"/>
      </w:pPr>
      <w:r>
        <w:t>312.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group-4902d067c63189001a7d</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‘Learning lessons’: discussion, concluding thoughts and recommendations — https://doi.org/10.1332/policypress/9781447363385.003.0007</w:t>
      </w:r>
    </w:p>
    <w:p>
      <w:pPr>
        <w:pStyle w:val="SourceNote"/>
      </w:pPr>
      <w:r>
        <w:rPr>
          <w:b/>
        </w:rPr>
        <w:t>Review status:</w:t>
      </w:r>
      <w:r>
        <w:t xml:space="preserve"> unchecked — group association only; no outcome judgment</w:t>
      </w:r>
    </w:p>
    <w:p>
      <w:pPr>
        <w:pStyle w:val="Heading2"/>
      </w:pPr>
      <w:r>
        <w:t>313. Claim + two later sources: (Re)politicization of climate change mitigating projects: environmental forms and motives of the Seine Nord Europe canal</w:t>
      </w:r>
    </w:p>
    <w:p>
      <w:pPr>
        <w:pStyle w:val="SourceNote"/>
      </w:pPr>
      <w:r>
        <w:rPr>
          <w:b/>
        </w:rPr>
        <w:t>Group ID:</w:t>
      </w:r>
      <w:r>
        <w:t xml:space="preserve"> group-189cafda90f8d6190dd4</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Place-based leadership and environmental conflicts in the European Union — https://doi.org/10.1080/00343404.2025.2486644</w:t>
      </w:r>
    </w:p>
    <w:p>
      <w:pPr/>
      <w:r>
        <w:rPr>
          <w:b/>
        </w:rPr>
        <w:t>Later source:</w:t>
      </w:r>
      <w:r>
        <w:t xml:space="preserve"> Environmental education on the European Green Deal. Implications and promotion of the concept through different channels in Romania — https://doi.org/10.33727/jriss.2025.1.20:193-203</w:t>
      </w:r>
    </w:p>
    <w:p>
      <w:pPr>
        <w:pStyle w:val="SourceNote"/>
      </w:pPr>
      <w:r>
        <w:rPr>
          <w:b/>
        </w:rPr>
        <w:t>Review status:</w:t>
      </w:r>
      <w:r>
        <w:t xml:space="preserve"> unchecked — group association only; no outcome judgment</w:t>
      </w:r>
    </w:p>
    <w:p>
      <w:pPr>
        <w:pStyle w:val="Heading2"/>
      </w:pPr>
      <w:r>
        <w:t>314. Claim + two later sources: PROGNOZY WYDAJNOŚCI MLECZNEJ KRÓW W POLSCE I W UNII EUROPEJSKIEJ NA LATA 2030 I 2050</w:t>
      </w:r>
    </w:p>
    <w:p>
      <w:pPr>
        <w:pStyle w:val="SourceNote"/>
      </w:pPr>
      <w:r>
        <w:rPr>
          <w:b/>
        </w:rPr>
        <w:t>Group ID:</w:t>
      </w:r>
      <w:r>
        <w:t xml:space="preserve"> group-ee9b7c8bc8b96c0b1c89</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Lignocellulosic Crops in Europe: Integrating Crop Yield Potentials with Land Potentials — https://doi.org/10.6092/unibo/amsdottorato/7854</w:t>
      </w:r>
    </w:p>
    <w:p>
      <w:pPr>
        <w:pStyle w:val="SourceNote"/>
      </w:pPr>
      <w:r>
        <w:rPr>
          <w:b/>
        </w:rPr>
        <w:t>Review status:</w:t>
      </w:r>
      <w:r>
        <w:t xml:space="preserve"> unchecked — group association only; no outcome judgment</w:t>
      </w:r>
    </w:p>
    <w:p>
      <w:pPr>
        <w:pStyle w:val="Heading2"/>
      </w:pPr>
      <w:r>
        <w:t>315.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group association only; no outcome judgment</w:t>
      </w:r>
    </w:p>
    <w:p>
      <w:pPr>
        <w:pStyle w:val="Heading2"/>
      </w:pPr>
      <w:r>
        <w:t>316.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group association only; no outcome judgment</w:t>
      </w:r>
    </w:p>
    <w:p>
      <w:pPr>
        <w:pStyle w:val="Heading2"/>
      </w:pPr>
      <w:r>
        <w:t>317. Claim + two later sources: Balancing GHG mitigation and land-use conflicts: Alternative Northern European energy system scenarios</w:t>
      </w:r>
    </w:p>
    <w:p>
      <w:pPr>
        <w:pStyle w:val="SourceNote"/>
      </w:pPr>
      <w:r>
        <w:rPr>
          <w:b/>
        </w:rPr>
        <w:t>Group ID:</w:t>
      </w:r>
      <w:r>
        <w:t xml:space="preserve"> group-681ec309809982c8974b</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Attribution of flood impacts shows strong benefits of adaptation in Europe since 1950 — https://doi.org/10.1126/sciadv.adt7068</w:t>
      </w:r>
    </w:p>
    <w:p>
      <w:pPr/>
      <w:r>
        <w:rPr>
          <w:b/>
        </w:rPr>
        <w:t>Later source:</w:t>
      </w:r>
      <w:r>
        <w:t xml:space="preserve"> Autarky penalty versus system cost effects for Europe of large-scale renewable energy imports from North Africa — https://doi.org/10.1016/j.esr.2023.101289</w:t>
      </w:r>
    </w:p>
    <w:p>
      <w:pPr>
        <w:pStyle w:val="SourceNote"/>
      </w:pPr>
      <w:r>
        <w:rPr>
          <w:b/>
        </w:rPr>
        <w:t>Review status:</w:t>
      </w:r>
      <w:r>
        <w:t xml:space="preserve"> unchecked — group association only; no outcome judgment</w:t>
      </w:r>
    </w:p>
    <w:p>
      <w:pPr>
        <w:pStyle w:val="Heading2"/>
      </w:pPr>
      <w:r>
        <w:t>318.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group association only; no outcome judgment</w:t>
      </w:r>
    </w:p>
    <w:p>
      <w:pPr>
        <w:pStyle w:val="Heading2"/>
      </w:pPr>
      <w:r>
        <w:t>319. Claim + two later sources: Scenarios for population health inequalities in 2030 in Europe: the EURO-HEALTHY project experience</w:t>
      </w:r>
    </w:p>
    <w:p>
      <w:pPr>
        <w:pStyle w:val="SourceNote"/>
      </w:pPr>
      <w:r>
        <w:rPr>
          <w:b/>
        </w:rPr>
        <w:t>Group ID:</w:t>
      </w:r>
      <w:r>
        <w:t xml:space="preserve"> group-b94b3fcb1dfdd11a8619</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Europe as a subject and object of epistemic reflection — https://doi.org/10.30574/wjarr.2025.27.1.2547</w:t>
      </w:r>
    </w:p>
    <w:p>
      <w:pPr>
        <w:pStyle w:val="SourceNote"/>
      </w:pPr>
      <w:r>
        <w:rPr>
          <w:b/>
        </w:rPr>
        <w:t>Review status:</w:t>
      </w:r>
      <w:r>
        <w:t xml:space="preserve"> unchecked — group association only; no outcome judgment</w:t>
      </w:r>
    </w:p>
    <w:p>
      <w:pPr>
        <w:pStyle w:val="Heading2"/>
      </w:pPr>
      <w:r>
        <w:t>320. Claim + two later sources: Long-term scenarios for reaching climate targets and energy security in UK</w:t>
      </w:r>
    </w:p>
    <w:p>
      <w:pPr>
        <w:pStyle w:val="SourceNote"/>
      </w:pPr>
      <w:r>
        <w:rPr>
          <w:b/>
        </w:rPr>
        <w:t>Group ID:</w:t>
      </w:r>
      <w:r>
        <w:t xml:space="preserve"> group-e99d64b6114ea8fa8aa4</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Subgrid modelling for two-dimensional turbulence using neural networks — https://openalex.org/W3105245152</w:t>
      </w:r>
    </w:p>
    <w:p>
      <w:pPr/>
      <w:r>
        <w:rPr>
          <w:b/>
        </w:rPr>
        <w:t>Later source:</w:t>
      </w:r>
      <w:r>
        <w:t xml:space="preserve"> Subgrid modelling for two-dimensional turbulence using neural networks — https://doi.org/10.1017/jfm.2018.770</w:t>
      </w:r>
    </w:p>
    <w:p>
      <w:pPr>
        <w:pStyle w:val="SourceNote"/>
      </w:pPr>
      <w:r>
        <w:rPr>
          <w:b/>
        </w:rPr>
        <w:t>Review status:</w:t>
      </w:r>
      <w:r>
        <w:t xml:space="preserve"> unchecked — group association only; no outcome judgment</w:t>
      </w:r>
    </w:p>
    <w:p>
      <w:pPr>
        <w:pStyle w:val="Heading2"/>
      </w:pPr>
      <w:r>
        <w:t>321. Claim + two later sources: How far away is hydrogen? Its role in the medium and long-term decarbonisation of the European energy system</w:t>
      </w:r>
    </w:p>
    <w:p>
      <w:pPr>
        <w:pStyle w:val="SourceNote"/>
      </w:pPr>
      <w:r>
        <w:rPr>
          <w:b/>
        </w:rPr>
        <w:t>Group ID:</w:t>
      </w:r>
      <w:r>
        <w:t xml:space="preserve"> group-f75b7cf8b32866ead73c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Monitoring the impact of EU F-gas regulation on HFC-134a emissions through a comparison of top-down and bottom-up estimates — https://doi.org/10.1186/s12302-025-01081-1</w:t>
      </w:r>
    </w:p>
    <w:p>
      <w:pPr/>
      <w:r>
        <w:rPr>
          <w:b/>
        </w:rPr>
        <w:t>Later source:</w:t>
      </w:r>
      <w:r>
        <w:t xml:space="preserve"> TIMES-Europe: An Integrated Energy System Model for Analyzing Europe’s Energy and Climate Challenges — https://doi.org/10.1007/s10666-024-09976-8</w:t>
      </w:r>
    </w:p>
    <w:p>
      <w:pPr>
        <w:pStyle w:val="SourceNote"/>
      </w:pPr>
      <w:r>
        <w:rPr>
          <w:b/>
        </w:rPr>
        <w:t>Review status:</w:t>
      </w:r>
      <w:r>
        <w:t xml:space="preserve"> unchecked — group association only; no outcome judgment</w:t>
      </w:r>
    </w:p>
    <w:p>
      <w:pPr>
        <w:pStyle w:val="Heading2"/>
      </w:pPr>
      <w:r>
        <w:t>322. Claim + two later sources: Renewable and Sustainable Energy Transitions for Countries with Different Climates and Renewable Energy Sources Potentials</w:t>
      </w:r>
    </w:p>
    <w:p>
      <w:pPr>
        <w:pStyle w:val="SourceNote"/>
      </w:pPr>
      <w:r>
        <w:rPr>
          <w:b/>
        </w:rPr>
        <w:t>Group ID:</w:t>
      </w:r>
      <w:r>
        <w:t xml:space="preserve"> group-f00bf4ad38101740e4ae</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Developing a European Psychotherapy Consortium (EPoC): Towards adopting a single-item self-report outcome measure across European countries — https://doi.org/10.32872/cpe.13827</w:t>
      </w:r>
    </w:p>
    <w:p>
      <w:pPr/>
      <w:r>
        <w:rPr>
          <w:b/>
        </w:rPr>
        <w:t>Later source:</w:t>
      </w:r>
      <w:r>
        <w:t xml:space="preserve"> Understanding Public Support for European Protected Areas: A Review of the Literature and Proposing a New Approach for Policy Makers — https://doi.org/10.3390/land11050733</w:t>
      </w:r>
    </w:p>
    <w:p>
      <w:pPr>
        <w:pStyle w:val="SourceNote"/>
      </w:pPr>
      <w:r>
        <w:rPr>
          <w:b/>
        </w:rPr>
        <w:t>Review status:</w:t>
      </w:r>
      <w:r>
        <w:t xml:space="preserve"> unchecked — group association only; no outcome judgment</w:t>
      </w:r>
    </w:p>
    <w:p>
      <w:pPr>
        <w:pStyle w:val="Heading2"/>
      </w:pPr>
      <w:r>
        <w:t>323. Claim + two later sources: Socio-technical transitions in UK electricity: part 1 – history, actors and pathways</w:t>
      </w:r>
    </w:p>
    <w:p>
      <w:pPr>
        <w:pStyle w:val="SourceNote"/>
      </w:pPr>
      <w:r>
        <w:rPr>
          <w:b/>
        </w:rPr>
        <w:t>Group ID:</w:t>
      </w:r>
      <w:r>
        <w:t xml:space="preserve"> group-b3361994a5273aef9a48</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Gender Norms and Leadership Exclusion with a Focus on Women’s Pathways to Power in Southern Nigeria — https://openalex.org/W7216889169</w:t>
      </w:r>
    </w:p>
    <w:p>
      <w:pPr>
        <w:pStyle w:val="SourceNote"/>
      </w:pPr>
      <w:r>
        <w:rPr>
          <w:b/>
        </w:rPr>
        <w:t>Review status:</w:t>
      </w:r>
      <w:r>
        <w:t xml:space="preserve"> unchecked — group association only; no outcome judgment</w:t>
      </w:r>
    </w:p>
    <w:p>
      <w:pPr>
        <w:pStyle w:val="Heading2"/>
      </w:pPr>
      <w:r>
        <w:t>324. Claim + two later sources: THE EUROPEAN MIGRATION CRISIS – ECONOMIC AND POLITICAL FACTORS AND CHALLENGES FOR THE FUTURE</w:t>
      </w:r>
    </w:p>
    <w:p>
      <w:pPr>
        <w:pStyle w:val="SourceNote"/>
      </w:pPr>
      <w:r>
        <w:rPr>
          <w:b/>
        </w:rPr>
        <w:t>Group ID:</w:t>
      </w:r>
      <w:r>
        <w:t xml:space="preserve"> group-4f6544ac57dfe8c3bce7</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China-Central and Eastern European Countries Cooperation: Challenges and Restart — https://doi.org/10.18485/iipe_dijalozi_kina.2024.4.2.ch20</w:t>
      </w:r>
    </w:p>
    <w:p>
      <w:pPr/>
      <w:r>
        <w:rPr>
          <w:b/>
        </w:rPr>
        <w:t>Later source:</w:t>
      </w:r>
      <w:r>
        <w:t xml:space="preserve"> European IoT International Cooperation in Research and Innovation — https://doi.org/10.1201/9781003337966-10</w:t>
      </w:r>
    </w:p>
    <w:p>
      <w:pPr>
        <w:pStyle w:val="SourceNote"/>
      </w:pPr>
      <w:r>
        <w:rPr>
          <w:b/>
        </w:rPr>
        <w:t>Review status:</w:t>
      </w:r>
      <w:r>
        <w:t xml:space="preserve"> unchecked — group association only; no outcome judgment</w:t>
      </w:r>
    </w:p>
    <w:p>
      <w:pPr>
        <w:pStyle w:val="Heading2"/>
      </w:pPr>
      <w:r>
        <w:t>325. Claim + two later sources: Future population ageing and productivity in Finland under different education and fertility scenarios</w:t>
      </w:r>
    </w:p>
    <w:p>
      <w:pPr>
        <w:pStyle w:val="SourceNote"/>
      </w:pPr>
      <w:r>
        <w:rPr>
          <w:b/>
        </w:rPr>
        <w:t>Group ID:</w:t>
      </w:r>
      <w:r>
        <w:t xml:space="preserve"> group-ad176a205e8f1780958f</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MULTIDIMENSIONAL LOCAL RESILIENCE – ANALYSIS OF ENVIRONMENTAL, DEMOGRAPHIC AND INFRASTRUCTURAL FACTORS — https://doi.org/10.29119/1641-3466.2026.244.3</w:t>
      </w:r>
    </w:p>
    <w:p>
      <w:pPr/>
      <w:r>
        <w:rPr>
          <w:b/>
        </w:rPr>
        <w:t>Later source:</w:t>
      </w:r>
      <w:r>
        <w:t xml:space="preserve"> Distinct profiles of free speech support and their demographic, ideological, and epistemic characteristics — https://doi.org/10.1016/j.paid.2026.114009</w:t>
      </w:r>
    </w:p>
    <w:p>
      <w:pPr>
        <w:pStyle w:val="SourceNote"/>
      </w:pPr>
      <w:r>
        <w:rPr>
          <w:b/>
        </w:rPr>
        <w:t>Review status:</w:t>
      </w:r>
      <w:r>
        <w:t xml:space="preserve"> unchecked — group association only; no outcome judgment</w:t>
      </w:r>
    </w:p>
    <w:p>
      <w:pPr>
        <w:pStyle w:val="Heading2"/>
      </w:pPr>
      <w:r>
        <w:t>326. Claim + two later sources: Are the European manufacturing and energy sectors on track for achieving net-zero emissions in 2050? An empirical analysis</w:t>
      </w:r>
    </w:p>
    <w:p>
      <w:pPr>
        <w:pStyle w:val="SourceNote"/>
      </w:pPr>
      <w:r>
        <w:rPr>
          <w:b/>
        </w:rPr>
        <w:t>Group ID:</w:t>
      </w:r>
      <w:r>
        <w:t xml:space="preserve"> group-23348773ac49cbe7888a</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Achieving SDG 7 in the European Union: The Impact of Institutions and Macroeconomic Factors on Energy Conservation — https://doi.org/10.1002/sd.71042</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group association only; no outcome judgment</w:t>
      </w:r>
    </w:p>
    <w:p>
      <w:pPr>
        <w:pStyle w:val="Heading2"/>
      </w:pPr>
      <w:r>
        <w:t>327. Claim + two later sources: Scenarios for renewable energy deployment in North African countries and electricity exchange with Europe – A modelbased analysis for 2050</w:t>
      </w:r>
    </w:p>
    <w:p>
      <w:pPr>
        <w:pStyle w:val="SourceNote"/>
      </w:pPr>
      <w:r>
        <w:rPr>
          <w:b/>
        </w:rPr>
        <w:t>Group ID:</w:t>
      </w:r>
      <w:r>
        <w:t xml:space="preserve"> group-ae38da4746bcab72d8c7</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Geopolitical risk and renewable energy capacity deployment: the moderating role of institutional quality in selected European Union economies — https://doi.org/10.17605/osf.io/b76ny</w:t>
      </w:r>
    </w:p>
    <w:p>
      <w:pPr/>
      <w:r>
        <w:rPr>
          <w:b/>
        </w:rPr>
        <w:t>Later source:</w:t>
      </w:r>
      <w:r>
        <w:t xml:space="preserve"> Renewable-energy deployment and electricity-system integration in the European Union — https://doi.org/10.1680/jener.26.00046</w:t>
      </w:r>
    </w:p>
    <w:p>
      <w:pPr>
        <w:pStyle w:val="SourceNote"/>
      </w:pPr>
      <w:r>
        <w:rPr>
          <w:b/>
        </w:rPr>
        <w:t>Review status:</w:t>
      </w:r>
      <w:r>
        <w:t xml:space="preserve"> unchecked — group association only; no outcome judgment</w:t>
      </w:r>
    </w:p>
    <w:p>
      <w:pPr>
        <w:pStyle w:val="Heading2"/>
      </w:pPr>
      <w:r>
        <w:t>328. Claim + two later sources: ClimateEU, scale-free climate normals, historical time series, and future projections for Europe</w:t>
      </w:r>
    </w:p>
    <w:p>
      <w:pPr>
        <w:pStyle w:val="SourceNote"/>
      </w:pPr>
      <w:r>
        <w:rPr>
          <w:b/>
        </w:rPr>
        <w:t>Group ID:</w:t>
      </w:r>
      <w:r>
        <w:t xml:space="preserve"> group-0a48edb710aa1039e190</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In temperate Europe, fire is already here: The case of The Netherlands — https://doi.org/10.1007/s13280-023-01960-y</w:t>
      </w:r>
    </w:p>
    <w:p>
      <w:pPr/>
      <w:r>
        <w:rPr>
          <w:b/>
        </w:rPr>
        <w:t>Later source:</w:t>
      </w:r>
      <w:r>
        <w:t xml:space="preserve"> The European Nucleotide Archive in 2024 — https://doi.org/10.1093/nar/gkae975</w:t>
      </w:r>
    </w:p>
    <w:p>
      <w:pPr>
        <w:pStyle w:val="SourceNote"/>
      </w:pPr>
      <w:r>
        <w:rPr>
          <w:b/>
        </w:rPr>
        <w:t>Review status:</w:t>
      </w:r>
      <w:r>
        <w:t xml:space="preserve"> unchecked — group association only; no outcome judgment</w:t>
      </w:r>
    </w:p>
    <w:p>
      <w:pPr>
        <w:pStyle w:val="Heading2"/>
      </w:pPr>
      <w:r>
        <w:t>329. Claim + two later sources: Brexit and Its Impact on Poland’s Policy Towards Europe – An Attempt to Forecast</w:t>
      </w:r>
    </w:p>
    <w:p>
      <w:pPr>
        <w:pStyle w:val="SourceNote"/>
      </w:pPr>
      <w:r>
        <w:rPr>
          <w:b/>
        </w:rPr>
        <w:t>Group ID:</w:t>
      </w:r>
      <w:r>
        <w:t xml:space="preserve"> group-d2b05d7fec5c9af0efdc</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Differentiating early European psychobiography—An Eastern European contribution. — https://doi.org/10.1037/hop0000317</w:t>
      </w:r>
    </w:p>
    <w:p>
      <w:pPr/>
      <w:r>
        <w:rPr>
          <w:b/>
        </w:rPr>
        <w:t>Later source:</w:t>
      </w:r>
      <w:r>
        <w:t xml:space="preserve"> Freedom of Expression and speech threatened in Europe — https://doi.org/10.52224/21845263/rev45a4</w:t>
      </w:r>
    </w:p>
    <w:p>
      <w:pPr>
        <w:pStyle w:val="SourceNote"/>
      </w:pPr>
      <w:r>
        <w:rPr>
          <w:b/>
        </w:rPr>
        <w:t>Review status:</w:t>
      </w:r>
      <w:r>
        <w:t xml:space="preserve"> unchecked — group association only; no outcome judgment</w:t>
      </w:r>
    </w:p>
    <w:p>
      <w:pPr>
        <w:pStyle w:val="Heading2"/>
      </w:pPr>
      <w:r>
        <w:t>330. Claim + two later sources: The use of probabilistic weather generator information for climate change adaptation in the UK water sector</w:t>
      </w:r>
    </w:p>
    <w:p>
      <w:pPr>
        <w:pStyle w:val="SourceNote"/>
      </w:pPr>
      <w:r>
        <w:rPr>
          <w:b/>
        </w:rPr>
        <w:t>Group ID:</w:t>
      </w:r>
      <w:r>
        <w:t xml:space="preserve"> group-9434fd0e59879986ccf1</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Response to Comment on “Soluble Receptor for Advanced Glycation End Products and Incident Hypertension in REGARDS” — https://doi.org/10.1093/ajh/hpaf229</w:t>
      </w:r>
    </w:p>
    <w:p>
      <w:pPr/>
      <w:r>
        <w:rPr>
          <w:b/>
        </w:rPr>
        <w:t>Later source:</w:t>
      </w:r>
      <w:r>
        <w:t xml:space="preserve"> Interpretation of Second Law of Thermodynamics in Extended Procedures for the Exploitation of the Entropy Inequality: Korteweg Fluids and Strain-Gradient Elasticity as Examples — https://doi.org/10.3390/e26040293</w:t>
      </w:r>
    </w:p>
    <w:p>
      <w:pPr>
        <w:pStyle w:val="SourceNote"/>
      </w:pPr>
      <w:r>
        <w:rPr>
          <w:b/>
        </w:rPr>
        <w:t>Review status:</w:t>
      </w:r>
      <w:r>
        <w:t xml:space="preserve"> unchecked — group association only; no outcome judgment</w:t>
      </w:r>
    </w:p>
    <w:p>
      <w:pPr>
        <w:pStyle w:val="Heading2"/>
      </w:pPr>
      <w:r>
        <w:t>331. Claim + two later sources: Renewable jet fuel supply scenarios in the European Union in 2021–2030 in the context of proposed biofuel policy and competing biomass demand</w:t>
      </w:r>
    </w:p>
    <w:p>
      <w:pPr>
        <w:pStyle w:val="SourceNote"/>
      </w:pPr>
      <w:r>
        <w:rPr>
          <w:b/>
        </w:rPr>
        <w:t>Group ID:</w:t>
      </w:r>
      <w:r>
        <w:t xml:space="preserve"> group-d3cc6cd6d64cf6cd51f7</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A review of product safety regulations in the European Union — https://doi.org/10.1365/s43439-022-00057-8</w:t>
      </w:r>
    </w:p>
    <w:p>
      <w:pPr/>
      <w:r>
        <w:rPr>
          <w:b/>
        </w:rPr>
        <w:t>Later source:</w:t>
      </w:r>
      <w:r>
        <w:t xml:space="preserve"> Actual and potential new fuel types in Europe and Austria — https://doi.org/10.34726/hss.2020.73189</w:t>
      </w:r>
    </w:p>
    <w:p>
      <w:pPr>
        <w:pStyle w:val="SourceNote"/>
      </w:pPr>
      <w:r>
        <w:rPr>
          <w:b/>
        </w:rPr>
        <w:t>Review status:</w:t>
      </w:r>
      <w:r>
        <w:t xml:space="preserve"> unchecked — group association only; no outcome judgment</w:t>
      </w:r>
    </w:p>
    <w:p>
      <w:pPr>
        <w:pStyle w:val="Heading2"/>
      </w:pPr>
      <w:r>
        <w:t>332. Claim + two later sources: Making sense of the future: visions and transition pathways of laypeople and professionals from six EU countries</w:t>
      </w:r>
    </w:p>
    <w:p>
      <w:pPr>
        <w:pStyle w:val="SourceNote"/>
      </w:pPr>
      <w:r>
        <w:rPr>
          <w:b/>
        </w:rPr>
        <w:t>Group ID:</w:t>
      </w:r>
      <w:r>
        <w:t xml:space="preserve"> group-c05091c600dac9df2c7a</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Nonlinearity and Asymmetry of the ENSO Stratospheric Pathway to North Atlantic and Europe, Revisited — https://doi.org/10.1029/2023jd039992</w:t>
      </w:r>
    </w:p>
    <w:p>
      <w:pPr>
        <w:pStyle w:val="SourceNote"/>
      </w:pPr>
      <w:r>
        <w:rPr>
          <w:b/>
        </w:rPr>
        <w:t>Review status:</w:t>
      </w:r>
      <w:r>
        <w:t xml:space="preserve"> unchecked — group association only; no outcome judgment</w:t>
      </w:r>
    </w:p>
    <w:p>
      <w:pPr>
        <w:pStyle w:val="Heading2"/>
      </w:pPr>
      <w:r>
        <w:t>333. Claim + two later sources: Energy Community in Action—Energy Citizenship Contract as Tool for Climate Neutrality</w:t>
      </w:r>
    </w:p>
    <w:p>
      <w:pPr>
        <w:pStyle w:val="SourceNote"/>
      </w:pPr>
      <w:r>
        <w:rPr>
          <w:b/>
        </w:rPr>
        <w:t>Group ID:</w:t>
      </w:r>
      <w:r>
        <w:t xml:space="preserve"> group-2103fc4ff1363b476697</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Legal Limits on the ECB’s Actions: Is the PEPP a Bridge too Far? — https://doi.org/10.36969/njel.v9i1.28373</w:t>
      </w:r>
    </w:p>
    <w:p>
      <w:pPr>
        <w:pStyle w:val="SourceNote"/>
      </w:pPr>
      <w:r>
        <w:rPr>
          <w:b/>
        </w:rPr>
        <w:t>Review status:</w:t>
      </w:r>
      <w:r>
        <w:t xml:space="preserve"> unchecked — group association only; no outcome judgment</w:t>
      </w:r>
    </w:p>
    <w:p>
      <w:pPr>
        <w:pStyle w:val="Heading2"/>
      </w:pPr>
      <w:r>
        <w:t>334. Claim + two later sources: The impact of EU Climate/Energy policies on Belgium’s energy dependence up to 2050</w:t>
      </w:r>
    </w:p>
    <w:p>
      <w:pPr>
        <w:pStyle w:val="SourceNote"/>
      </w:pPr>
      <w:r>
        <w:rPr>
          <w:b/>
        </w:rPr>
        <w:t>Group ID:</w:t>
      </w:r>
      <w:r>
        <w:t xml:space="preserve"> group-c038335ce14d00d95087</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 rôle du commerce pour une adaptation résiliente au changement climatique dans l’agriculture africaine — https://doi.org/10.3917/edd.363.0041</w:t>
      </w:r>
    </w:p>
    <w:p>
      <w:pPr/>
      <w:r>
        <w:rPr>
          <w:b/>
        </w:rPr>
        <w:t>Later source:</w:t>
      </w:r>
      <w:r>
        <w:t xml:space="preserve"> Un virus mis en scène par son vaccin ? La prise en charge du HPV et des pathologies associées en belgique — https://doi.org/10.1684/sss.2021.0211</w:t>
      </w:r>
    </w:p>
    <w:p>
      <w:pPr>
        <w:pStyle w:val="SourceNote"/>
      </w:pPr>
      <w:r>
        <w:rPr>
          <w:b/>
        </w:rPr>
        <w:t>Review status:</w:t>
      </w:r>
      <w:r>
        <w:t xml:space="preserve"> unchecked — group association only; no outcome judgment</w:t>
      </w:r>
    </w:p>
    <w:p>
      <w:pPr>
        <w:pStyle w:val="Heading2"/>
      </w:pPr>
      <w:r>
        <w:t>335. Claim + two later sources: The Future of European Labour Law and the Right to Employability</w:t>
      </w:r>
    </w:p>
    <w:p>
      <w:pPr>
        <w:pStyle w:val="SourceNote"/>
      </w:pPr>
      <w:r>
        <w:rPr>
          <w:b/>
        </w:rPr>
        <w:t>Group ID:</w:t>
      </w:r>
      <w:r>
        <w:t xml:space="preserve"> group-15279ee17d33f213394a</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A critical perspective on the European Commission’s publications ‘Evaluating the impact of nature-based solutions’ — https://doi.org/10.1016/j.nbsj.2022.100027</w:t>
      </w:r>
    </w:p>
    <w:p>
      <w:pPr/>
      <w:r>
        <w:rPr>
          <w:b/>
        </w:rPr>
        <w:t>Later source:</w:t>
      </w:r>
      <w:r>
        <w:t xml:space="preserve"> The expected impact of cultivated and plant-based meats on jobs: the views of experts from Brazil, the United States and Europe — https://doi.org/10.1057/s41599-022-01316-z</w:t>
      </w:r>
    </w:p>
    <w:p>
      <w:pPr>
        <w:pStyle w:val="SourceNote"/>
      </w:pPr>
      <w:r>
        <w:rPr>
          <w:b/>
        </w:rPr>
        <w:t>Review status:</w:t>
      </w:r>
      <w:r>
        <w:t xml:space="preserve"> unchecked — group association only; no outcome judgment</w:t>
      </w:r>
    </w:p>
    <w:p>
      <w:pPr>
        <w:pStyle w:val="Heading2"/>
      </w:pPr>
      <w:r>
        <w:t>336. Claim + two later sources: UK-EU RELATIONSHIP AFTER BREXIT: AN EXERCISE IN SCENARIO-BUILDING</w:t>
      </w:r>
    </w:p>
    <w:p>
      <w:pPr>
        <w:pStyle w:val="SourceNote"/>
      </w:pPr>
      <w:r>
        <w:rPr>
          <w:b/>
        </w:rPr>
        <w:t>Group ID:</w:t>
      </w:r>
      <w:r>
        <w:t xml:space="preserve"> group-334bbc355d1441e0ae7b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Unsettling mainstream academic debates on community-based energy governance: Exploring the Japanese experience — https://doi.org/10.1016/j.rser.2024.114994</w:t>
      </w:r>
    </w:p>
    <w:p>
      <w:pPr/>
      <w:r>
        <w:rPr>
          <w:b/>
        </w:rPr>
        <w:t>Later source:</w:t>
      </w:r>
      <w:r>
        <w:t xml:space="preserve"> Sustainable development in the European Union — https://doi.org/10.4324/9780429262081-25</w:t>
      </w:r>
    </w:p>
    <w:p>
      <w:pPr>
        <w:pStyle w:val="SourceNote"/>
      </w:pPr>
      <w:r>
        <w:rPr>
          <w:b/>
        </w:rPr>
        <w:t>Review status:</w:t>
      </w:r>
      <w:r>
        <w:t xml:space="preserve"> unchecked — group association only; no outcome judgment</w:t>
      </w:r>
    </w:p>
    <w:p>
      <w:pPr>
        <w:pStyle w:val="Heading2"/>
      </w:pPr>
      <w:r>
        <w:t>337. Claim + two later sources: Potential of extensification of European agriculture for a more sustainable food system, focusing on nitrogen</w:t>
      </w:r>
    </w:p>
    <w:p>
      <w:pPr>
        <w:pStyle w:val="SourceNote"/>
      </w:pPr>
      <w:r>
        <w:rPr>
          <w:b/>
        </w:rPr>
        <w:t>Group ID:</w:t>
      </w:r>
      <w:r>
        <w:t xml:space="preserve"> group-4e87f3ff58e648ca3019</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Trends within Sustainability in Food Loss and Waste in EU27 Countries — https://doi.org/10.2478/crdj-2025-0003</w:t>
      </w:r>
    </w:p>
    <w:p>
      <w:pPr/>
      <w:r>
        <w:rPr>
          <w:b/>
        </w:rPr>
        <w:t>Later source:</w:t>
      </w:r>
      <w:r>
        <w:t xml:space="preserve"> Research Performance on the UN Sustainable Development Goals in the EU27 (2019–2023) — https://doi.org/10.3390/admsci15090361</w:t>
      </w:r>
    </w:p>
    <w:p>
      <w:pPr>
        <w:pStyle w:val="SourceNote"/>
      </w:pPr>
      <w:r>
        <w:rPr>
          <w:b/>
        </w:rPr>
        <w:t>Review status:</w:t>
      </w:r>
      <w:r>
        <w:t xml:space="preserve"> unchecked — group association only; no outcome judgment</w:t>
      </w:r>
    </w:p>
    <w:p>
      <w:pPr>
        <w:pStyle w:val="Heading2"/>
      </w:pPr>
      <w:r>
        <w:t>338. Claim + two later sources: Efficiency of the European Union farm types: Scenarios with and without the 2013 CAP measures</w:t>
      </w:r>
    </w:p>
    <w:p>
      <w:pPr>
        <w:pStyle w:val="SourceNote"/>
      </w:pPr>
      <w:r>
        <w:rPr>
          <w:b/>
        </w:rPr>
        <w:t>Group ID:</w:t>
      </w:r>
      <w:r>
        <w:t xml:space="preserve"> group-48684f5668d8179e2db6</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ANALYSIS OF FARMS IN ROMANIA IN THE CONTEXT OF THE EUROPEAN UNION — https://doi.org/10.46793/zbiep25.153ms</w:t>
      </w:r>
    </w:p>
    <w:p>
      <w:pPr>
        <w:pStyle w:val="SourceNote"/>
      </w:pPr>
      <w:r>
        <w:rPr>
          <w:b/>
        </w:rPr>
        <w:t>Review status:</w:t>
      </w:r>
      <w:r>
        <w:t xml:space="preserve"> unchecked — group association only; no outcome judgment</w:t>
      </w:r>
    </w:p>
    <w:p>
      <w:pPr>
        <w:pStyle w:val="Heading2"/>
      </w:pPr>
      <w:r>
        <w:t>339. Claim + two later sources: Towards a decarbonised building stock by 2050: The meaning and the role of zero emission buildings (ZEBs) in Europe</w:t>
      </w:r>
    </w:p>
    <w:p>
      <w:pPr>
        <w:pStyle w:val="SourceNote"/>
      </w:pPr>
      <w:r>
        <w:rPr>
          <w:b/>
        </w:rPr>
        <w:t>Group ID:</w:t>
      </w:r>
      <w:r>
        <w:t xml:space="preserve"> group-9f4e8ade4fbf3316294c</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Enhancing the Energy Transition of European Cities through Energy Communities — https://doi.org/10.1007/s11067-026-09759-6</w:t>
      </w:r>
    </w:p>
    <w:p>
      <w:pPr>
        <w:pStyle w:val="SourceNote"/>
      </w:pPr>
      <w:r>
        <w:rPr>
          <w:b/>
        </w:rPr>
        <w:t>Review status:</w:t>
      </w:r>
      <w:r>
        <w:t xml:space="preserve"> unchecked — group association only; no outcome judgment</w:t>
      </w:r>
    </w:p>
    <w:p>
      <w:pPr>
        <w:pStyle w:val="Heading2"/>
      </w:pPr>
      <w:r>
        <w:t>340. Claim + two later sources: New European socio-economic scenarios for climate change research: operationalising concepts to extend the shared socio-economic pathways</w:t>
      </w:r>
    </w:p>
    <w:p>
      <w:pPr>
        <w:pStyle w:val="SourceNote"/>
      </w:pPr>
      <w:r>
        <w:rPr>
          <w:b/>
        </w:rPr>
        <w:t>Group ID:</w:t>
      </w:r>
      <w:r>
        <w:t xml:space="preserve"> group-f4e87e4e369099fdddfd</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Nitrogen palaeo-isoscapes: Changing spatial gradients of faunal δ15N in late Pleistocene and early Holocene Europe — https://doi.org/10.1371/journal.pone.0268607</w:t>
      </w:r>
    </w:p>
    <w:p>
      <w:pPr>
        <w:pStyle w:val="SourceNote"/>
      </w:pPr>
      <w:r>
        <w:rPr>
          <w:b/>
        </w:rPr>
        <w:t>Review status:</w:t>
      </w:r>
      <w:r>
        <w:t xml:space="preserve"> unchecked — group association only; no outcome judgment</w:t>
      </w:r>
    </w:p>
    <w:p>
      <w:pPr>
        <w:pStyle w:val="Heading2"/>
      </w:pPr>
      <w:r>
        <w:t>341. Claim + two later sources: On European metropolisation scenarios and the future course of metropolitan development in Poland</w:t>
      </w:r>
    </w:p>
    <w:p>
      <w:pPr>
        <w:pStyle w:val="SourceNote"/>
      </w:pPr>
      <w:r>
        <w:rPr>
          <w:b/>
        </w:rPr>
        <w:t>Group ID:</w:t>
      </w:r>
      <w:r>
        <w:t xml:space="preserve"> group-50cbaa30f45e675f30b7</w:t>
      </w:r>
    </w:p>
    <w:p>
      <w:pPr>
        <w:pStyle w:val="SourceNote"/>
      </w:pPr>
      <w:r>
        <w:rPr>
          <w:b/>
        </w:rPr>
        <w:t>Original source:</w:t>
      </w:r>
      <w:r>
        <w:t xml:space="preserve"> https://doi.org/10.7163/gpol.0008</w:t>
      </w:r>
    </w:p>
    <w:p>
      <w:pPr/>
      <w:r>
        <w:rPr>
          <w:b/>
        </w:rPr>
        <w:t>Original future claim:</w:t>
      </w:r>
      <w:r>
        <w:t xml:space="preserve">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Later source:</w:t>
      </w:r>
      <w:r>
        <w:t xml:space="preserve"> Tracing the Feminist Maternal in a European Context: A Review — https://doi.org/10.1017/hyp.2024.26</w:t>
      </w:r>
    </w:p>
    <w:p>
      <w:pPr/>
      <w:r>
        <w:rPr>
          <w:b/>
        </w:rPr>
        <w:t>Later source:</w:t>
      </w:r>
      <w:r>
        <w:t xml:space="preserve"> LEGAL BASES OF PUBLIC ADMINISTRATION IN THE CONTEXT OF EUROPEAN INTEGRATION OF UKRAINE: QUESTIONS OF FORMATION OF A PERSONNEL RESERVE — https://openalex.org/W3210655204</w:t>
      </w:r>
    </w:p>
    <w:p>
      <w:pPr>
        <w:pStyle w:val="SourceNote"/>
      </w:pPr>
      <w:r>
        <w:rPr>
          <w:b/>
        </w:rPr>
        <w:t>Review status:</w:t>
      </w:r>
      <w:r>
        <w:t xml:space="preserve"> unchecked — group association only; no outcome judgment</w:t>
      </w:r>
    </w:p>
    <w:p>
      <w:pPr>
        <w:pStyle w:val="Heading2"/>
      </w:pPr>
      <w:r>
        <w:t>342. Claim + two later sources: Convergence of Population Structures of the European Union Member States—The Past and the Future</w:t>
      </w:r>
    </w:p>
    <w:p>
      <w:pPr>
        <w:pStyle w:val="SourceNote"/>
      </w:pPr>
      <w:r>
        <w:rPr>
          <w:b/>
        </w:rPr>
        <w:t>Group ID:</w:t>
      </w:r>
      <w:r>
        <w:t xml:space="preserve"> group-b325d9677298fef2bc39</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Later source:</w:t>
      </w:r>
      <w:r>
        <w:t xml:space="preserve"> Impact of climate change on human mortality patterns — https://doi.org/10.48676/unibo/amsdottorato/13040</w:t>
      </w:r>
    </w:p>
    <w:p>
      <w:pPr>
        <w:pStyle w:val="SourceNote"/>
      </w:pPr>
      <w:r>
        <w:rPr>
          <w:b/>
        </w:rPr>
        <w:t>Review status:</w:t>
      </w:r>
      <w:r>
        <w:t xml:space="preserve"> unchecked — group association only; no outcome judgment</w:t>
      </w:r>
    </w:p>
    <w:p>
      <w:pPr>
        <w:pStyle w:val="Heading2"/>
      </w:pPr>
      <w:r>
        <w:t>343. Claim + two later sources: More green infrastructure is required to maintain ecosystem services under current trends in land-use change in Europe</w:t>
      </w:r>
    </w:p>
    <w:p>
      <w:pPr>
        <w:pStyle w:val="SourceNote"/>
      </w:pPr>
      <w:r>
        <w:rPr>
          <w:b/>
        </w:rPr>
        <w:t>Group ID:</w:t>
      </w:r>
      <w:r>
        <w:t xml:space="preserve"> group-3b4028b93a99d23c2060</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Health impacts methodology in the European Commission — https://doi.org/10.1093/eurpub/ckae144.120</w:t>
      </w:r>
    </w:p>
    <w:p>
      <w:pPr>
        <w:pStyle w:val="SourceNote"/>
      </w:pPr>
      <w:r>
        <w:rPr>
          <w:b/>
        </w:rPr>
        <w:t>Review status:</w:t>
      </w:r>
      <w:r>
        <w:t xml:space="preserve"> unchecked — group association only; no outcome judgment</w:t>
      </w:r>
    </w:p>
    <w:p>
      <w:pPr>
        <w:pStyle w:val="Heading2"/>
      </w:pPr>
      <w:r>
        <w:t>344. Claim + two later sources: Finland-Russia rail transport deregulation: future scenarios of market development</w:t>
      </w:r>
    </w:p>
    <w:p>
      <w:pPr>
        <w:pStyle w:val="SourceNote"/>
      </w:pPr>
      <w:r>
        <w:rPr>
          <w:b/>
        </w:rPr>
        <w:t>Group ID:</w:t>
      </w:r>
      <w:r>
        <w:t xml:space="preserve"> group-46a1cd04e6fa840add4a</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What kind of Europe do Europeans want? — https://doi.org/10.1080/01402382.2026.2662871</w:t>
      </w:r>
    </w:p>
    <w:p>
      <w:pPr/>
      <w:r>
        <w:rPr>
          <w:b/>
        </w:rPr>
        <w:t>Later source:</w:t>
      </w:r>
      <w:r>
        <w:t xml:space="preserve"> Prevalence of congenital heart defects in Europe, 2008–2015: A registry‐based study — https://doi.org/10.1002/bdr2.2117</w:t>
      </w:r>
    </w:p>
    <w:p>
      <w:pPr>
        <w:pStyle w:val="SourceNote"/>
      </w:pPr>
      <w:r>
        <w:rPr>
          <w:b/>
        </w:rPr>
        <w:t>Review status:</w:t>
      </w:r>
      <w:r>
        <w:t xml:space="preserve"> unchecked — group association only; no outcome judgment</w:t>
      </w:r>
    </w:p>
    <w:p>
      <w:pPr>
        <w:pStyle w:val="Heading2"/>
      </w:pPr>
      <w:r>
        <w:t>345. Claim + two later sources: Futuribles of learning 2030 - Delphi supports the reform of the core curricula in Finland</w:t>
      </w:r>
    </w:p>
    <w:p>
      <w:pPr>
        <w:pStyle w:val="SourceNote"/>
      </w:pPr>
      <w:r>
        <w:rPr>
          <w:b/>
        </w:rPr>
        <w:t>Group ID:</w:t>
      </w:r>
      <w:r>
        <w:t xml:space="preserve"> group-582631827835ad7a482d</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A Review of the AGE Barometer 2023: EU Good Practices and Barriers in the Empowerment of Elderly in the Labour Market - The Case of Hungary — https://doi.org/10.47225/mg/15/42/14315</w:t>
      </w:r>
    </w:p>
    <w:p>
      <w:pPr/>
      <w:r>
        <w:rPr>
          <w:b/>
        </w:rPr>
        <w:t>Later source:</w:t>
      </w:r>
      <w:r>
        <w:t xml:space="preserve"> Seabird sentinels: The barometer for island conservation in a changing world — https://openalex.org/W2810691331</w:t>
      </w:r>
    </w:p>
    <w:p>
      <w:pPr>
        <w:pStyle w:val="SourceNote"/>
      </w:pPr>
      <w:r>
        <w:rPr>
          <w:b/>
        </w:rPr>
        <w:t>Review status:</w:t>
      </w:r>
      <w:r>
        <w:t xml:space="preserve"> unchecked — group association only; no outcome judgment</w:t>
      </w:r>
    </w:p>
    <w:p>
      <w:pPr>
        <w:pStyle w:val="Heading2"/>
      </w:pPr>
      <w:r>
        <w:t>346. Claim + two later sources: Making or breaking climate targets: The AMPERE study on staged accession scenarios for climate policy</w:t>
      </w:r>
    </w:p>
    <w:p>
      <w:pPr>
        <w:pStyle w:val="SourceNote"/>
      </w:pPr>
      <w:r>
        <w:rPr>
          <w:b/>
        </w:rPr>
        <w:t>Group ID:</w:t>
      </w:r>
      <w:r>
        <w:t xml:space="preserve"> group-3071cd88d609b01c0503</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China Image Construction during the Covid-19 Epidemic: Multimodal Discourse Analysis based on the China-Related Front Cover of The Economist — https://doi.org/10.61935/asder.1.1.2023.p194</w:t>
      </w:r>
    </w:p>
    <w:p>
      <w:pPr/>
      <w:r>
        <w:rPr>
          <w:b/>
        </w:rPr>
        <w:t>Later source:</w:t>
      </w:r>
      <w:r>
        <w:t xml:space="preserve"> Observations of near-inertial oscillations trapped at inclined front on continental shelf of the northwestern South China Sea — https://doi.org/10.5194/egusphere-2024-3909</w:t>
      </w:r>
    </w:p>
    <w:p>
      <w:pPr>
        <w:pStyle w:val="SourceNote"/>
      </w:pPr>
      <w:r>
        <w:rPr>
          <w:b/>
        </w:rPr>
        <w:t>Review status:</w:t>
      </w:r>
      <w:r>
        <w:t xml:space="preserve"> unchecked — group association only; no outcome judgment</w:t>
      </w:r>
    </w:p>
    <w:p>
      <w:pPr>
        <w:pStyle w:val="Heading2"/>
      </w:pPr>
      <w:r>
        <w:t>347. Claim + two later sources: Impact of demographic changes and screening colonoscopy on long-term projection of incident colorectal cancer cases in Germany: A modelling study</w:t>
      </w:r>
    </w:p>
    <w:p>
      <w:pPr>
        <w:pStyle w:val="SourceNote"/>
      </w:pPr>
      <w:r>
        <w:rPr>
          <w:b/>
        </w:rPr>
        <w:t>Group ID:</w:t>
      </w:r>
      <w:r>
        <w:t xml:space="preserve"> group-423f0e158a335fcb98b1</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The Price of Speed: Estimating the Impact of List Prices on Time to Availability of New Medicines in 18 European Countries — https://doi.org/10.1007/s40258-026-01053-3</w:t>
      </w:r>
    </w:p>
    <w:p>
      <w:pPr>
        <w:pStyle w:val="SourceNote"/>
      </w:pPr>
      <w:r>
        <w:rPr>
          <w:b/>
        </w:rPr>
        <w:t>Review status:</w:t>
      </w:r>
      <w:r>
        <w:t xml:space="preserve"> unchecked — group association only; no outcome judgment</w:t>
      </w:r>
    </w:p>
    <w:p>
      <w:pPr>
        <w:pStyle w:val="Heading2"/>
      </w:pPr>
      <w:r>
        <w:t>348. Claim + two later sources: Potential for hydrogen and Power-to-Liquid in a low-carbon EU energy system using cost optimization</w:t>
      </w:r>
    </w:p>
    <w:p>
      <w:pPr>
        <w:pStyle w:val="SourceNote"/>
      </w:pPr>
      <w:r>
        <w:rPr>
          <w:b/>
        </w:rPr>
        <w:t>Group ID:</w:t>
      </w:r>
      <w:r>
        <w:t xml:space="preserve"> group-c6803f4222d78d280ea3</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Regional Pathways to Internationalization: The Role of Erasmus+ in European HEIs — https://doi.org/10.3390/urbansci9050144</w:t>
      </w:r>
    </w:p>
    <w:p>
      <w:pPr/>
      <w:r>
        <w:rPr>
          <w:b/>
        </w:rPr>
        <w:t>Later source:</w:t>
      </w:r>
      <w:r>
        <w:t xml:space="preserve"> The potential role of a hydrogen network in Europe — https://doi.org/10.1016/j.joule.2023.06.016</w:t>
      </w:r>
    </w:p>
    <w:p>
      <w:pPr>
        <w:pStyle w:val="SourceNote"/>
      </w:pPr>
      <w:r>
        <w:rPr>
          <w:b/>
        </w:rPr>
        <w:t>Review status:</w:t>
      </w:r>
      <w:r>
        <w:t xml:space="preserve"> unchecked — group association only; no outcome judgment</w:t>
      </w:r>
    </w:p>
    <w:p>
      <w:pPr>
        <w:pStyle w:val="Heading2"/>
      </w:pPr>
      <w:r>
        <w:t>349. Claim + two later sources: Multi-model ensemble simulations of olive pollen distribution in Europe in 2014: current status and outlook</w:t>
      </w:r>
    </w:p>
    <w:p>
      <w:pPr>
        <w:pStyle w:val="SourceNote"/>
      </w:pPr>
      <w:r>
        <w:rPr>
          <w:b/>
        </w:rPr>
        <w:t>Group ID:</w:t>
      </w:r>
      <w:r>
        <w:t xml:space="preserve"> group-436167e808b9e61b6ea2</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Factors explaining adolescents’ digital skills in Europe — https://doi.org/10.1057/s41599-025-05241-9</w:t>
      </w:r>
    </w:p>
    <w:p>
      <w:pPr/>
      <w:r>
        <w:rPr>
          <w:b/>
        </w:rPr>
        <w:t>Later source:</w:t>
      </w:r>
      <w:r>
        <w:t xml:space="preserve"> The Determinants of Internet User Skills in Europe — https://doi.org/10.20944/preprints202205.0263.v1</w:t>
      </w:r>
    </w:p>
    <w:p>
      <w:pPr>
        <w:pStyle w:val="SourceNote"/>
      </w:pPr>
      <w:r>
        <w:rPr>
          <w:b/>
        </w:rPr>
        <w:t>Review status:</w:t>
      </w:r>
      <w:r>
        <w:t xml:space="preserve"> unchecked — group association only; no outcome judgment</w:t>
      </w:r>
    </w:p>
    <w:p>
      <w:pPr>
        <w:pStyle w:val="Heading2"/>
      </w:pPr>
      <w:r>
        <w:t>350. Claim + two later sources: Policy insights and modelling challenges: The case of passenger car powertrain technology transition in the European Union</w:t>
      </w:r>
    </w:p>
    <w:p>
      <w:pPr>
        <w:pStyle w:val="SourceNote"/>
      </w:pPr>
      <w:r>
        <w:rPr>
          <w:b/>
        </w:rPr>
        <w:t>Group ID:</w:t>
      </w:r>
      <w:r>
        <w:t xml:space="preserve"> group-ee7f5e71050da5edeb49</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Media Policy Transfer in Europe — https://doi.org/10.1017/9781009568159.013</w:t>
      </w:r>
    </w:p>
    <w:p>
      <w:pPr/>
      <w:r>
        <w:rPr>
          <w:b/>
        </w:rPr>
        <w:t>Later source:</w:t>
      </w:r>
      <w:r>
        <w:t xml:space="preserve"> Transfer of Green Policies from European Union to its Member States — https://openalex.org/W7165424889</w:t>
      </w:r>
    </w:p>
    <w:p>
      <w:pPr>
        <w:pStyle w:val="SourceNote"/>
      </w:pPr>
      <w:r>
        <w:rPr>
          <w:b/>
        </w:rPr>
        <w:t>Review status:</w:t>
      </w:r>
      <w:r>
        <w:t xml:space="preserve"> unchecked — group association only; no outcome judgment</w:t>
      </w:r>
    </w:p>
    <w:p>
      <w:pPr>
        <w:pStyle w:val="Heading2"/>
      </w:pPr>
      <w:r>
        <w:t>351. Claim + two later sources: Soil Governance in current European Union Law and in the European Green Deal</w:t>
      </w:r>
    </w:p>
    <w:p>
      <w:pPr>
        <w:pStyle w:val="SourceNote"/>
      </w:pPr>
      <w:r>
        <w:rPr>
          <w:b/>
        </w:rPr>
        <w:t>Group ID:</w:t>
      </w:r>
      <w:r>
        <w:t xml:space="preserve"> group-1d2fa38f64774551efa2</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Critical materials and manufacturing: Comparing China, the European Union, Japan, and the United States — https://doi.org/10.1016/j.rcradv.2025.200250</w:t>
      </w:r>
    </w:p>
    <w:p>
      <w:pPr/>
      <w:r>
        <w:rPr>
          <w:b/>
        </w:rPr>
        <w:t>Later source:</w:t>
      </w:r>
      <w:r>
        <w:t xml:space="preserve"> A systematic review of regulatory strategies and transparency mandates in AI regulation in Europe, the United States, and Canada — https://doi.org/10.1017/dap.2024.54</w:t>
      </w:r>
    </w:p>
    <w:p>
      <w:pPr>
        <w:pStyle w:val="SourceNote"/>
      </w:pPr>
      <w:r>
        <w:rPr>
          <w:b/>
        </w:rPr>
        <w:t>Review status:</w:t>
      </w:r>
      <w:r>
        <w:t xml:space="preserve"> unchecked — group association only; no outcome judgment</w:t>
      </w:r>
    </w:p>
    <w:p>
      <w:pPr>
        <w:pStyle w:val="Heading2"/>
      </w:pPr>
      <w:r>
        <w:t>352.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group-42492d149d40a047be18</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Housing affordability and poverty in Europe: on the deteriorating position of market renters — https://doi.org/10.1017/s0047279423000703</w:t>
      </w:r>
    </w:p>
    <w:p>
      <w:pPr/>
      <w:r>
        <w:rPr>
          <w:b/>
        </w:rPr>
        <w:t>Later source:</w:t>
      </w:r>
      <w:r>
        <w:t xml:space="preserve"> Storm and fire disturbances in Europe: Distribution and trends — https://doi.org/10.1111/gcb.15679</w:t>
      </w:r>
    </w:p>
    <w:p>
      <w:pPr>
        <w:pStyle w:val="SourceNote"/>
      </w:pPr>
      <w:r>
        <w:rPr>
          <w:b/>
        </w:rPr>
        <w:t>Review status:</w:t>
      </w:r>
      <w:r>
        <w:t xml:space="preserve"> unchecked — group association only; no outcome judgment</w:t>
      </w:r>
    </w:p>
    <w:p>
      <w:pPr>
        <w:pStyle w:val="Heading2"/>
      </w:pPr>
      <w:r>
        <w:t>353.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group-493a87c30fc5e2dc427c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Convergence of accounting systems through the lens of accounting theory and harmonization paradigms — https://doi.org/10.17072/1994-9960-2024-3-300-325</w:t>
      </w:r>
    </w:p>
    <w:p>
      <w:pPr>
        <w:pStyle w:val="SourceNote"/>
      </w:pPr>
      <w:r>
        <w:rPr>
          <w:b/>
        </w:rPr>
        <w:t>Review status:</w:t>
      </w:r>
      <w:r>
        <w:t xml:space="preserve"> unchecked — group association only; no outcome judgment</w:t>
      </w:r>
    </w:p>
    <w:p>
      <w:pPr>
        <w:pStyle w:val="Heading2"/>
      </w:pPr>
      <w:r>
        <w:t>354. Claim + two later sources: Achieving agricultural greenhouse gas emission reductions in the EU post‐2030: What options do we have?</w:t>
      </w:r>
    </w:p>
    <w:p>
      <w:pPr>
        <w:pStyle w:val="SourceNote"/>
      </w:pPr>
      <w:r>
        <w:rPr>
          <w:b/>
        </w:rPr>
        <w:t>Group ID:</w:t>
      </w:r>
      <w:r>
        <w:t xml:space="preserve"> group-e20228c4f0b63f550c9c</w:t>
      </w:r>
    </w:p>
    <w:p>
      <w:pPr>
        <w:pStyle w:val="SourceNote"/>
      </w:pPr>
      <w:r>
        <w:rPr>
          <w:b/>
        </w:rPr>
        <w:t>Original source:</w:t>
      </w:r>
      <w:r>
        <w:t xml:space="preserve"> https://doi.org/10.1111/reel.12448</w:t>
      </w:r>
    </w:p>
    <w:p>
      <w:pPr/>
      <w:r>
        <w:rPr>
          <w:b/>
        </w:rPr>
        <w:t>Original future claim:</w:t>
      </w:r>
      <w:r>
        <w:t xml:space="preserve">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Regulatory Landscape of Nutraceuticals in the European Union — https://doi.org/10.1201/9781003465041-9</w:t>
      </w:r>
    </w:p>
    <w:p>
      <w:pPr/>
      <w:r>
        <w:rPr>
          <w:b/>
        </w:rPr>
        <w:t>Later source:</w:t>
      </w:r>
      <w:r>
        <w:t xml:space="preserve"> Accounting regulation in the European Union — https://doi.org/10.1007/s11142-025-09909-0</w:t>
      </w:r>
    </w:p>
    <w:p>
      <w:pPr>
        <w:pStyle w:val="SourceNote"/>
      </w:pPr>
      <w:r>
        <w:rPr>
          <w:b/>
        </w:rPr>
        <w:t>Review status:</w:t>
      </w:r>
      <w:r>
        <w:t xml:space="preserve"> unchecked — group association only; no outcome judgment</w:t>
      </w:r>
    </w:p>
    <w:p>
      <w:pPr>
        <w:pStyle w:val="Heading2"/>
      </w:pPr>
      <w:r>
        <w:t>355. Claim + two later sources: Carrying out a multi-model integrated assessment of European energy transition pathways: Challenges and benefits</w:t>
      </w:r>
    </w:p>
    <w:p>
      <w:pPr>
        <w:pStyle w:val="SourceNote"/>
      </w:pPr>
      <w:r>
        <w:rPr>
          <w:b/>
        </w:rPr>
        <w:t>Group ID:</w:t>
      </w:r>
      <w:r>
        <w:t xml:space="preserve"> group-6d5611ddf317450b976e</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Federated learning in Healthcare across Europe: Challenges and Insights from the BETTER Project — https://openalex.org/W7204062183</w:t>
      </w:r>
    </w:p>
    <w:p>
      <w:pPr/>
      <w:r>
        <w:rPr>
          <w:b/>
        </w:rPr>
        <w:t>Later source:</w:t>
      </w:r>
      <w:r>
        <w:t xml:space="preserve"> Can democratic innovations tackle social-ecological challenges? Gaining insights on transformative governance across European cases — https://doi.org/10.1007/s42532-025-00225-0</w:t>
      </w:r>
    </w:p>
    <w:p>
      <w:pPr>
        <w:pStyle w:val="SourceNote"/>
      </w:pPr>
      <w:r>
        <w:rPr>
          <w:b/>
        </w:rPr>
        <w:t>Review status:</w:t>
      </w:r>
      <w:r>
        <w:t xml:space="preserve"> unchecked — group association only; no outcome judgment</w:t>
      </w:r>
    </w:p>
    <w:p>
      <w:pPr>
        <w:pStyle w:val="Heading2"/>
      </w:pPr>
      <w:r>
        <w:t>356.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group-c32ec7ea24f4d7b0e8aa</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Mapping the European Negotiation Landscape: Insights from the 2025 European Negotiation Conference — https://doi.org/10.70714/x3jghe28</w:t>
      </w:r>
    </w:p>
    <w:p>
      <w:pPr>
        <w:pStyle w:val="SourceNote"/>
      </w:pPr>
      <w:r>
        <w:rPr>
          <w:b/>
        </w:rPr>
        <w:t>Review status:</w:t>
      </w:r>
      <w:r>
        <w:t xml:space="preserve"> unchecked — group association only; no outcome judgment</w:t>
      </w:r>
    </w:p>
    <w:p>
      <w:pPr>
        <w:pStyle w:val="Heading2"/>
      </w:pPr>
      <w:r>
        <w:t>357. Claim + two later sources: Systemic Design for Policy-Making: Towards the Next Circular Regions</w:t>
      </w:r>
    </w:p>
    <w:p>
      <w:pPr>
        <w:pStyle w:val="SourceNote"/>
      </w:pPr>
      <w:r>
        <w:rPr>
          <w:b/>
        </w:rPr>
        <w:t>Group ID:</w:t>
      </w:r>
      <w:r>
        <w:t xml:space="preserve"> group-9b075c41fc6f521c488c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Business Model Innovation for Circular Transformation in the Built Environment — https://doi.org/10.1007/978-3-032-35104-3_109</w:t>
      </w:r>
    </w:p>
    <w:p>
      <w:pPr/>
      <w:r>
        <w:rPr>
          <w:b/>
        </w:rPr>
        <w:t>Later source:</w:t>
      </w:r>
      <w:r>
        <w:t xml:space="preserve"> ECONOMIC MONITORING OF THE CIRCULAR TRANSFORMATION AS A CHALLENGE FOR MECHANICAL ENGINEERING — https://openalex.org/W7215135237</w:t>
      </w:r>
    </w:p>
    <w:p>
      <w:pPr>
        <w:pStyle w:val="SourceNote"/>
      </w:pPr>
      <w:r>
        <w:rPr>
          <w:b/>
        </w:rPr>
        <w:t>Review status:</w:t>
      </w:r>
      <w:r>
        <w:t xml:space="preserve"> unchecked — group association only; no outcome judgment</w:t>
      </w:r>
    </w:p>
    <w:p>
      <w:pPr>
        <w:pStyle w:val="Heading2"/>
      </w:pPr>
      <w:r>
        <w:t>358. Claim + two later sources: O4-2.1 Foresight tackling obesities: future choices</w:t>
      </w:r>
    </w:p>
    <w:p>
      <w:pPr>
        <w:pStyle w:val="SourceNote"/>
      </w:pPr>
      <w:r>
        <w:rPr>
          <w:b/>
        </w:rPr>
        <w:t>Group ID:</w:t>
      </w:r>
      <w:r>
        <w:t xml:space="preserve"> group-2fefaafb3c96dc227db9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Farmer flexibility concerning future rotation planning is affected by the framing of climate predictions — https://doi.org/10.1016/j.crm.2021.100356</w:t>
      </w:r>
    </w:p>
    <w:p>
      <w:pPr/>
      <w:r>
        <w:rPr>
          <w:b/>
        </w:rPr>
        <w:t>Later source:</w:t>
      </w:r>
      <w:r>
        <w:t xml:space="preserve"> Solar cycle prediction — https://doi.org/10.1007/s41116-020-0022-z</w:t>
      </w:r>
    </w:p>
    <w:p>
      <w:pPr>
        <w:pStyle w:val="SourceNote"/>
      </w:pPr>
      <w:r>
        <w:rPr>
          <w:b/>
        </w:rPr>
        <w:t>Review status:</w:t>
      </w:r>
      <w:r>
        <w:t xml:space="preserve"> unchecked — group association only; no outcome judgment</w:t>
      </w:r>
    </w:p>
    <w:p>
      <w:pPr>
        <w:pStyle w:val="Heading2"/>
      </w:pPr>
      <w:r>
        <w:t>359. Claim + two later sources: A 2050 perspective on the role for carbon capture and storage in the European power system and industry sector</w:t>
      </w:r>
    </w:p>
    <w:p>
      <w:pPr>
        <w:pStyle w:val="SourceNote"/>
      </w:pPr>
      <w:r>
        <w:rPr>
          <w:b/>
        </w:rPr>
        <w:t>Group ID:</w:t>
      </w:r>
      <w:r>
        <w:t xml:space="preserve"> group-e3543df5ce1c10f539b0</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Modelling of Soil Multifunctionality Across Europe — https://doi.org/10.1111/sum.70147</w:t>
      </w:r>
    </w:p>
    <w:p>
      <w:pPr/>
      <w:r>
        <w:rPr>
          <w:b/>
        </w:rPr>
        <w:t>Later source:</w:t>
      </w:r>
      <w:r>
        <w:t xml:space="preserve"> A unifying modelling of multiple land degradation pathways in Europe — https://doi.org/10.1038/s41467-024-48252-x</w:t>
      </w:r>
    </w:p>
    <w:p>
      <w:pPr>
        <w:pStyle w:val="SourceNote"/>
      </w:pPr>
      <w:r>
        <w:rPr>
          <w:b/>
        </w:rPr>
        <w:t>Review status:</w:t>
      </w:r>
      <w:r>
        <w:t xml:space="preserve"> unchecked — group association only; no outcome judgment</w:t>
      </w:r>
    </w:p>
    <w:p>
      <w:pPr>
        <w:pStyle w:val="Heading2"/>
      </w:pPr>
      <w:r>
        <w:t>360. Claim + two later sources: Impact of climate change on ozone-related mortality and morbidity in Europe</w:t>
      </w:r>
    </w:p>
    <w:p>
      <w:pPr>
        <w:pStyle w:val="SourceNote"/>
      </w:pPr>
      <w:r>
        <w:rPr>
          <w:b/>
        </w:rPr>
        <w:t>Group ID:</w:t>
      </w:r>
      <w:r>
        <w:t xml:space="preserve"> group-3d61103cff9f3e3005de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New baselines, new extremes? Assessing the impact of reference periods on climate extremes in Central Europe — https://doi.org/10.5194/ems2025-601</w:t>
      </w:r>
    </w:p>
    <w:p>
      <w:pPr/>
      <w:r>
        <w:rPr>
          <w:b/>
        </w:rPr>
        <w:t>Later source:</w:t>
      </w:r>
      <w:r>
        <w:t xml:space="preserve"> Diverging trends in large floods across Europe in a warming climate — https://doi.org/10.1038/s43247-025-02734-y</w:t>
      </w:r>
    </w:p>
    <w:p>
      <w:pPr>
        <w:pStyle w:val="SourceNote"/>
      </w:pPr>
      <w:r>
        <w:rPr>
          <w:b/>
        </w:rPr>
        <w:t>Review status:</w:t>
      </w:r>
      <w:r>
        <w:t xml:space="preserve"> unchecked — group association only; no outcome judgment</w:t>
      </w:r>
    </w:p>
    <w:p>
      <w:pPr>
        <w:pStyle w:val="Heading2"/>
      </w:pPr>
      <w:r>
        <w:t>361. Claim + two later sources: Perspectives from 2037—Can Environmental Impact Assessment be the Solution for an Early Consideration of Climate Change-related Impacts?</w:t>
      </w:r>
    </w:p>
    <w:p>
      <w:pPr>
        <w:pStyle w:val="SourceNote"/>
      </w:pPr>
      <w:r>
        <w:rPr>
          <w:b/>
        </w:rPr>
        <w:t>Group ID:</w:t>
      </w:r>
      <w:r>
        <w:t xml:space="preserve"> group-5864fc5c7fa04d206188</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Exploring the Narrative and Aesthetic Aspects of Huanglong Opera in Nong'an County Jilin Province China — https://doi.org/10.60027/ijsasr.2024.3930</w:t>
      </w:r>
    </w:p>
    <w:p>
      <w:pPr/>
      <w:r>
        <w:rPr>
          <w:b/>
        </w:rPr>
        <w:t>Later source:</w:t>
      </w:r>
      <w:r>
        <w:t xml:space="preserve"> Elaborating, sharing, narrating: a narrative analysis of three approaches to health communication — https://doi.org/10.1590/interface.230172</w:t>
      </w:r>
    </w:p>
    <w:p>
      <w:pPr>
        <w:pStyle w:val="SourceNote"/>
      </w:pPr>
      <w:r>
        <w:rPr>
          <w:b/>
        </w:rPr>
        <w:t>Review status:</w:t>
      </w:r>
      <w:r>
        <w:t xml:space="preserve"> unchecked — group association only; no outcome judgment</w:t>
      </w:r>
    </w:p>
    <w:p>
      <w:pPr>
        <w:pStyle w:val="Heading2"/>
      </w:pPr>
      <w:r>
        <w:t>362.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group association only; no outcome judgment</w:t>
      </w:r>
    </w:p>
    <w:p>
      <w:pPr>
        <w:pStyle w:val="Heading2"/>
      </w:pPr>
      <w:r>
        <w:t>363. Claim + two later sources: Forecasting turbulence in the Asian and European stock market using regime-switching models</w:t>
      </w:r>
    </w:p>
    <w:p>
      <w:pPr>
        <w:pStyle w:val="SourceNote"/>
      </w:pPr>
      <w:r>
        <w:rPr>
          <w:b/>
        </w:rPr>
        <w:t>Group ID:</w:t>
      </w:r>
      <w:r>
        <w:t xml:space="preserve"> group-1adbb0659ede7fe92be9</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 https://openalex.org/W7164620270</w:t>
      </w:r>
    </w:p>
    <w:p>
      <w:pPr/>
      <w:r>
        <w:rPr>
          <w:b/>
        </w:rPr>
        <w:t>Later source:</w:t>
      </w:r>
      <w:r>
        <w:t xml:space="preserve"> Predicting Healthcare System Stress in the European Union: An Early Warning System Using Panel Data — https://openalex.org/W7221839855</w:t>
      </w:r>
    </w:p>
    <w:p>
      <w:pPr>
        <w:pStyle w:val="SourceNote"/>
      </w:pPr>
      <w:r>
        <w:rPr>
          <w:b/>
        </w:rPr>
        <w:t>Review status:</w:t>
      </w:r>
      <w:r>
        <w:t xml:space="preserve"> unchecked — group association only; no outcome judgment</w:t>
      </w:r>
    </w:p>
    <w:p>
      <w:pPr>
        <w:pStyle w:val="Heading2"/>
      </w:pPr>
      <w:r>
        <w:t>364. Claim + two later sources: Modelling sustainable energy futures for the UK</w:t>
      </w:r>
    </w:p>
    <w:p>
      <w:pPr>
        <w:pStyle w:val="SourceNote"/>
      </w:pPr>
      <w:r>
        <w:rPr>
          <w:b/>
        </w:rPr>
        <w:t>Group ID:</w:t>
      </w:r>
      <w:r>
        <w:t xml:space="preserve"> group-5a51d82e16053bbd2e45</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A Comprehensive Analysis of Kyoto Protocol — https://openalex.org/W7216616326</w:t>
      </w:r>
    </w:p>
    <w:p>
      <w:pPr/>
      <w:r>
        <w:rPr>
          <w:b/>
        </w:rPr>
        <w:t>Later source:</w:t>
      </w:r>
      <w:r>
        <w:t xml:space="preserve"> Environmental and economic effectiveness of the Kyoto Protocol — https://doi.org/10.1371/journal.pone.0236299</w:t>
      </w:r>
    </w:p>
    <w:p>
      <w:pPr>
        <w:pStyle w:val="SourceNote"/>
      </w:pPr>
      <w:r>
        <w:rPr>
          <w:b/>
        </w:rPr>
        <w:t>Review status:</w:t>
      </w:r>
      <w:r>
        <w:t xml:space="preserve"> unchecked — group association only; no outcome judgment</w:t>
      </w:r>
    </w:p>
    <w:p>
      <w:pPr>
        <w:pStyle w:val="Heading2"/>
      </w:pPr>
      <w:r>
        <w:t>365. Claim + two later sources: Futures and foresight of Croatian cultural heritage</w:t>
      </w:r>
    </w:p>
    <w:p>
      <w:pPr>
        <w:pStyle w:val="SourceNote"/>
      </w:pPr>
      <w:r>
        <w:rPr>
          <w:b/>
        </w:rPr>
        <w:t>Group ID:</w:t>
      </w:r>
      <w:r>
        <w:t xml:space="preserve"> group-a83a35ed021de1bddc86</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Two papal Europes: Benedict XVI, Francis and competing Christian imaginaries of Europe — https://doi.org/10.1080/14782804.2026.2718750</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group association only; no outcome judgment</w:t>
      </w:r>
    </w:p>
    <w:p>
      <w:pPr>
        <w:pStyle w:val="Heading2"/>
      </w:pPr>
      <w:r>
        <w:t>366. Claim + two later sources: Soft-linking of a behavioral model for transport with energy system cost optimization applied to hydrogen in EU</w:t>
      </w:r>
    </w:p>
    <w:p>
      <w:pPr>
        <w:pStyle w:val="SourceNote"/>
      </w:pPr>
      <w:r>
        <w:rPr>
          <w:b/>
        </w:rPr>
        <w:t>Group ID:</w:t>
      </w:r>
      <w:r>
        <w:t xml:space="preserve"> group-3d7048a92a72e29e04d9</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EU Energy Securitisation: Ukraine's Place in the European Energy System — https://doi.org/10.53317/2786-4774-2024-1-8</w:t>
      </w:r>
    </w:p>
    <w:p>
      <w:pPr/>
      <w:r>
        <w:rPr>
          <w:b/>
        </w:rPr>
        <w:t>Later source:</w:t>
      </w:r>
      <w:r>
        <w:t xml:space="preserve"> Investigation of European modular façade system utilizing renewable energy — https://doi.org/10.1093/ijlct/ctab101</w:t>
      </w:r>
    </w:p>
    <w:p>
      <w:pPr>
        <w:pStyle w:val="SourceNote"/>
      </w:pPr>
      <w:r>
        <w:rPr>
          <w:b/>
        </w:rPr>
        <w:t>Review status:</w:t>
      </w:r>
      <w:r>
        <w:t xml:space="preserve"> unchecked — group association only; no outcome judgment</w:t>
      </w:r>
    </w:p>
    <w:p>
      <w:pPr>
        <w:pStyle w:val="Heading2"/>
      </w:pPr>
      <w:r>
        <w:t>367. Claim + two later sources: Facilitating transformative science education through futures thinking</w:t>
      </w:r>
    </w:p>
    <w:p>
      <w:pPr>
        <w:pStyle w:val="SourceNote"/>
      </w:pPr>
      <w:r>
        <w:rPr>
          <w:b/>
        </w:rPr>
        <w:t>Group ID:</w:t>
      </w:r>
      <w:r>
        <w:t xml:space="preserve"> group-b109c52999dbe02ac04b</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Aging and HIV: Recent Findings in Contributing Factors — https://doi.org/10.1155/arat/8814760</w:t>
      </w:r>
    </w:p>
    <w:p>
      <w:pPr/>
      <w:r>
        <w:rPr>
          <w:b/>
        </w:rPr>
        <w:t>Later source:</w:t>
      </w:r>
      <w:r>
        <w:t xml:space="preserve"> Anti-Inflammatory Activity of Thymol and Thymol-Rich Essential Oils: Mechanisms, Applications, and Recent Findings — https://doi.org/10.3390/molecules30112450</w:t>
      </w:r>
    </w:p>
    <w:p>
      <w:pPr>
        <w:pStyle w:val="SourceNote"/>
      </w:pPr>
      <w:r>
        <w:rPr>
          <w:b/>
        </w:rPr>
        <w:t>Review status:</w:t>
      </w:r>
      <w:r>
        <w:t xml:space="preserve"> unchecked — group association only; no outcome judgment</w:t>
      </w:r>
    </w:p>
    <w:p>
      <w:pPr>
        <w:pStyle w:val="Heading2"/>
      </w:pPr>
      <w:r>
        <w:t>368. Claim + two later sources: TRANSPORT PROJECT EVALUATION: FEASIBILITY RISK ASSESSMENT AND SCENARIO FORECASTING</w:t>
      </w:r>
    </w:p>
    <w:p>
      <w:pPr>
        <w:pStyle w:val="SourceNote"/>
      </w:pPr>
      <w:r>
        <w:rPr>
          <w:b/>
        </w:rPr>
        <w:t>Group ID:</w:t>
      </w:r>
      <w:r>
        <w:t xml:space="preserve"> group-2228e8a84964d769be2c</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Exploring the Potential of Innovation on Rice Straw Fluff (RSF) in Roofing System — https://doi.org/10.32722/arcee.v4i02.5235</w:t>
      </w:r>
    </w:p>
    <w:p>
      <w:pPr/>
      <w:r>
        <w:rPr>
          <w:b/>
        </w:rPr>
        <w:t>Later source:</w:t>
      </w:r>
      <w:r>
        <w:t xml:space="preserve"> Identifying and correcting spatial bias in opportunistic citizen science data for wild ungulates in Norway — https://doi.org/10.1002/ece3.8200</w:t>
      </w:r>
    </w:p>
    <w:p>
      <w:pPr>
        <w:pStyle w:val="SourceNote"/>
      </w:pPr>
      <w:r>
        <w:rPr>
          <w:b/>
        </w:rPr>
        <w:t>Review status:</w:t>
      </w:r>
      <w:r>
        <w:t xml:space="preserve"> unchecked — group association only; no outcome judgment</w:t>
      </w:r>
    </w:p>
    <w:p>
      <w:pPr>
        <w:pStyle w:val="Heading2"/>
      </w:pPr>
      <w:r>
        <w:t>369. Claim + two later sources: Investigating European Union Decarbonization Strategies: Evaluating the Pathway to Carbon Neutrality by 2050</w:t>
      </w:r>
    </w:p>
    <w:p>
      <w:pPr>
        <w:pStyle w:val="SourceNote"/>
      </w:pPr>
      <w:r>
        <w:rPr>
          <w:b/>
        </w:rPr>
        <w:t>Group ID:</w:t>
      </w:r>
      <w:r>
        <w:t xml:space="preserve"> group-e224fd0ad82062ce3ab8</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Multicultural Issues: A Comparison of India and Europe — https://doi.org/10.54103/milanoup.196.c365</w:t>
      </w:r>
    </w:p>
    <w:p>
      <w:pPr/>
      <w:r>
        <w:rPr>
          <w:b/>
        </w:rPr>
        <w:t>Later source:</w:t>
      </w:r>
      <w:r>
        <w:t xml:space="preserve"> Prediction of the Methane Yield From Extensively Managed, Flower‐Rich Fen Grassland Based on NIRS Data — https://doi.org/10.1111/gcbb.70046</w:t>
      </w:r>
    </w:p>
    <w:p>
      <w:pPr>
        <w:pStyle w:val="SourceNote"/>
      </w:pPr>
      <w:r>
        <w:rPr>
          <w:b/>
        </w:rPr>
        <w:t>Review status:</w:t>
      </w:r>
      <w:r>
        <w:t xml:space="preserve"> unchecked — group association only; no outcome judgment</w:t>
      </w:r>
    </w:p>
    <w:p>
      <w:pPr>
        <w:pStyle w:val="Heading2"/>
      </w:pPr>
      <w:r>
        <w:t>370. Claim + two later sources: The European Unions Strategic Gas Supply Options and the Prevalence of the Southern Corridor</w:t>
      </w:r>
    </w:p>
    <w:p>
      <w:pPr>
        <w:pStyle w:val="SourceNote"/>
      </w:pPr>
      <w:r>
        <w:rPr>
          <w:b/>
        </w:rPr>
        <w:t>Group ID:</w:t>
      </w:r>
      <w:r>
        <w:t xml:space="preserve"> group-843ad46cf9790bf2b53d</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Predicting and preventing preterm birth in Europe: current challenges and gaps — https://doi.org/10.1080/14767058.2025.2547687</w:t>
      </w:r>
    </w:p>
    <w:p>
      <w:pPr/>
      <w:r>
        <w:rPr>
          <w:b/>
        </w:rPr>
        <w:t>Later source:</w:t>
      </w:r>
      <w:r>
        <w:t xml:space="preserve"> Pesticide Residues in Organic and Conventional Agricultural Soils across Europe: Measured and Predicted Concentrations — https://doi.org/10.1021/acs.est.3c09059</w:t>
      </w:r>
    </w:p>
    <w:p>
      <w:pPr>
        <w:pStyle w:val="SourceNote"/>
      </w:pPr>
      <w:r>
        <w:rPr>
          <w:b/>
        </w:rPr>
        <w:t>Review status:</w:t>
      </w:r>
      <w:r>
        <w:t xml:space="preserve"> unchecked — group association only; no outcome judgment</w:t>
      </w:r>
    </w:p>
    <w:p>
      <w:pPr>
        <w:pStyle w:val="Heading2"/>
      </w:pPr>
      <w:r>
        <w:t>371.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group association only; no outcome judgment</w:t>
      </w:r>
    </w:p>
    <w:p>
      <w:pPr>
        <w:pStyle w:val="Heading2"/>
      </w:pPr>
      <w:r>
        <w:t>372. Claim + two later sources: Climate change, extreme weather events, air pollution and respiratory health in Europe</w:t>
      </w:r>
    </w:p>
    <w:p>
      <w:pPr>
        <w:pStyle w:val="SourceNote"/>
      </w:pPr>
      <w:r>
        <w:rPr>
          <w:b/>
        </w:rPr>
        <w:t>Group ID:</w:t>
      </w:r>
      <w:r>
        <w:t xml:space="preserve"> group-d39860cc0cc2fac0b941</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The obstacles and changes in Sino-European trade routes in the twenty-first century due to climate change and geopolitical risks — https://doi.org/10.1057/s41599-026-08607-9</w:t>
      </w:r>
    </w:p>
    <w:p>
      <w:pPr>
        <w:pStyle w:val="SourceNote"/>
      </w:pPr>
      <w:r>
        <w:rPr>
          <w:b/>
        </w:rPr>
        <w:t>Review status:</w:t>
      </w:r>
      <w:r>
        <w:t xml:space="preserve"> unchecked — group association only; no outcome judgment</w:t>
      </w:r>
    </w:p>
    <w:p>
      <w:pPr>
        <w:pStyle w:val="Heading2"/>
      </w:pPr>
      <w:r>
        <w:t>373. Claim + two later sources: Implementation of the 2030 sustainable development goals - affordable and clean energy in the European Union</w:t>
      </w:r>
    </w:p>
    <w:p>
      <w:pPr>
        <w:pStyle w:val="SourceNote"/>
      </w:pPr>
      <w:r>
        <w:rPr>
          <w:b/>
        </w:rPr>
        <w:t>Group ID:</w:t>
      </w:r>
      <w:r>
        <w:t xml:space="preserve"> group-fa28d16c2eb17d09d8b4</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European protection order: the question of a predictive toolkit for the protection of victims of criminal offences — https://doi.org/10.24144/2788-6018.2024.02.109</w:t>
      </w:r>
    </w:p>
    <w:p>
      <w:pPr/>
      <w:r>
        <w:rPr>
          <w:b/>
        </w:rPr>
        <w:t>Later source:</w:t>
      </w:r>
      <w:r>
        <w:t xml:space="preserve"> Projecting traffic flows for road-based passenger transport in Europe for the analysis of climate impact — https://doi.org/10.1186/s12544-024-00652-2</w:t>
      </w:r>
    </w:p>
    <w:p>
      <w:pPr>
        <w:pStyle w:val="SourceNote"/>
      </w:pPr>
      <w:r>
        <w:rPr>
          <w:b/>
        </w:rPr>
        <w:t>Review status:</w:t>
      </w:r>
      <w:r>
        <w:t xml:space="preserve"> unchecked — group association only; no outcome judgment</w:t>
      </w:r>
    </w:p>
    <w:p>
      <w:pPr>
        <w:pStyle w:val="Heading2"/>
      </w:pPr>
      <w:r>
        <w:t>374. Claim + two later sources: Focused Futures from Finland</w:t>
      </w:r>
    </w:p>
    <w:p>
      <w:pPr>
        <w:pStyle w:val="SourceNote"/>
      </w:pPr>
      <w:r>
        <w:rPr>
          <w:b/>
        </w:rPr>
        <w:t>Group ID:</w:t>
      </w:r>
      <w:r>
        <w:t xml:space="preserve"> group-d41f7bcfb10f7f3b5487</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end of China’s romance with Central and Eastern Europe — https://doi.org/10.1177/2059436421994442</w:t>
      </w:r>
    </w:p>
    <w:p>
      <w:pPr/>
      <w:r>
        <w:rPr>
          <w:b/>
        </w:rPr>
        <w:t>Later source:</w:t>
      </w:r>
      <w:r>
        <w:t xml:space="preserve"> European Union Litigation — https://doi.org/10.1515/ercl-2021-2028</w:t>
      </w:r>
    </w:p>
    <w:p>
      <w:pPr>
        <w:pStyle w:val="SourceNote"/>
      </w:pPr>
      <w:r>
        <w:rPr>
          <w:b/>
        </w:rPr>
        <w:t>Review status:</w:t>
      </w:r>
      <w:r>
        <w:t xml:space="preserve"> unchecked — group association only; no outcome judgment</w:t>
      </w:r>
    </w:p>
    <w:p>
      <w:pPr>
        <w:pStyle w:val="Heading2"/>
      </w:pPr>
      <w:r>
        <w:t>375. Claim + two later sources: On the Future(s) of Energy Communities in the German Energy Transition: A Derivation of Transformation Pathways</w:t>
      </w:r>
    </w:p>
    <w:p>
      <w:pPr>
        <w:pStyle w:val="SourceNote"/>
      </w:pPr>
      <w:r>
        <w:rPr>
          <w:b/>
        </w:rPr>
        <w:t>Group ID:</w:t>
      </w:r>
      <w:r>
        <w:t xml:space="preserve"> group-9c5a752a99a22cd533d0</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The European Union: A Sui Generis Legal Order: Prospects for Development — https://doi.org/10.54237/profnet.2025.azsvlbffde_6</w:t>
      </w:r>
    </w:p>
    <w:p>
      <w:pPr/>
      <w:r>
        <w:rPr>
          <w:b/>
        </w:rPr>
        <w:t>Later source:</w:t>
      </w:r>
      <w:r>
        <w:t xml:space="preserve"> MODELLING THE RELATIONSHIP BETWEEN RETAIL DEVELOPMENT AND ECONOMIC INDICATORS IN EUROPEAN COUNTRIES — https://doi.org/10.29038/2786-4618-2024-01-124-134</w:t>
      </w:r>
    </w:p>
    <w:p>
      <w:pPr>
        <w:pStyle w:val="SourceNote"/>
      </w:pPr>
      <w:r>
        <w:rPr>
          <w:b/>
        </w:rPr>
        <w:t>Review status:</w:t>
      </w:r>
      <w:r>
        <w:t xml:space="preserve"> unchecked — group association only; no outcome judgment</w:t>
      </w:r>
    </w:p>
    <w:p>
      <w:pPr>
        <w:pStyle w:val="Heading2"/>
      </w:pPr>
      <w:r>
        <w:t>376. Claim + two later sources: A new approach on renewable energy as a support for regional economic development among the European Union</w:t>
      </w:r>
    </w:p>
    <w:p>
      <w:pPr>
        <w:pStyle w:val="SourceNote"/>
      </w:pPr>
      <w:r>
        <w:rPr>
          <w:b/>
        </w:rPr>
        <w:t>Group ID:</w:t>
      </w:r>
      <w:r>
        <w:t xml:space="preserve"> group-680004338ce8f7491865</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Architecting IT governance: A value-alignment model for IT-enabled public innovation — https://doi.org/10.59490/6a91ad516096c5874dfb3702</w:t>
      </w:r>
    </w:p>
    <w:p>
      <w:pPr>
        <w:pStyle w:val="SourceNote"/>
      </w:pPr>
      <w:r>
        <w:rPr>
          <w:b/>
        </w:rPr>
        <w:t>Review status:</w:t>
      </w:r>
      <w:r>
        <w:t xml:space="preserve"> unchecked — group association only; no outcome judgment</w:t>
      </w:r>
    </w:p>
    <w:p>
      <w:pPr>
        <w:pStyle w:val="Heading2"/>
      </w:pPr>
      <w:r>
        <w:t>377. Claim + two later sources: Foresighting addiction and lifestyles in Europe 2030+</w:t>
      </w:r>
    </w:p>
    <w:p>
      <w:pPr>
        <w:pStyle w:val="SourceNote"/>
      </w:pPr>
      <w:r>
        <w:rPr>
          <w:b/>
        </w:rPr>
        <w:t>Group ID:</w:t>
      </w:r>
      <w:r>
        <w:t xml:space="preserve"> group-32789dc937485686f1b2</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Later source:</w:t>
      </w:r>
      <w:r>
        <w:t xml:space="preserve"> Radiographer tips for gaining European research funding-our experience with the SAFE EUROPE project — https://openalex.org/W3202602997</w:t>
      </w:r>
    </w:p>
    <w:p>
      <w:pPr>
        <w:pStyle w:val="SourceNote"/>
      </w:pPr>
      <w:r>
        <w:rPr>
          <w:b/>
        </w:rPr>
        <w:t>Review status:</w:t>
      </w:r>
      <w:r>
        <w:t xml:space="preserve"> unchecked — group association only; no outcome judgment</w:t>
      </w:r>
    </w:p>
    <w:p>
      <w:pPr>
        <w:pStyle w:val="Heading2"/>
      </w:pPr>
      <w:r>
        <w:t>378. Claim + two later sources: The Future of Internationalization of Higher Education in Europe</w:t>
      </w:r>
    </w:p>
    <w:p>
      <w:pPr>
        <w:pStyle w:val="SourceNote"/>
      </w:pPr>
      <w:r>
        <w:rPr>
          <w:b/>
        </w:rPr>
        <w:t>Group ID:</w:t>
      </w:r>
      <w:r>
        <w:t xml:space="preserve"> group-8de280421e0371800fb8</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Regional Pathways to Internationalization: The Role of Erasmus+ in European HEIs — https://doi.org/10.3390/urbansci9050144</w:t>
      </w:r>
    </w:p>
    <w:p>
      <w:pPr/>
      <w:r>
        <w:rPr>
          <w:b/>
        </w:rPr>
        <w:t>Later source:</w:t>
      </w:r>
      <w:r>
        <w:t xml:space="preserve"> Entry modes used in the internationalization process of automotive enterprises — https://doi.org/10.29119/1641-3466.2023.180.16</w:t>
      </w:r>
    </w:p>
    <w:p>
      <w:pPr>
        <w:pStyle w:val="SourceNote"/>
      </w:pPr>
      <w:r>
        <w:rPr>
          <w:b/>
        </w:rPr>
        <w:t>Review status:</w:t>
      </w:r>
      <w:r>
        <w:t xml:space="preserve"> unchecked — group association only; no outcome judgment</w:t>
      </w:r>
    </w:p>
    <w:p>
      <w:pPr>
        <w:pStyle w:val="Heading2"/>
      </w:pPr>
      <w:r>
        <w:t>379. Claim + two later sources: Situational analysis of EU renewable energy legislation</w:t>
      </w:r>
    </w:p>
    <w:p>
      <w:pPr>
        <w:pStyle w:val="SourceNote"/>
      </w:pPr>
      <w:r>
        <w:rPr>
          <w:b/>
        </w:rPr>
        <w:t>Group ID:</w:t>
      </w:r>
      <w:r>
        <w:t xml:space="preserve"> group-2558565f16e3b23af3fa</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The EASL–Lancet Liver Commission: protecting the next generation of Europeans against liver disease complications and premature mortality — https://doi.org/10.1016/s0140-6736(21)01701-3</w:t>
      </w:r>
    </w:p>
    <w:p>
      <w:pPr/>
      <w:r>
        <w:rPr>
          <w:b/>
        </w:rPr>
        <w:t>Later source:</w:t>
      </w:r>
      <w:r>
        <w:t xml:space="preserve"> Social Innovation in Community Energy in Europe: A Review of the Evidence — https://doi.org/10.3389/fenrg.2019.00031</w:t>
      </w:r>
    </w:p>
    <w:p>
      <w:pPr>
        <w:pStyle w:val="SourceNote"/>
      </w:pPr>
      <w:r>
        <w:rPr>
          <w:b/>
        </w:rPr>
        <w:t>Review status:</w:t>
      </w:r>
      <w:r>
        <w:t xml:space="preserve"> unchecked — group association only; no outcome judgment</w:t>
      </w:r>
    </w:p>
    <w:p>
      <w:pPr>
        <w:pStyle w:val="Heading2"/>
      </w:pPr>
      <w:r>
        <w:t>380.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group-41a0cad215b6a914579d</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Was there a notion of ‘enough’ in the European Green Deal? Sufficiency in the European Union’s sustainability discourse — https://doi.org/10.1108/sampj-10-2024-1103</w:t>
      </w:r>
    </w:p>
    <w:p>
      <w:pPr/>
      <w:r>
        <w:rPr>
          <w:b/>
        </w:rPr>
        <w:t>Later source:</w:t>
      </w:r>
      <w:r>
        <w:t xml:space="preserve"> Feasible solutions for sustainable diets with adequate protein intake : modelling diets for the Netherlands and Europe — https://doi.org/10.18174/681865</w:t>
      </w:r>
    </w:p>
    <w:p>
      <w:pPr>
        <w:pStyle w:val="SourceNote"/>
      </w:pPr>
      <w:r>
        <w:rPr>
          <w:b/>
        </w:rPr>
        <w:t>Review status:</w:t>
      </w:r>
      <w:r>
        <w:t xml:space="preserve"> unchecked — group association only; no outcome judgment</w:t>
      </w:r>
    </w:p>
    <w:p>
      <w:pPr>
        <w:pStyle w:val="Heading2"/>
      </w:pPr>
      <w:r>
        <w:t>381. Claim + two later sources: Grassland futures in Great Britain – Productivity assessment and scenarios for land use change opportunities</w:t>
      </w:r>
    </w:p>
    <w:p>
      <w:pPr>
        <w:pStyle w:val="SourceNote"/>
      </w:pPr>
      <w:r>
        <w:rPr>
          <w:b/>
        </w:rPr>
        <w:t>Group ID:</w:t>
      </w:r>
      <w:r>
        <w:t xml:space="preserve"> group-fd7ba4d517b626d6a398</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The effects of climate change on mental health — https://doi.org/10.3238/arztebl.m2022.0403</w:t>
      </w:r>
    </w:p>
    <w:p>
      <w:pPr/>
      <w:r>
        <w:rPr>
          <w:b/>
        </w:rPr>
        <w:t>Later source:</w:t>
      </w:r>
      <w:r>
        <w:t xml:space="preserve"> Effects of Climate Change on Invasive Species — https://doi.org/10.1007/978-3-030-45367-1_4</w:t>
      </w:r>
    </w:p>
    <w:p>
      <w:pPr>
        <w:pStyle w:val="SourceNote"/>
      </w:pPr>
      <w:r>
        <w:rPr>
          <w:b/>
        </w:rPr>
        <w:t>Review status:</w:t>
      </w:r>
      <w:r>
        <w:t xml:space="preserve"> unchecked — group association only; no outcome judgment</w:t>
      </w:r>
    </w:p>
    <w:p>
      <w:pPr>
        <w:pStyle w:val="Heading2"/>
      </w:pPr>
      <w:r>
        <w:t>382. Claim + two later sources: Demographic change and the European income distribution</w:t>
      </w:r>
    </w:p>
    <w:p>
      <w:pPr>
        <w:pStyle w:val="SourceNote"/>
      </w:pPr>
      <w:r>
        <w:rPr>
          <w:b/>
        </w:rPr>
        <w:t>Group ID:</w:t>
      </w:r>
      <w:r>
        <w:t xml:space="preserve"> group-fb6c095bd3599c0839e1</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key pillars of psychosocial disability: a European perspective on challenges and solutions — https://doi.org/10.3389/fpsyt.2025.1574301</w:t>
      </w:r>
    </w:p>
    <w:p>
      <w:pPr/>
      <w:r>
        <w:rPr>
          <w:b/>
        </w:rPr>
        <w:t>Later source:</w:t>
      </w:r>
      <w:r>
        <w:t xml:space="preserve"> Modelling the effect of context-specific greenhouse gas and nitrogen emission mitigation options in key European dairy farming systems — https://doi.org/10.1007/s13593-023-00940-6</w:t>
      </w:r>
    </w:p>
    <w:p>
      <w:pPr>
        <w:pStyle w:val="SourceNote"/>
      </w:pPr>
      <w:r>
        <w:rPr>
          <w:b/>
        </w:rPr>
        <w:t>Review status:</w:t>
      </w:r>
      <w:r>
        <w:t xml:space="preserve"> unchecked — group association only; no outcome judgment</w:t>
      </w:r>
    </w:p>
    <w:p>
      <w:pPr>
        <w:pStyle w:val="Heading2"/>
      </w:pPr>
      <w:r>
        <w:t>383. Claim + two later sources: A decision support system to find the best water allocation strategies in a Mediterranean river basin in future scenarios of global change</w:t>
      </w:r>
    </w:p>
    <w:p>
      <w:pPr>
        <w:pStyle w:val="SourceNote"/>
      </w:pPr>
      <w:r>
        <w:rPr>
          <w:b/>
        </w:rPr>
        <w:t>Group ID:</w:t>
      </w:r>
      <w:r>
        <w:t xml:space="preserve"> group-d8e29891361eedf185b0</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Evaluation of a constructed wetland for wastewater treatment: Addressing emerging organic contaminants and antibiotic resistant bacteria — https://doi.org/10.1016/j.nbt.2019.05.006</w:t>
      </w:r>
    </w:p>
    <w:p>
      <w:pPr>
        <w:pStyle w:val="SourceNote"/>
      </w:pPr>
      <w:r>
        <w:rPr>
          <w:b/>
        </w:rPr>
        <w:t>Review status:</w:t>
      </w:r>
      <w:r>
        <w:t xml:space="preserve"> unchecked — group association only; no outcome judgment</w:t>
      </w:r>
    </w:p>
    <w:p>
      <w:pPr>
        <w:pStyle w:val="Heading2"/>
      </w:pPr>
      <w:r>
        <w:t>384. Claim + two later sources: GLOBAL FORECAST OF US NATIONAL INTELLIGENCE COUNCIL</w:t>
      </w:r>
    </w:p>
    <w:p>
      <w:pPr>
        <w:pStyle w:val="SourceNote"/>
      </w:pPr>
      <w:r>
        <w:rPr>
          <w:b/>
        </w:rPr>
        <w:t>Group ID:</w:t>
      </w:r>
      <w:r>
        <w:t xml:space="preserve"> group-77e929bde6fee70f5601</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Digital transformation: theoretical backgrounds of digital change — https://doi.org/10.15611/ms.2019.4.05</w:t>
      </w:r>
    </w:p>
    <w:p>
      <w:pPr/>
      <w:r>
        <w:rPr>
          <w:b/>
        </w:rPr>
        <w:t>Later source:</w:t>
      </w:r>
      <w:r>
        <w:t xml:space="preserve"> Adapting the Multilingual Assessment Instrument for Narratives (MAIN) to Torwali — https://doi.org/10.21248/zaspil.64.2020.583</w:t>
      </w:r>
    </w:p>
    <w:p>
      <w:pPr>
        <w:pStyle w:val="SourceNote"/>
      </w:pPr>
      <w:r>
        <w:rPr>
          <w:b/>
        </w:rPr>
        <w:t>Review status:</w:t>
      </w:r>
      <w:r>
        <w:t xml:space="preserve"> unchecked — group association only; no outcome judgment</w:t>
      </w:r>
    </w:p>
    <w:p>
      <w:pPr>
        <w:pStyle w:val="Heading2"/>
      </w:pPr>
      <w:r>
        <w:t>385. Claim + two later sources: Prediction of population with Alzheimer's disease in the European Union using a system dynamics model</w:t>
      </w:r>
    </w:p>
    <w:p>
      <w:pPr>
        <w:pStyle w:val="SourceNote"/>
      </w:pPr>
      <w:r>
        <w:rPr>
          <w:b/>
        </w:rPr>
        <w:t>Group ID:</w:t>
      </w:r>
      <w:r>
        <w:t xml:space="preserve"> group-d215e4d0cb9c2d741966</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Effects of Immigrants, Health, and Ageing on Economic Growth in the European Union — https://doi.org/10.3390/ijerph20010224</w:t>
      </w:r>
    </w:p>
    <w:p>
      <w:pPr/>
      <w:r>
        <w:rPr>
          <w:b/>
        </w:rPr>
        <w:t>Later source:</w:t>
      </w:r>
      <w:r>
        <w:t xml:space="preserve"> CO2 Emissions Scenarios in the European Union—The Urgency of Carbon Capture and Controlled Economic Growth — https://doi.org/10.3390/su18021043</w:t>
      </w:r>
    </w:p>
    <w:p>
      <w:pPr>
        <w:pStyle w:val="SourceNote"/>
      </w:pPr>
      <w:r>
        <w:rPr>
          <w:b/>
        </w:rPr>
        <w:t>Review status:</w:t>
      </w:r>
      <w:r>
        <w:t xml:space="preserve"> unchecked — group association only; no outcome judgment</w:t>
      </w:r>
    </w:p>
    <w:p>
      <w:pPr>
        <w:pStyle w:val="Heading2"/>
      </w:pPr>
      <w:r>
        <w:t>386.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unchecked — group association only; no outcome judgment</w:t>
      </w:r>
    </w:p>
    <w:p>
      <w:pPr>
        <w:pStyle w:val="Heading2"/>
      </w:pPr>
      <w:r>
        <w:t>387. Claim + two later sources: Improved Consistency of Climate Projections over Europe after Accounting for Atmospheric Circulation Variability</w:t>
      </w:r>
    </w:p>
    <w:p>
      <w:pPr>
        <w:pStyle w:val="SourceNote"/>
      </w:pPr>
      <w:r>
        <w:rPr>
          <w:b/>
        </w:rPr>
        <w:t>Group ID:</w:t>
      </w:r>
      <w:r>
        <w:t xml:space="preserve"> group-1651e6d02af7a23af2d1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Climatological characteristics and atmospheric circulation associated with 3D heat wave types in European regions — https://doi.org/10.5194/egusphere-egu25-9748</w:t>
      </w:r>
    </w:p>
    <w:p>
      <w:pPr/>
      <w:r>
        <w:rPr>
          <w:b/>
        </w:rPr>
        <w:t>Later source:</w:t>
      </w:r>
      <w:r>
        <w:t xml:space="preserve"> Links to atmospheric circulation vary for individual heat wave types in Middle Europe — https://doi.org/10.5194/egusphere-egu25-9815</w:t>
      </w:r>
    </w:p>
    <w:p>
      <w:pPr>
        <w:pStyle w:val="SourceNote"/>
      </w:pPr>
      <w:r>
        <w:rPr>
          <w:b/>
        </w:rPr>
        <w:t>Review status:</w:t>
      </w:r>
      <w:r>
        <w:t xml:space="preserve"> unchecked — group association only; no outcome judgment</w:t>
      </w:r>
    </w:p>
    <w:p>
      <w:pPr>
        <w:pStyle w:val="Heading2"/>
      </w:pPr>
      <w:r>
        <w:t>388.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group association only; no outcome judgment</w:t>
      </w:r>
    </w:p>
    <w:p>
      <w:pPr>
        <w:pStyle w:val="Heading2"/>
      </w:pPr>
      <w:r>
        <w:t>389. Claim + two later sources: Energy futures as societal futures: Co-evolutionary scenarios linking futures of society and decarbonized energy systems in Switzerland 2050</w:t>
      </w:r>
    </w:p>
    <w:p>
      <w:pPr>
        <w:pStyle w:val="SourceNote"/>
      </w:pPr>
      <w:r>
        <w:rPr>
          <w:b/>
        </w:rPr>
        <w:t>Group ID:</w:t>
      </w:r>
      <w:r>
        <w:t xml:space="preserve"> group-1d515ba60236b9fbc060</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Polyendocrine metabolic ovarian syndrome, the new name for polycystic ovary syndrome: a multistep global consensus process — https://doi.org/10.1016/s0140-6736(26)00717-8</w:t>
      </w:r>
    </w:p>
    <w:p>
      <w:pPr/>
      <w:r>
        <w:rPr>
          <w:b/>
        </w:rPr>
        <w:t>Later source:</w:t>
      </w:r>
      <w:r>
        <w:t xml:space="preserve"> Global Consensus Recommendations for Metabolic Dysfunction-Associated Steatotic Liver Disease and Steatohepatitis — https://doi.org/10.1053/j.gastro.2025.02.044</w:t>
      </w:r>
    </w:p>
    <w:p>
      <w:pPr>
        <w:pStyle w:val="SourceNote"/>
      </w:pPr>
      <w:r>
        <w:rPr>
          <w:b/>
        </w:rPr>
        <w:t>Review status:</w:t>
      </w:r>
      <w:r>
        <w:t xml:space="preserve"> unchecked — group association only; no outcome judgment</w:t>
      </w:r>
    </w:p>
    <w:p>
      <w:pPr>
        <w:pStyle w:val="Heading2"/>
      </w:pPr>
      <w:r>
        <w:t>390. Claim + two later sources: Imaginary scenarios: Literature and Democracy in Europe</w:t>
      </w:r>
    </w:p>
    <w:p>
      <w:pPr>
        <w:pStyle w:val="SourceNote"/>
      </w:pPr>
      <w:r>
        <w:rPr>
          <w:b/>
        </w:rPr>
        <w:t>Group ID:</w:t>
      </w:r>
      <w:r>
        <w:t xml:space="preserve"> group-2497419c6f54b683a33b</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Law, biomedical technoscience, and imaginaries — https://doi.org/10.1093/jlb/lsaa088</w:t>
      </w:r>
    </w:p>
    <w:p>
      <w:pPr>
        <w:pStyle w:val="SourceNote"/>
      </w:pPr>
      <w:r>
        <w:rPr>
          <w:b/>
        </w:rPr>
        <w:t>Review status:</w:t>
      </w:r>
      <w:r>
        <w:t xml:space="preserve"> unchecked — group association only; no outcome judgment</w:t>
      </w:r>
    </w:p>
    <w:p>
      <w:pPr>
        <w:pStyle w:val="Heading2"/>
      </w:pPr>
      <w:r>
        <w:t>391. Claim + two later sources: Possible Futures towards a Wood-Based Bioeconomy: A Scenario Analysis for Germany</w:t>
      </w:r>
    </w:p>
    <w:p>
      <w:pPr>
        <w:pStyle w:val="SourceNote"/>
      </w:pPr>
      <w:r>
        <w:rPr>
          <w:b/>
        </w:rPr>
        <w:t>Group ID:</w:t>
      </w:r>
      <w:r>
        <w:t xml:space="preserve"> group-6c1df4af52e193a790db</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What Factors Drive a Sustainable Energy Transition in Europe? A Data-Driven Exploration of Economic and Policy Influences — https://doi.org/10.22541/au.175883292.27456920/v1</w:t>
      </w:r>
    </w:p>
    <w:p>
      <w:pPr/>
      <w:r>
        <w:rPr>
          <w:b/>
        </w:rPr>
        <w:t>Later source:</w:t>
      </w:r>
      <w:r>
        <w:t xml:space="preserve"> Europe Pet Food Ingredients Market: Growth Dynamics, Trends, and Regional Insights — https://doi.org/10.5281/zenodo.17731410</w:t>
      </w:r>
    </w:p>
    <w:p>
      <w:pPr>
        <w:pStyle w:val="SourceNote"/>
      </w:pPr>
      <w:r>
        <w:rPr>
          <w:b/>
        </w:rPr>
        <w:t>Review status:</w:t>
      </w:r>
      <w:r>
        <w:t xml:space="preserve"> unchecked — group association only; no outcome judgment</w:t>
      </w:r>
    </w:p>
    <w:p>
      <w:pPr>
        <w:pStyle w:val="Heading2"/>
      </w:pPr>
      <w:r>
        <w:t>392. Claim + two later sources: The Boundaries of Scientific Innovation in the EU Green Deal Context</w:t>
      </w:r>
    </w:p>
    <w:p>
      <w:pPr>
        <w:pStyle w:val="SourceNote"/>
      </w:pPr>
      <w:r>
        <w:rPr>
          <w:b/>
        </w:rPr>
        <w:t>Group ID:</w:t>
      </w:r>
      <w:r>
        <w:t xml:space="preserve"> group-40a3978b664aec55ac8d</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New Role of the European Union and Its Global Projects — https://doi.org/10.46340/eppd.2026.13.3.2</w:t>
      </w:r>
    </w:p>
    <w:p>
      <w:pPr/>
      <w:r>
        <w:rPr>
          <w:b/>
        </w:rPr>
        <w:t>Later source:</w:t>
      </w:r>
      <w:r>
        <w:t xml:space="preserve"> The European Union — https://doi.org/10.60054/peu.2026.13.20-34</w:t>
      </w:r>
    </w:p>
    <w:p>
      <w:pPr>
        <w:pStyle w:val="SourceNote"/>
      </w:pPr>
      <w:r>
        <w:rPr>
          <w:b/>
        </w:rPr>
        <w:t>Review status:</w:t>
      </w:r>
      <w:r>
        <w:t xml:space="preserve"> unchecked — group association only; no outcome judgment</w:t>
      </w:r>
    </w:p>
    <w:p>
      <w:pPr>
        <w:pStyle w:val="Heading2"/>
      </w:pPr>
      <w:r>
        <w:t>393. Claim + two later sources: EUHFORIA: European heliospheric forecasting information asset</w:t>
      </w:r>
    </w:p>
    <w:p>
      <w:pPr>
        <w:pStyle w:val="SourceNote"/>
      </w:pPr>
      <w:r>
        <w:rPr>
          <w:b/>
        </w:rPr>
        <w:t>Group ID:</w:t>
      </w:r>
      <w:r>
        <w:t xml:space="preserve"> group-47b1bbb9f16f72812637</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7.L. Workshop: New roles and innovative skill-mix in nursing across Europe: trends and lessons for implementation — https://doi.org/10.1093/eurpub/ckac129.446</w:t>
      </w:r>
    </w:p>
    <w:p>
      <w:pPr/>
      <w:r>
        <w:rPr>
          <w:b/>
        </w:rPr>
        <w:t>Later source:</w:t>
      </w:r>
      <w:r>
        <w:t xml:space="preserve"> Implementation of circular economy on the basis of European experience — https://doi.org/10.23939/smeu2021.02.280</w:t>
      </w:r>
    </w:p>
    <w:p>
      <w:pPr>
        <w:pStyle w:val="SourceNote"/>
      </w:pPr>
      <w:r>
        <w:rPr>
          <w:b/>
        </w:rPr>
        <w:t>Review status:</w:t>
      </w:r>
      <w:r>
        <w:t xml:space="preserve"> unchecked — group association only; no outcome judgment</w:t>
      </w:r>
    </w:p>
    <w:p>
      <w:pPr>
        <w:pStyle w:val="Heading2"/>
      </w:pPr>
      <w:r>
        <w:t>394. Claim + two later sources: Potential implications of future climate and land‐cover changes for the fate and distribution of persistent organic pollutants in Europe</w:t>
      </w:r>
    </w:p>
    <w:p>
      <w:pPr>
        <w:pStyle w:val="SourceNote"/>
      </w:pPr>
      <w:r>
        <w:rPr>
          <w:b/>
        </w:rPr>
        <w:t>Group ID:</w:t>
      </w:r>
      <w:r>
        <w:t xml:space="preserve"> group-a052efbf76726da53b52</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Twenty Years of Land Accounts in Europe — https://doi.org/10.3390/land13091350</w:t>
      </w:r>
    </w:p>
    <w:p>
      <w:pPr>
        <w:pStyle w:val="SourceNote"/>
      </w:pPr>
      <w:r>
        <w:rPr>
          <w:b/>
        </w:rPr>
        <w:t>Review status:</w:t>
      </w:r>
      <w:r>
        <w:t xml:space="preserve"> unchecked — group association only; no outcome judgment</w:t>
      </w:r>
    </w:p>
    <w:p>
      <w:pPr>
        <w:pStyle w:val="Heading2"/>
      </w:pPr>
      <w:r>
        <w:t>395.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group association only; no outcome judgment</w:t>
      </w:r>
    </w:p>
    <w:p>
      <w:pPr>
        <w:pStyle w:val="Heading2"/>
      </w:pPr>
      <w:r>
        <w:t>396. Claim + two later sources: EUropean Heliospheric FORecasting Information Asset 2.0</w:t>
      </w:r>
    </w:p>
    <w:p>
      <w:pPr>
        <w:pStyle w:val="SourceNote"/>
      </w:pPr>
      <w:r>
        <w:rPr>
          <w:b/>
        </w:rPr>
        <w:t>Group ID:</w:t>
      </w:r>
      <w:r>
        <w:t xml:space="preserve"> group-1f93d7a4c591564c9a8e</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Exploring Hybrid Forecasting Frameworks for Subseasonal Low Flow Predictions in the European Alps — https://doi.org/10.5194/egusphere-2025-3411</w:t>
      </w:r>
    </w:p>
    <w:p>
      <w:pPr/>
      <w:r>
        <w:rPr>
          <w:b/>
        </w:rPr>
        <w:t>Later source:</w:t>
      </w:r>
      <w:r>
        <w:t xml:space="preserve"> Explainable artificial intelligence for reliable water demand forecasting to increase trust in predictions — https://doi.org/10.1016/j.watres.2024.122779</w:t>
      </w:r>
    </w:p>
    <w:p>
      <w:pPr>
        <w:pStyle w:val="SourceNote"/>
      </w:pPr>
      <w:r>
        <w:rPr>
          <w:b/>
        </w:rPr>
        <w:t>Review status:</w:t>
      </w:r>
      <w:r>
        <w:t xml:space="preserve"> unchecked — group association only; no outcome judgment</w:t>
      </w:r>
    </w:p>
    <w:p>
      <w:pPr>
        <w:pStyle w:val="Heading2"/>
      </w:pPr>
      <w:r>
        <w:t>397. Claim + two later sources: Application of the UK Foresight Obesity Model in Ireland: The Health and Economic Consequences of Projected Obesity Trends in Ireland</w:t>
      </w:r>
    </w:p>
    <w:p>
      <w:pPr>
        <w:pStyle w:val="SourceNote"/>
      </w:pPr>
      <w:r>
        <w:rPr>
          <w:b/>
        </w:rPr>
        <w:t>Group ID:</w:t>
      </w:r>
      <w:r>
        <w:t xml:space="preserve"> group-c40e9d792d9ed968549f</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Comparative Analysis of Direct Costs of Cancer and Risk Factors in Europe — https://doi.org/10.24818/ejis.2025.03</w:t>
      </w:r>
    </w:p>
    <w:p>
      <w:pPr/>
      <w:r>
        <w:rPr>
          <w:b/>
        </w:rPr>
        <w:t>Later source:</w:t>
      </w:r>
      <w:r>
        <w:t xml:space="preserve"> Modelling costs of interventional pulmonary embolism treatment: implications of US trends for a European healthcare system — https://doi.org/10.1093/ehjacc/zuae019</w:t>
      </w:r>
    </w:p>
    <w:p>
      <w:pPr>
        <w:pStyle w:val="SourceNote"/>
      </w:pPr>
      <w:r>
        <w:rPr>
          <w:b/>
        </w:rPr>
        <w:t>Review status:</w:t>
      </w:r>
      <w:r>
        <w:t xml:space="preserve"> unchecked — group association only; no outcome judgment</w:t>
      </w:r>
    </w:p>
    <w:p>
      <w:pPr>
        <w:pStyle w:val="Heading2"/>
      </w:pPr>
      <w:r>
        <w:t>398. Claim + two later sources: Solar Photovoltaic Electricity Generation: A Lifeline for the European Coal Regions in Transition</w:t>
      </w:r>
    </w:p>
    <w:p>
      <w:pPr>
        <w:pStyle w:val="SourceNote"/>
      </w:pPr>
      <w:r>
        <w:rPr>
          <w:b/>
        </w:rPr>
        <w:t>Group ID:</w:t>
      </w:r>
      <w:r>
        <w:t xml:space="preserve"> group-4ca6cccf55553885299a</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Empowering whose future? A European policy analysis of children in energy poverty — https://doi.org/10.1016/j.erss.2023.103328</w:t>
      </w:r>
    </w:p>
    <w:p>
      <w:pPr/>
      <w:r>
        <w:rPr>
          <w:b/>
        </w:rPr>
        <w:t>Later source:</w:t>
      </w:r>
      <w:r>
        <w:t xml:space="preserve"> UKRAINE IN THE INTERNATIONAL ENERGY COORDINATE SYSTEM — https://doi.org/10.20998/2313-8890.2023.01.04</w:t>
      </w:r>
    </w:p>
    <w:p>
      <w:pPr>
        <w:pStyle w:val="SourceNote"/>
      </w:pPr>
      <w:r>
        <w:rPr>
          <w:b/>
        </w:rPr>
        <w:t>Review status:</w:t>
      </w:r>
      <w:r>
        <w:t xml:space="preserve"> unchecked — group association only; no outcome judgment</w:t>
      </w:r>
    </w:p>
    <w:p>
      <w:pPr>
        <w:pStyle w:val="Heading2"/>
      </w:pPr>
      <w:r>
        <w:t>399. Claim + two later sources: When will European Muslim population be majority and in which country?</w:t>
      </w:r>
    </w:p>
    <w:p>
      <w:pPr>
        <w:pStyle w:val="SourceNote"/>
      </w:pPr>
      <w:r>
        <w:rPr>
          <w:b/>
        </w:rPr>
        <w:t>Group ID:</w:t>
      </w:r>
      <w:r>
        <w:t xml:space="preserve"> group-cf42276fd17d0242824d</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CSR and cost of debt in three European countries — https://doi.org/10.1007/s43621-026-03822-5</w:t>
      </w:r>
    </w:p>
    <w:p>
      <w:pPr>
        <w:pStyle w:val="SourceNote"/>
      </w:pPr>
      <w:r>
        <w:rPr>
          <w:b/>
        </w:rPr>
        <w:t>Review status:</w:t>
      </w:r>
      <w:r>
        <w:t xml:space="preserve"> unchecked — group association only; no outcome judgment</w:t>
      </w:r>
    </w:p>
    <w:p>
      <w:pPr>
        <w:pStyle w:val="Heading2"/>
      </w:pPr>
      <w:r>
        <w:t>400. Claim + two later sources: Future life expectancy in 35 industrialised countries: projections with a Bayesian model ensemble</w:t>
      </w:r>
    </w:p>
    <w:p>
      <w:pPr>
        <w:pStyle w:val="SourceNote"/>
      </w:pPr>
      <w:r>
        <w:rPr>
          <w:b/>
        </w:rPr>
        <w:t>Group ID:</w:t>
      </w:r>
      <w:r>
        <w:t xml:space="preserve"> group-10d0d04d669a12fccff7</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Deciphering the sex gap in global life expectancy: the impact of female-specific cancers 1990-2019 — https://doi.org/10.1093/jnci/djae191</w:t>
      </w:r>
    </w:p>
    <w:p>
      <w:pPr/>
      <w:r>
        <w:rPr>
          <w:b/>
        </w:rPr>
        <w:t>Later source:</w:t>
      </w:r>
      <w:r>
        <w:t xml:space="preserve"> Seasonality in mortality and its impact on life expectancy levels and trends across Europe — https://doi.org/10.1136/jech-2024-223050</w:t>
      </w:r>
    </w:p>
    <w:p>
      <w:pPr>
        <w:pStyle w:val="SourceNote"/>
      </w:pPr>
      <w:r>
        <w:rPr>
          <w:b/>
        </w:rPr>
        <w:t>Review status:</w:t>
      </w:r>
      <w:r>
        <w:t xml:space="preserve"> unchecked — group association only; no outcome judgment</w:t>
      </w:r>
    </w:p>
    <w:p>
      <w:pPr>
        <w:pStyle w:val="Heading2"/>
      </w:pPr>
      <w:r>
        <w:t>401. Claim + two later sources: The Role of BECCS in Achieving Climate Neutrality in the European Union</w:t>
      </w:r>
    </w:p>
    <w:p>
      <w:pPr>
        <w:pStyle w:val="SourceNote"/>
      </w:pPr>
      <w:r>
        <w:rPr>
          <w:b/>
        </w:rPr>
        <w:t>Group ID:</w:t>
      </w:r>
      <w:r>
        <w:t xml:space="preserve"> group-e99ff2a608564cd9f63b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CLIMATE NEUTRALITY IN THE EUROPEAN UNION: LEGAL CHALLENGES AND NATIONAL STRATEGIES — https://doi.org/10.17721/apmv.2025.163.1.78-85</w:t>
      </w:r>
    </w:p>
    <w:p>
      <w:pPr/>
      <w:r>
        <w:rPr>
          <w:b/>
        </w:rPr>
        <w:t>Later source:</w:t>
      </w:r>
      <w:r>
        <w:t xml:space="preserve"> Cluster Analysis of the Transition to Climate Neutrality in the European Union — https://doi.org/10.1002/sd.70064</w:t>
      </w:r>
    </w:p>
    <w:p>
      <w:pPr>
        <w:pStyle w:val="SourceNote"/>
      </w:pPr>
      <w:r>
        <w:rPr>
          <w:b/>
        </w:rPr>
        <w:t>Review status:</w:t>
      </w:r>
      <w:r>
        <w:t xml:space="preserve"> unchecked — group association only; no outcome judgment</w:t>
      </w:r>
    </w:p>
    <w:p>
      <w:pPr>
        <w:pStyle w:val="Heading2"/>
      </w:pPr>
      <w:r>
        <w:t>402. Claim + two later sources: Ecosystem service provision in a changing Europe: adapting to the impacts of combined climate and socio-economic change</w:t>
      </w:r>
    </w:p>
    <w:p>
      <w:pPr>
        <w:pStyle w:val="SourceNote"/>
      </w:pPr>
      <w:r>
        <w:rPr>
          <w:b/>
        </w:rPr>
        <w:t>Group ID:</w:t>
      </w:r>
      <w:r>
        <w:t xml:space="preserve"> group-7c0e29cc7c71b0685f02</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Developing a cloud-based service offering actionable coastal climate risk and adaptation data across Europe — https://doi.org/10.1016/j.cliser.2026.100678</w:t>
      </w:r>
    </w:p>
    <w:p>
      <w:pPr>
        <w:pStyle w:val="SourceNote"/>
      </w:pPr>
      <w:r>
        <w:rPr>
          <w:b/>
        </w:rPr>
        <w:t>Review status:</w:t>
      </w:r>
      <w:r>
        <w:t xml:space="preserve"> unchecked — group association only; no outcome judgment</w:t>
      </w:r>
    </w:p>
    <w:p>
      <w:pPr>
        <w:pStyle w:val="Heading2"/>
      </w:pPr>
      <w:r>
        <w:t>403. Claim + two later sources: Future scenarios for a depressed region of England: the role of education in creating alternative futures</w:t>
      </w:r>
    </w:p>
    <w:p>
      <w:pPr>
        <w:pStyle w:val="SourceNote"/>
      </w:pPr>
      <w:r>
        <w:rPr>
          <w:b/>
        </w:rPr>
        <w:t>Group ID:</w:t>
      </w:r>
      <w:r>
        <w:t xml:space="preserve"> group-c35799e78a69048df98a</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Relationship between Seminars and Employee Performance in Level Four Hospitals in South-Rift Region, Kenya — https://doi.org/10.47772/ijriss.2024.8100084</w:t>
      </w:r>
    </w:p>
    <w:p>
      <w:pPr>
        <w:pStyle w:val="SourceNote"/>
      </w:pPr>
      <w:r>
        <w:rPr>
          <w:b/>
        </w:rPr>
        <w:t>Review status:</w:t>
      </w:r>
      <w:r>
        <w:t xml:space="preserve"> unchecked — group association only; no outcome judgment</w:t>
      </w:r>
    </w:p>
    <w:p>
      <w:pPr>
        <w:pStyle w:val="Heading2"/>
      </w:pPr>
      <w:r>
        <w:t>404. Claim + two later sources: Future mobility in an ageing society – Where are we heading?</w:t>
      </w:r>
    </w:p>
    <w:p>
      <w:pPr>
        <w:pStyle w:val="SourceNote"/>
      </w:pPr>
      <w:r>
        <w:rPr>
          <w:b/>
        </w:rPr>
        <w:t>Group ID:</w:t>
      </w:r>
      <w:r>
        <w:t xml:space="preserve"> group-36bde5ec0d0d6c999c67</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The synergy of exercise and a planned diet in mitigating oxidative stress — https://doi.org/10.22271/journalofsport.2025.v10.i1d.3043</w:t>
      </w:r>
    </w:p>
    <w:p>
      <w:pPr/>
      <w:r>
        <w:rPr>
          <w:b/>
        </w:rPr>
        <w:t>Later source:</w:t>
      </w:r>
      <w:r>
        <w:t xml:space="preserve"> Bodily maps of exercise-induced feelings — https://doi.org/10.1038/s41598-025-07246-5</w:t>
      </w:r>
    </w:p>
    <w:p>
      <w:pPr>
        <w:pStyle w:val="SourceNote"/>
      </w:pPr>
      <w:r>
        <w:rPr>
          <w:b/>
        </w:rPr>
        <w:t>Review status:</w:t>
      </w:r>
      <w:r>
        <w:t xml:space="preserve"> unchecked — group association only; no outcome judgment</w:t>
      </w:r>
    </w:p>
    <w:p>
      <w:pPr>
        <w:pStyle w:val="Heading2"/>
      </w:pPr>
      <w:r>
        <w:t>405. Claim + two later sources: The Economic Impact of Investment in Renewables in Croatia by 2030</w:t>
      </w:r>
    </w:p>
    <w:p>
      <w:pPr>
        <w:pStyle w:val="SourceNote"/>
      </w:pPr>
      <w:r>
        <w:rPr>
          <w:b/>
        </w:rPr>
        <w:t>Group ID:</w:t>
      </w:r>
      <w:r>
        <w:t xml:space="preserve"> group-781f0723aa5f814e58f5</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THE HUSSITE MOVEMENT IN THE CZECH REPUBLIC — https://doi.org/10.31470/2786-8583-2024-4-105-110</w:t>
      </w:r>
    </w:p>
    <w:p>
      <w:pPr/>
      <w:r>
        <w:rPr>
          <w:b/>
        </w:rPr>
        <w:t>Later source:</w:t>
      </w:r>
      <w:r>
        <w:t xml:space="preserve"> European policy of the Republic of Türkiye: stages, priorities, transformations — https://doi.org/10.17721/2524-048x.2025.32.1</w:t>
      </w:r>
    </w:p>
    <w:p>
      <w:pPr>
        <w:pStyle w:val="SourceNote"/>
      </w:pPr>
      <w:r>
        <w:rPr>
          <w:b/>
        </w:rPr>
        <w:t>Review status:</w:t>
      </w:r>
      <w:r>
        <w:t xml:space="preserve"> unchecked — group association only; no outcome judgment</w:t>
      </w:r>
    </w:p>
    <w:p>
      <w:pPr>
        <w:pStyle w:val="Heading2"/>
      </w:pPr>
      <w:r>
        <w:t>406. Claim + two later sources: Use of Counterfactual Population Projections for Assessing the Demographic Determinants of Population Ageing</w:t>
      </w:r>
    </w:p>
    <w:p>
      <w:pPr>
        <w:pStyle w:val="SourceNote"/>
      </w:pPr>
      <w:r>
        <w:rPr>
          <w:b/>
        </w:rPr>
        <w:t>Group ID:</w:t>
      </w:r>
      <w:r>
        <w:t xml:space="preserve"> group-c0f205ac91831a73c304</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Regional Disparities in Ageing and Longevity in Nepal: A Comprehensive Analysis by Province and Ecological Zone — https://doi.org/10.3126/oj.v3i4.91080</w:t>
      </w:r>
    </w:p>
    <w:p>
      <w:pPr/>
      <w:r>
        <w:rPr>
          <w:b/>
        </w:rPr>
        <w:t>Later source:</w:t>
      </w:r>
      <w:r>
        <w:t xml:space="preserve"> Inconsistent findings of ageing across different feather-quality indices in a wild passerine — https://doi.org/10.32942/x28953</w:t>
      </w:r>
    </w:p>
    <w:p>
      <w:pPr>
        <w:pStyle w:val="SourceNote"/>
      </w:pPr>
      <w:r>
        <w:rPr>
          <w:b/>
        </w:rPr>
        <w:t>Review status:</w:t>
      </w:r>
      <w:r>
        <w:t xml:space="preserve"> unchecked — group association only; no outcome judgment</w:t>
      </w:r>
    </w:p>
    <w:p>
      <w:pPr>
        <w:pStyle w:val="Heading2"/>
      </w:pPr>
      <w:r>
        <w:t>407.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group-d187b45be5348823b9fb</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Anticipating tomorrow: The role of corporate foresight and prospective sensemaking in managing digital changes by established organizations — https://doi.org/10.1111/emre.70054</w:t>
      </w:r>
    </w:p>
    <w:p>
      <w:pPr/>
      <w:r>
        <w:rPr>
          <w:b/>
        </w:rPr>
        <w:t>Later source:</w:t>
      </w:r>
      <w:r>
        <w:t xml:space="preserve"> Foresight: the general course. Foresight technology as a tool for innovative development — https://doi.org/10.12737/2223654</w:t>
      </w:r>
    </w:p>
    <w:p>
      <w:pPr>
        <w:pStyle w:val="SourceNote"/>
      </w:pPr>
      <w:r>
        <w:rPr>
          <w:b/>
        </w:rPr>
        <w:t>Review status:</w:t>
      </w:r>
      <w:r>
        <w:t xml:space="preserve"> unchecked — group association only; no outcome judgment</w:t>
      </w:r>
    </w:p>
    <w:p>
      <w:pPr>
        <w:pStyle w:val="Heading2"/>
      </w:pPr>
      <w:r>
        <w:t>408. Claim + two later sources: FORECASTED TRENDS IN CHANGES OF VEGETATION IN THE EUROPEAN PART OF RUSSIA IN CONNECTION WITH GLOBAL WARMING</w:t>
      </w:r>
    </w:p>
    <w:p>
      <w:pPr>
        <w:pStyle w:val="SourceNote"/>
      </w:pPr>
      <w:r>
        <w:rPr>
          <w:b/>
        </w:rPr>
        <w:t>Group ID:</w:t>
      </w:r>
      <w:r>
        <w:t xml:space="preserve"> group-d43e205f08d0bbf37240</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Climate-Adapted Potential Vegetation—A European Multiclass Model Estimating the Future Potential of Natural Vegetation — https://doi.org/10.3390/f14020239</w:t>
      </w:r>
    </w:p>
    <w:p>
      <w:pPr/>
      <w:r>
        <w:rPr>
          <w:b/>
        </w:rPr>
        <w:t>Later source:</w:t>
      </w:r>
      <w:r>
        <w:t xml:space="preserve"> Testing the Effect of Relative Pollen Productivity on the REVEALS Model: A Validated Reconstruction of Europe-Wide Holocene Vegetation — https://doi.org/10.3390/land12050986</w:t>
      </w:r>
    </w:p>
    <w:p>
      <w:pPr>
        <w:pStyle w:val="SourceNote"/>
      </w:pPr>
      <w:r>
        <w:rPr>
          <w:b/>
        </w:rPr>
        <w:t>Review status:</w:t>
      </w:r>
      <w:r>
        <w:t xml:space="preserve"> unchecked — group association only; no outcome judgment</w:t>
      </w:r>
    </w:p>
    <w:p>
      <w:pPr>
        <w:pStyle w:val="Heading2"/>
      </w:pPr>
      <w:r>
        <w:t>409. Claim + two later sources: The role of transmission and energy storage in European decarbonization towards 2050</w:t>
      </w:r>
    </w:p>
    <w:p>
      <w:pPr>
        <w:pStyle w:val="SourceNote"/>
      </w:pPr>
      <w:r>
        <w:rPr>
          <w:b/>
        </w:rPr>
        <w:t>Group ID:</w:t>
      </w:r>
      <w:r>
        <w:t xml:space="preserve"> group-628dd31bd485ad2950f1</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Decadal Prediction for the European Energy Sector — https://doi.org/10.1002/met.70054</w:t>
      </w:r>
    </w:p>
    <w:p>
      <w:pPr/>
      <w:r>
        <w:rPr>
          <w:b/>
        </w:rPr>
        <w:t>Later source:</w:t>
      </w:r>
      <w:r>
        <w:t xml:space="preserve"> What pace for direct electrification? Insights from co-optimised pathways in the European chemical and power sector — https://doi.org/10.1016/j.ecmx.2024.100839</w:t>
      </w:r>
    </w:p>
    <w:p>
      <w:pPr>
        <w:pStyle w:val="SourceNote"/>
      </w:pPr>
      <w:r>
        <w:rPr>
          <w:b/>
        </w:rPr>
        <w:t>Review status:</w:t>
      </w:r>
      <w:r>
        <w:t xml:space="preserve"> unchecked — group association only; no outcome judgment</w:t>
      </w:r>
    </w:p>
    <w:p>
      <w:pPr>
        <w:pStyle w:val="Heading2"/>
      </w:pPr>
      <w:r>
        <w:t>410. Claim + two later sources: Strategies for emerging research and innovation futures</w:t>
      </w:r>
    </w:p>
    <w:p>
      <w:pPr>
        <w:pStyle w:val="SourceNote"/>
      </w:pPr>
      <w:r>
        <w:rPr>
          <w:b/>
        </w:rPr>
        <w:t>Group ID:</w:t>
      </w:r>
      <w:r>
        <w:t xml:space="preserve"> group-d734e93232bd53a1fd4b</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Light is Calling — https://doi.org/10.5117/9789089649966_ch06</w:t>
      </w:r>
    </w:p>
    <w:p>
      <w:pPr>
        <w:pStyle w:val="SourceNote"/>
      </w:pPr>
      <w:r>
        <w:rPr>
          <w:b/>
        </w:rPr>
        <w:t>Review status:</w:t>
      </w:r>
      <w:r>
        <w:t xml:space="preserve"> unchecked — group association only; no outcome judgment</w:t>
      </w:r>
    </w:p>
    <w:p>
      <w:pPr>
        <w:pStyle w:val="Heading2"/>
      </w:pPr>
      <w:r>
        <w:t>411. Claim + two later sources: Consistent economic cross-sectoral climate change impact scenario analysis: Method and application to Austria</w:t>
      </w:r>
    </w:p>
    <w:p>
      <w:pPr>
        <w:pStyle w:val="SourceNote"/>
      </w:pPr>
      <w:r>
        <w:rPr>
          <w:b/>
        </w:rPr>
        <w:t>Group ID:</w:t>
      </w:r>
      <w:r>
        <w:t xml:space="preserve"> group-b30193ceb1cb4b0fa635</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Climate resilience of European wine regions — https://doi.org/10.1038/s41467-024-50549-w</w:t>
      </w:r>
    </w:p>
    <w:p>
      <w:pPr/>
      <w:r>
        <w:rPr>
          <w:b/>
        </w:rPr>
        <w:t>Later source:</w:t>
      </w:r>
      <w:r>
        <w:t xml:space="preserve"> The first map of crop sequence types in Europe over 2012–2018 — https://doi.org/10.5194/essd-15-5651-2023</w:t>
      </w:r>
    </w:p>
    <w:p>
      <w:pPr>
        <w:pStyle w:val="SourceNote"/>
      </w:pPr>
      <w:r>
        <w:rPr>
          <w:b/>
        </w:rPr>
        <w:t>Review status:</w:t>
      </w:r>
      <w:r>
        <w:t xml:space="preserve"> unchecked — group association only; no outcome judgment</w:t>
      </w:r>
    </w:p>
    <w:p>
      <w:pPr>
        <w:pStyle w:val="Heading2"/>
      </w:pPr>
      <w:r>
        <w:t>412. Claim + two later sources: POPULATION FORECAST WITH THE DATA PROCESSING GROUP METHOD (GMDH) type NEURAL NETWORK FOR EUROPEAN UNION COUNTRIES</w:t>
      </w:r>
    </w:p>
    <w:p>
      <w:pPr>
        <w:pStyle w:val="SourceNote"/>
      </w:pPr>
      <w:r>
        <w:rPr>
          <w:b/>
        </w:rPr>
        <w:t>Group ID:</w:t>
      </w:r>
      <w:r>
        <w:t xml:space="preserve"> group-b45e4a8cd2f355227cf8</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An Analytical Approach to Comparing Actual Vs. Fundamental “Enterprise Value-to-EBITDA” Ratios on the US and European Stock Markets — https://doi.org/10.37075/faba.2025.2.08</w:t>
      </w:r>
    </w:p>
    <w:p>
      <w:pPr/>
      <w:r>
        <w:rPr>
          <w:b/>
        </w:rPr>
        <w:t>Later source:</w:t>
      </w:r>
      <w:r>
        <w:t xml:space="preserve"> Plural Values of Culture in Europe — https://openalex.org/W7137507789</w:t>
      </w:r>
    </w:p>
    <w:p>
      <w:pPr>
        <w:pStyle w:val="SourceNote"/>
      </w:pPr>
      <w:r>
        <w:rPr>
          <w:b/>
        </w:rPr>
        <w:t>Review status:</w:t>
      </w:r>
      <w:r>
        <w:t xml:space="preserve"> unchecked — group association only; no outcome judgment</w:t>
      </w:r>
    </w:p>
    <w:p>
      <w:pPr>
        <w:pStyle w:val="Heading2"/>
      </w:pPr>
      <w:r>
        <w:t>413.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group-1e9e785c924904fbaf49</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Key сhallenges of EU environmental law arising from the European Green Deal — https://doi.org/10.24144/2307-3322.2026.94.2.29</w:t>
      </w:r>
    </w:p>
    <w:p>
      <w:pPr/>
      <w:r>
        <w:rPr>
          <w:b/>
        </w:rPr>
        <w:t>Later source:</w:t>
      </w:r>
      <w:r>
        <w:t xml:space="preserve"> European ATM Key Performance Metrics Evolution — https://doi.org/10.35116/aa.2024.0006</w:t>
      </w:r>
    </w:p>
    <w:p>
      <w:pPr>
        <w:pStyle w:val="SourceNote"/>
      </w:pPr>
      <w:r>
        <w:rPr>
          <w:b/>
        </w:rPr>
        <w:t>Review status:</w:t>
      </w:r>
      <w:r>
        <w:t xml:space="preserve"> unchecked — group association only; no outcome judgment</w:t>
      </w:r>
    </w:p>
    <w:p>
      <w:pPr>
        <w:pStyle w:val="Heading2"/>
      </w:pPr>
      <w:r>
        <w:t>414. Claim + two later sources: The future of polarisation in Europe: relative cosmopolitanism and democracy</w:t>
      </w:r>
    </w:p>
    <w:p>
      <w:pPr>
        <w:pStyle w:val="SourceNote"/>
      </w:pPr>
      <w:r>
        <w:rPr>
          <w:b/>
        </w:rPr>
        <w:t>Group ID:</w:t>
      </w:r>
      <w:r>
        <w:t xml:space="preserve"> group-78798cf0ba48249cbcd4</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INTRODUCTORY PREFACE: Publication Patterns of the Central European Public Administration Review – A Bibliometric Analysis — https://doi.org/10.17573/cepar.2024.1.01</w:t>
      </w:r>
    </w:p>
    <w:p>
      <w:pPr/>
      <w:r>
        <w:rPr>
          <w:b/>
        </w:rPr>
        <w:t>Later source:</w:t>
      </w:r>
      <w:r>
        <w:t xml:space="preserve"> Śvetāśvatara-Upaniṣad 1.1-16 / Translation from Sanskrit, Introductory Article and Commentaries by Yu. Zavhorodnii — https://doi.org/10.15407/orientw2024.03.292</w:t>
      </w:r>
    </w:p>
    <w:p>
      <w:pPr>
        <w:pStyle w:val="SourceNote"/>
      </w:pPr>
      <w:r>
        <w:rPr>
          <w:b/>
        </w:rPr>
        <w:t>Review status:</w:t>
      </w:r>
      <w:r>
        <w:t xml:space="preserve"> unchecked — group association only; no outcome judgment</w:t>
      </w:r>
    </w:p>
    <w:p>
      <w:pPr>
        <w:pStyle w:val="Heading2"/>
      </w:pPr>
      <w:r>
        <w:t>415. Claim + two later sources: Energy Scenario Analysis for the Nordic Transport Sector: A Critical Review</w:t>
      </w:r>
    </w:p>
    <w:p>
      <w:pPr>
        <w:pStyle w:val="SourceNote"/>
      </w:pPr>
      <w:r>
        <w:rPr>
          <w:b/>
        </w:rPr>
        <w:t>Group ID:</w:t>
      </w:r>
      <w:r>
        <w:t xml:space="preserve"> group-72c402caac072e01490b</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Downstream Diversification of Critical Mineral-Rich Countries — https://doi.org/10.1007/978-3-032-06139-3_1</w:t>
      </w:r>
    </w:p>
    <w:p>
      <w:pPr/>
      <w:r>
        <w:rPr>
          <w:b/>
        </w:rPr>
        <w:t>Later source:</w:t>
      </w:r>
      <w:r>
        <w:t xml:space="preserve"> Rethinking Economic Policies: Diversification and Governance Strategies to Address the Resource Curse in Mineral‐Rich Economies — https://doi.org/10.1111/nrm.70011</w:t>
      </w:r>
    </w:p>
    <w:p>
      <w:pPr>
        <w:pStyle w:val="SourceNote"/>
      </w:pPr>
      <w:r>
        <w:rPr>
          <w:b/>
        </w:rPr>
        <w:t>Review status:</w:t>
      </w:r>
      <w:r>
        <w:t xml:space="preserve"> unchecked — group association only; no outcome judgment</w:t>
      </w:r>
    </w:p>
    <w:p>
      <w:pPr>
        <w:pStyle w:val="Heading2"/>
      </w:pPr>
      <w:r>
        <w:t>416. Claim + two later sources: Suitability of European climate for the Asian tiger mosquito Aedes albopictus : recent trends and future scenarios</w:t>
      </w:r>
    </w:p>
    <w:p>
      <w:pPr>
        <w:pStyle w:val="SourceNote"/>
      </w:pPr>
      <w:r>
        <w:rPr>
          <w:b/>
        </w:rPr>
        <w:t>Group ID:</w:t>
      </w:r>
      <w:r>
        <w:t xml:space="preserve"> group-fb2b5bfc412e8abd774b</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#148 Impact of targeted screening in high-risk individuals and guideline-directed medical therapy on CKD burden in Europe: projections from IMPACT CKD — https://doi.org/10.1093/ndt/gfaf116.047</w:t>
      </w:r>
    </w:p>
    <w:p>
      <w:pPr/>
      <w:r>
        <w:rPr>
          <w:b/>
        </w:rPr>
        <w:t>Later source:</w:t>
      </w:r>
      <w:r>
        <w:t xml:space="preserve"> Estimating the potential risk of transmission of arboviruses in the Americas and Europe: a modelling study — https://doi.org/10.1016/s2542-5196(23)00252-8</w:t>
      </w:r>
    </w:p>
    <w:p>
      <w:pPr>
        <w:pStyle w:val="SourceNote"/>
      </w:pPr>
      <w:r>
        <w:rPr>
          <w:b/>
        </w:rPr>
        <w:t>Review status:</w:t>
      </w:r>
      <w:r>
        <w:t xml:space="preserve"> unchecked — group association only; no outcome judgment</w:t>
      </w:r>
    </w:p>
    <w:p>
      <w:pPr>
        <w:pStyle w:val="Heading2"/>
      </w:pPr>
      <w:r>
        <w:t>417. Claim + two later sources: OPERATIONAL EARTHQUAKE FORECASTING. State of Knowledge and Guidelines for Utilization</w:t>
      </w:r>
    </w:p>
    <w:p>
      <w:pPr>
        <w:pStyle w:val="SourceNote"/>
      </w:pPr>
      <w:r>
        <w:rPr>
          <w:b/>
        </w:rPr>
        <w:t>Group ID:</w:t>
      </w:r>
      <w:r>
        <w:t xml:space="preserve"> group-77d8c9ca1efb52305029</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Modelling of the long-term evolution and performance of engineered barrier system — https://doi.org/10.1051/epjn/2022038</w:t>
      </w:r>
    </w:p>
    <w:p>
      <w:pPr>
        <w:pStyle w:val="SourceNote"/>
      </w:pPr>
      <w:r>
        <w:rPr>
          <w:b/>
        </w:rPr>
        <w:t>Review status:</w:t>
      </w:r>
      <w:r>
        <w:t xml:space="preserve"> unchecked — group association only; no outcome judgment</w:t>
      </w:r>
    </w:p>
    <w:p>
      <w:pPr>
        <w:pStyle w:val="Heading2"/>
      </w:pPr>
      <w:r>
        <w:t>418. Claim + two later sources: The European Health Union: European Union’s Concern about Health for All. Concepts, Definition, and Scenarios</w:t>
      </w:r>
    </w:p>
    <w:p>
      <w:pPr>
        <w:pStyle w:val="SourceNote"/>
      </w:pPr>
      <w:r>
        <w:rPr>
          <w:b/>
        </w:rPr>
        <w:t>Group ID:</w:t>
      </w:r>
      <w:r>
        <w:t xml:space="preserve"> group-b46bcf8d2ba75d398a0e</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Urban labs beyond Europe: the formation and contextualization of experimental climate governance in five Latin American cities — https://doi.org/10.1177/09562478241230462</w:t>
      </w:r>
    </w:p>
    <w:p>
      <w:pPr/>
      <w:r>
        <w:rPr>
          <w:b/>
        </w:rPr>
        <w:t>Later source:</w:t>
      </w:r>
      <w:r>
        <w:t xml:space="preserve"> Evaluation of Colon Capsule Utilisation in Europe—CAPTURE EU Survey Findings — https://doi.org/10.3390/jcm14010099</w:t>
      </w:r>
    </w:p>
    <w:p>
      <w:pPr>
        <w:pStyle w:val="SourceNote"/>
      </w:pPr>
      <w:r>
        <w:rPr>
          <w:b/>
        </w:rPr>
        <w:t>Review status:</w:t>
      </w:r>
      <w:r>
        <w:t xml:space="preserve"> unchecked — group association only; no outcome judgment</w:t>
      </w:r>
    </w:p>
    <w:p>
      <w:pPr>
        <w:pStyle w:val="Heading2"/>
      </w:pPr>
      <w:r>
        <w:t>419. Claim + two later sources: Ageing population and labour productivity in Bulgaria</w:t>
      </w:r>
    </w:p>
    <w:p>
      <w:pPr>
        <w:pStyle w:val="SourceNote"/>
      </w:pPr>
      <w:r>
        <w:rPr>
          <w:b/>
        </w:rPr>
        <w:t>Group ID:</w:t>
      </w:r>
      <w:r>
        <w:t xml:space="preserve"> group-3ce8819b68f9a6b5347d</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Migrants’ and refugees’ health status and healthcare in Europe: a scoping literature review — https://doi.org/10.1186/s12889-020-08749-8</w:t>
      </w:r>
    </w:p>
    <w:p>
      <w:pPr/>
      <w:r>
        <w:rPr>
          <w:b/>
        </w:rPr>
        <w:t>Later source:</w:t>
      </w:r>
      <w:r>
        <w:t xml:space="preserve"> The European media discourse on immigration and its effects: a literature review — https://doi.org/10.1080/23808985.2018.1497452</w:t>
      </w:r>
    </w:p>
    <w:p>
      <w:pPr>
        <w:pStyle w:val="SourceNote"/>
      </w:pPr>
      <w:r>
        <w:rPr>
          <w:b/>
        </w:rPr>
        <w:t>Review status:</w:t>
      </w:r>
      <w:r>
        <w:t xml:space="preserve"> unchecked — group association only; no outcome judgment</w:t>
      </w:r>
    </w:p>
    <w:p>
      <w:pPr>
        <w:pStyle w:val="Heading2"/>
      </w:pPr>
      <w:r>
        <w:t>420. Claim + two later sources: Analysing the potential of integrating wind and solar power in Europe using spatial optimisation under various scenarios</w:t>
      </w:r>
    </w:p>
    <w:p>
      <w:pPr>
        <w:pStyle w:val="SourceNote"/>
      </w:pPr>
      <w:r>
        <w:rPr>
          <w:b/>
        </w:rPr>
        <w:t>Group ID:</w:t>
      </w:r>
      <w:r>
        <w:t xml:space="preserve"> group-37f053c96a832184b4f6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The opportunities and potential of camelina in marginal land in Europe — https://doi.org/10.1016/j.indcrop.2024.118224</w:t>
      </w:r>
    </w:p>
    <w:p>
      <w:pPr/>
      <w:r>
        <w:rPr>
          <w:b/>
        </w:rPr>
        <w:t>Later source:</w:t>
      </w:r>
      <w:r>
        <w:t xml:space="preserve"> Disparities of Central and Eastern European Countries of European Union in innovation potential: A multi-criteria assessment — https://doi.org/10.1016/j.joitmc.2024.100282</w:t>
      </w:r>
    </w:p>
    <w:p>
      <w:pPr>
        <w:pStyle w:val="SourceNote"/>
      </w:pPr>
      <w:r>
        <w:rPr>
          <w:b/>
        </w:rPr>
        <w:t>Review status:</w:t>
      </w:r>
      <w:r>
        <w:t xml:space="preserve"> unchecked — group association only; no outcome judgment</w:t>
      </w:r>
    </w:p>
    <w:p>
      <w:pPr>
        <w:pStyle w:val="Heading2"/>
      </w:pPr>
      <w:r>
        <w:t>421. Claim + two later sources: How Sustainable Development Goals interlinkages influence European Union countries’ progress towards the 2030 Agenda</w:t>
      </w:r>
    </w:p>
    <w:p>
      <w:pPr>
        <w:pStyle w:val="SourceNote"/>
      </w:pPr>
      <w:r>
        <w:rPr>
          <w:b/>
        </w:rPr>
        <w:t>Group ID:</w:t>
      </w:r>
      <w:r>
        <w:t xml:space="preserve"> group-d9781dbc754352ca957d</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Navigating trade-offs: Energy dependency, geopolitical shocks, and sustainability in European parliamentary debates — https://doi.org/10.1016/j.erss.2025.104198</w:t>
      </w:r>
    </w:p>
    <w:p>
      <w:pPr/>
      <w:r>
        <w:rPr>
          <w:b/>
        </w:rPr>
        <w:t>Later source:</w:t>
      </w:r>
      <w:r>
        <w:t xml:space="preserve"> Family matters: the role of trade-offs in shaping human life-histories and health — https://doi.org/10.33612/diss.1419980082</w:t>
      </w:r>
    </w:p>
    <w:p>
      <w:pPr>
        <w:pStyle w:val="SourceNote"/>
      </w:pPr>
      <w:r>
        <w:rPr>
          <w:b/>
        </w:rPr>
        <w:t>Review status:</w:t>
      </w:r>
      <w:r>
        <w:t xml:space="preserve"> unchecked — group association only; no outcome judgment</w:t>
      </w:r>
    </w:p>
    <w:p>
      <w:pPr>
        <w:pStyle w:val="Heading2"/>
      </w:pPr>
      <w:r>
        <w:t>422. Claim + two later sources: Decoupling transport-related greenhouse gas emissions and economic growth in the European Union countries</w:t>
      </w:r>
    </w:p>
    <w:p>
      <w:pPr>
        <w:pStyle w:val="SourceNote"/>
      </w:pPr>
      <w:r>
        <w:rPr>
          <w:b/>
        </w:rPr>
        <w:t>Group ID:</w:t>
      </w:r>
      <w:r>
        <w:t xml:space="preserve"> group-480da67e5022b36ab3a8</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 https://doi.org/10.1017/9781009293723.009</w:t>
      </w:r>
    </w:p>
    <w:p>
      <w:pPr/>
      <w:r>
        <w:rPr>
          <w:b/>
        </w:rPr>
        <w:t>Later source:</w:t>
      </w:r>
      <w:r>
        <w:t xml:space="preserve"> Setting the course: aligning European Union marine pollution policy ambitions with environmental realities — https://doi.org/10.3389/fmars.2025.1586918</w:t>
      </w:r>
    </w:p>
    <w:p>
      <w:pPr>
        <w:pStyle w:val="SourceNote"/>
      </w:pPr>
      <w:r>
        <w:rPr>
          <w:b/>
        </w:rPr>
        <w:t>Review status:</w:t>
      </w:r>
      <w:r>
        <w:t xml:space="preserve"> unchecked — group association only; no outcome judgment</w:t>
      </w:r>
    </w:p>
    <w:p>
      <w:pPr>
        <w:pStyle w:val="Heading2"/>
      </w:pPr>
      <w:r>
        <w:t>423. Claim + two later sources: CROATIAN RURAL FUTURES IN 2030: FOUR ALTERNATIVE SCENARIOS FOR POSTSOCIALIST COUNTRYSIDE IN THE NEWEST E.U. MEMBER STATE</w:t>
      </w:r>
    </w:p>
    <w:p>
      <w:pPr>
        <w:pStyle w:val="SourceNote"/>
      </w:pPr>
      <w:r>
        <w:rPr>
          <w:b/>
        </w:rPr>
        <w:t>Group ID:</w:t>
      </w:r>
      <w:r>
        <w:t xml:space="preserve"> group-0c39643dcf96959a74da</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Alternative Investment Funds: Regulation in European Union Law and Prospects for Implementation in Ukraine — https://doi.org/10.31359/1993-0909.2026.33.3.386</w:t>
      </w:r>
    </w:p>
    <w:p>
      <w:pPr/>
      <w:r>
        <w:rPr>
          <w:b/>
        </w:rPr>
        <w:t>Later source:</w:t>
      </w:r>
      <w:r>
        <w:t xml:space="preserve"> Right-wing and left-wing populists in the 2024 European Parliament elections in Germany: an analysis of the success of Alternative for Germany and Sahra Wagenknecht's Alliance — https://doi.org/10.31338/1641-2478pe.3.25.11</w:t>
      </w:r>
    </w:p>
    <w:p>
      <w:pPr>
        <w:pStyle w:val="SourceNote"/>
      </w:pPr>
      <w:r>
        <w:rPr>
          <w:b/>
        </w:rPr>
        <w:t>Review status:</w:t>
      </w:r>
      <w:r>
        <w:t xml:space="preserve"> unchecked — group association only; no outcome judgment</w:t>
      </w:r>
    </w:p>
    <w:p>
      <w:pPr>
        <w:pStyle w:val="Heading2"/>
      </w:pPr>
      <w:r>
        <w:t>424. Claim + two later sources: Modelling street level PM 10 concentrations across Europe: source apportionment and possible futures</w:t>
      </w:r>
    </w:p>
    <w:p>
      <w:pPr>
        <w:pStyle w:val="SourceNote"/>
      </w:pPr>
      <w:r>
        <w:rPr>
          <w:b/>
        </w:rPr>
        <w:t>Group ID:</w:t>
      </w:r>
      <w:r>
        <w:t xml:space="preserve"> group-90d248cb916c930a2f9b</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Understanding and predicting the geographic distributions of phlebotomine sand flies in and around Europe — https://doi.org/10.1007/s10584-025-04009-z</w:t>
      </w:r>
    </w:p>
    <w:p>
      <w:pPr/>
      <w:r>
        <w:rPr>
          <w:b/>
        </w:rPr>
        <w:t>Later source:</w:t>
      </w:r>
      <w:r>
        <w:t xml:space="preserve"> Distribution trends of European dragonflies under climate change — https://doi.org/10.1111/ddi.12913</w:t>
      </w:r>
    </w:p>
    <w:p>
      <w:pPr>
        <w:pStyle w:val="SourceNote"/>
      </w:pPr>
      <w:r>
        <w:rPr>
          <w:b/>
        </w:rPr>
        <w:t>Review status:</w:t>
      </w:r>
      <w:r>
        <w:t xml:space="preserve"> unchecked — group association only; no outcome judgment</w:t>
      </w:r>
    </w:p>
    <w:p>
      <w:pPr>
        <w:pStyle w:val="Heading2"/>
      </w:pPr>
      <w:r>
        <w:t>425.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group association only; no outcome judgment</w:t>
      </w:r>
    </w:p>
    <w:p>
      <w:pPr>
        <w:pStyle w:val="Heading2"/>
      </w:pPr>
      <w:r>
        <w:t>426. Claim + two later sources: Ensemble projections of future streamflow droughts in Europe</w:t>
      </w:r>
    </w:p>
    <w:p>
      <w:pPr>
        <w:pStyle w:val="SourceNote"/>
      </w:pPr>
      <w:r>
        <w:rPr>
          <w:b/>
        </w:rPr>
        <w:t>Group ID:</w:t>
      </w:r>
      <w:r>
        <w:t xml:space="preserve"> group-433bcdebfbd571ee0a7f</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a power system model with a hydrological model improves the representation of sub-monthly hydropower flexibility — https://doi.org/10.1016/j.apenergy.2025.126694</w:t>
      </w:r>
    </w:p>
    <w:p>
      <w:pPr/>
      <w:r>
        <w:rPr>
          <w:b/>
        </w:rPr>
        <w:t>Later source:</w:t>
      </w:r>
      <w:r>
        <w:t xml:space="preserve"> Coupling hydrological and sanitation datasets to simulate wastewater-derived contamination in European rivers: Model development and calibration — https://doi.org/10.1016/j.envsoft.2024.106049</w:t>
      </w:r>
    </w:p>
    <w:p>
      <w:pPr>
        <w:pStyle w:val="SourceNote"/>
      </w:pPr>
      <w:r>
        <w:rPr>
          <w:b/>
        </w:rPr>
        <w:t>Review status:</w:t>
      </w:r>
      <w:r>
        <w:t xml:space="preserve"> unchecked — group association only; no outcome judgment</w:t>
      </w:r>
    </w:p>
    <w:p>
      <w:pPr>
        <w:pStyle w:val="Heading2"/>
      </w:pPr>
      <w:r>
        <w:t>427. Claim + two later sources: Brexit deal and demographics drag on long‐term outlook</w:t>
      </w:r>
    </w:p>
    <w:p>
      <w:pPr>
        <w:pStyle w:val="SourceNote"/>
      </w:pPr>
      <w:r>
        <w:rPr>
          <w:b/>
        </w:rPr>
        <w:t>Group ID:</w:t>
      </w:r>
      <w:r>
        <w:t xml:space="preserve"> group-632bb6a8a21a3c566b0a</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Damage — https://doi.org/10.1093/he/9780198949695.003.0035</w:t>
      </w:r>
    </w:p>
    <w:p>
      <w:pPr/>
      <w:r>
        <w:rPr>
          <w:b/>
        </w:rPr>
        <w:t>Later source:</w:t>
      </w:r>
      <w:r>
        <w:t xml:space="preserve"> A Study on Trade Damage and Trade Adjustment Assistance(TAA) — https://doi.org/10.18104/kalc.2023.38.1.31</w:t>
      </w:r>
    </w:p>
    <w:p>
      <w:pPr>
        <w:pStyle w:val="SourceNote"/>
      </w:pPr>
      <w:r>
        <w:rPr>
          <w:b/>
        </w:rPr>
        <w:t>Review status:</w:t>
      </w:r>
      <w:r>
        <w:t xml:space="preserve"> unchecked — group association only; no outcome judgment</w:t>
      </w:r>
    </w:p>
    <w:p>
      <w:pPr>
        <w:pStyle w:val="Heading2"/>
      </w:pPr>
      <w:r>
        <w:t>428. Claim + two later sources: Analyst earnings forecast revision activity around profit warnings across four European countries</w:t>
      </w:r>
    </w:p>
    <w:p>
      <w:pPr>
        <w:pStyle w:val="SourceNote"/>
      </w:pPr>
      <w:r>
        <w:rPr>
          <w:b/>
        </w:rPr>
        <w:t>Group ID:</w:t>
      </w:r>
      <w:r>
        <w:t xml:space="preserve"> group-2456a137bad670b0c23f</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Artificial Intelligence (AI): Educational Implications, Limitations and Future of Learning in Higher Education in Oyo State — https://doi.org/10.52589/bjeldp-vjwdllek</w:t>
      </w:r>
    </w:p>
    <w:p>
      <w:pPr/>
      <w:r>
        <w:rPr>
          <w:b/>
        </w:rPr>
        <w:t>Later source:</w:t>
      </w:r>
      <w:r>
        <w:t xml:space="preserve"> Youth Sport Participation Trends Across Europe: Implications for Policy and Practice — https://doi.org/10.1080/02701367.2022.2148623</w:t>
      </w:r>
    </w:p>
    <w:p>
      <w:pPr>
        <w:pStyle w:val="SourceNote"/>
      </w:pPr>
      <w:r>
        <w:rPr>
          <w:b/>
        </w:rPr>
        <w:t>Review status:</w:t>
      </w:r>
      <w:r>
        <w:t xml:space="preserve"> unchecked — group association only; no outcome judgment</w:t>
      </w:r>
    </w:p>
    <w:p>
      <w:pPr>
        <w:pStyle w:val="Heading2"/>
      </w:pPr>
      <w:r>
        <w:t>429. Claim + two later sources: A multi-model, multi-scenario, and multi-domain analysis of regional climate projections for the Mediterranean</w:t>
      </w:r>
    </w:p>
    <w:p>
      <w:pPr>
        <w:pStyle w:val="SourceNote"/>
      </w:pPr>
      <w:r>
        <w:rPr>
          <w:b/>
        </w:rPr>
        <w:t>Group ID:</w:t>
      </w:r>
      <w:r>
        <w:t xml:space="preserve"> group-2eafb43bfa5f2f46961d</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Designing integrated and resilient multi-energy systems via multi-objective optimization and scenario analysis — https://doi.org/10.5194/egusphere-egu24-3162</w:t>
      </w:r>
    </w:p>
    <w:p>
      <w:pPr>
        <w:pStyle w:val="SourceNote"/>
      </w:pPr>
      <w:r>
        <w:rPr>
          <w:b/>
        </w:rPr>
        <w:t>Review status:</w:t>
      </w:r>
      <w:r>
        <w:t xml:space="preserve"> unchecked — group association only; no outcome judgment</w:t>
      </w:r>
    </w:p>
    <w:p>
      <w:pPr>
        <w:pStyle w:val="Heading2"/>
      </w:pPr>
      <w:r>
        <w:t>430. Claim + two later sources: A comparison of low carbon investment needs between China and Europe in stringent climate policy scenarios</w:t>
      </w:r>
    </w:p>
    <w:p>
      <w:pPr>
        <w:pStyle w:val="SourceNote"/>
      </w:pPr>
      <w:r>
        <w:rPr>
          <w:b/>
        </w:rPr>
        <w:t>Group ID:</w:t>
      </w:r>
      <w:r>
        <w:t xml:space="preserve"> group-ac8432ba447e2ee18be0</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The micro-macro interplay of economic factors in late-life loneliness: Evidence from Europe and China — https://doi.org/10.3389/fpubh.2022.968411</w:t>
      </w:r>
    </w:p>
    <w:p>
      <w:pPr>
        <w:pStyle w:val="SourceNote"/>
      </w:pPr>
      <w:r>
        <w:rPr>
          <w:b/>
        </w:rPr>
        <w:t>Review status:</w:t>
      </w:r>
      <w:r>
        <w:t xml:space="preserve"> unchecked — group association only; no outcome judgment</w:t>
      </w:r>
    </w:p>
    <w:p>
      <w:pPr>
        <w:pStyle w:val="Heading2"/>
      </w:pPr>
      <w:r>
        <w:t>431.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group association only; no outcome judgment</w:t>
      </w:r>
    </w:p>
    <w:p>
      <w:pPr>
        <w:pStyle w:val="Heading2"/>
      </w:pPr>
      <w:r>
        <w:t>432.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group association only; no outcome judgment</w:t>
      </w:r>
    </w:p>
    <w:p>
      <w:pPr>
        <w:pStyle w:val="Heading2"/>
      </w:pPr>
      <w:r>
        <w:t>433. Claim + two later sources: South East Europe electricity roadmap – modelling energy transition in the electricity sectors</w:t>
      </w:r>
    </w:p>
    <w:p>
      <w:pPr>
        <w:pStyle w:val="SourceNote"/>
      </w:pPr>
      <w:r>
        <w:rPr>
          <w:b/>
        </w:rPr>
        <w:t>Group ID:</w:t>
      </w:r>
      <w:r>
        <w:t xml:space="preserve"> group-9b6053a37dabf0bb046b</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Challenges in the micropropagation of economically important fruit species in Europe — https://doi.org/10.1007/s11240-025-03165-5</w:t>
      </w:r>
    </w:p>
    <w:p>
      <w:pPr/>
      <w:r>
        <w:rPr>
          <w:b/>
        </w:rPr>
        <w:t>Later source:</w:t>
      </w:r>
      <w:r>
        <w:t xml:space="preserve"> Exploring the joint probability of precipitation and soil moisture over Europe using copulas — https://doi.org/10.5194/hess-28-103-2024</w:t>
      </w:r>
    </w:p>
    <w:p>
      <w:pPr>
        <w:pStyle w:val="SourceNote"/>
      </w:pPr>
      <w:r>
        <w:rPr>
          <w:b/>
        </w:rPr>
        <w:t>Review status:</w:t>
      </w:r>
      <w:r>
        <w:t xml:space="preserve"> unchecked — group association only; no outcome judgment</w:t>
      </w:r>
    </w:p>
    <w:p>
      <w:pPr>
        <w:pStyle w:val="Heading2"/>
      </w:pPr>
      <w:r>
        <w:t>434.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group association only; no outcome judgment</w:t>
      </w:r>
    </w:p>
    <w:p>
      <w:pPr>
        <w:pStyle w:val="Heading2"/>
      </w:pPr>
      <w:r>
        <w:t>435. Claim + two later sources: Brexit adds to gloom over long‐term growth prospects</w:t>
      </w:r>
    </w:p>
    <w:p>
      <w:pPr>
        <w:pStyle w:val="SourceNote"/>
      </w:pPr>
      <w:r>
        <w:rPr>
          <w:b/>
        </w:rPr>
        <w:t>Group ID:</w:t>
      </w:r>
      <w:r>
        <w:t xml:space="preserve"> group-d3b14fb5b58171eb007d</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Accurate medium-range global weather forecasting with 3D neural networks — https://doi.org/10.1038/s41586-023-06185-3</w:t>
      </w:r>
    </w:p>
    <w:p>
      <w:pPr/>
      <w:r>
        <w:rPr>
          <w:b/>
        </w:rPr>
        <w:t>Later source:</w:t>
      </w:r>
      <w:r>
        <w:t xml:space="preserve"> Global seasonal forecasts of marine heatwaves — https://doi.org/10.1038/s41586-022-04573-9</w:t>
      </w:r>
    </w:p>
    <w:p>
      <w:pPr>
        <w:pStyle w:val="SourceNote"/>
      </w:pPr>
      <w:r>
        <w:rPr>
          <w:b/>
        </w:rPr>
        <w:t>Review status:</w:t>
      </w:r>
      <w:r>
        <w:t xml:space="preserve"> unchecked — group association only; no outcome judgment</w:t>
      </w:r>
    </w:p>
    <w:p>
      <w:pPr>
        <w:pStyle w:val="Heading2"/>
      </w:pPr>
      <w:r>
        <w:t>436. Claim + two later sources: The European forest sector: past and future carbon budget and fluxes under different management scenarios</w:t>
      </w:r>
    </w:p>
    <w:p>
      <w:pPr>
        <w:pStyle w:val="SourceNote"/>
      </w:pPr>
      <w:r>
        <w:rPr>
          <w:b/>
        </w:rPr>
        <w:t>Group ID:</w:t>
      </w:r>
      <w:r>
        <w:t xml:space="preserve"> group-16cbc9061f248acff60f</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Does harvest of the European grayling, Thymallus thymallus (Actinopterygii: Salmoniformes: Salmonidae), change over time with different intensity of fish stocking and fishing effort? — https://doi.org/10.3750/aiep/02643</w:t>
      </w:r>
    </w:p>
    <w:p>
      <w:pPr/>
      <w:r>
        <w:rPr>
          <w:b/>
        </w:rPr>
        <w:t>Later source:</w:t>
      </w:r>
      <w:r>
        <w:t xml:space="preserve"> Harvesting reflective knowledge exchange for inbound open innovation in complex collaborative networks: an empirical verification in Europe — https://doi.org/10.1108/jkm-04-2020-0300</w:t>
      </w:r>
    </w:p>
    <w:p>
      <w:pPr>
        <w:pStyle w:val="SourceNote"/>
      </w:pPr>
      <w:r>
        <w:rPr>
          <w:b/>
        </w:rPr>
        <w:t>Review status:</w:t>
      </w:r>
      <w:r>
        <w:t xml:space="preserve"> unchecked — group association only; no outcome judgment</w:t>
      </w:r>
    </w:p>
    <w:p>
      <w:pPr>
        <w:pStyle w:val="Heading2"/>
      </w:pPr>
      <w:r>
        <w:t>437. Claim + two later sources: Foresight in Higher Education Institutions: Evidence from Poland</w:t>
      </w:r>
    </w:p>
    <w:p>
      <w:pPr>
        <w:pStyle w:val="SourceNote"/>
      </w:pPr>
      <w:r>
        <w:rPr>
          <w:b/>
        </w:rPr>
        <w:t>Group ID:</w:t>
      </w:r>
      <w:r>
        <w:t xml:space="preserve"> group-2c426b266a69793a1593</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3 Europe as the Crisis of Play — https://doi.org/10.1515/9781438499819-004</w:t>
      </w:r>
    </w:p>
    <w:p>
      <w:pPr/>
      <w:r>
        <w:rPr>
          <w:b/>
        </w:rPr>
        <w:t>Later source:</w:t>
      </w:r>
      <w:r>
        <w:t xml:space="preserve"> Animal Welfare Protocols and Labelling Schemes for Broilers in Europe — https://doi.org/10.3390/poultry4030029</w:t>
      </w:r>
    </w:p>
    <w:p>
      <w:pPr>
        <w:pStyle w:val="SourceNote"/>
      </w:pPr>
      <w:r>
        <w:rPr>
          <w:b/>
        </w:rPr>
        <w:t>Review status:</w:t>
      </w:r>
      <w:r>
        <w:t xml:space="preserve"> unchecked — group association only; no outcome judgment</w:t>
      </w:r>
    </w:p>
    <w:p>
      <w:pPr>
        <w:pStyle w:val="Heading2"/>
      </w:pPr>
      <w:r>
        <w:t>438. Claim + two later sources: The Future of Rural Poland: the Main Trends and Possible Scenarios.</w:t>
      </w:r>
    </w:p>
    <w:p>
      <w:pPr>
        <w:pStyle w:val="SourceNote"/>
      </w:pPr>
      <w:r>
        <w:rPr>
          <w:b/>
        </w:rPr>
        <w:t>Group ID:</w:t>
      </w:r>
      <w:r>
        <w:t xml:space="preserve"> group-dbff0671153f28bac707</w:t>
      </w:r>
    </w:p>
    <w:p>
      <w:pPr>
        <w:pStyle w:val="SourceNote"/>
      </w:pPr>
      <w:r>
        <w:rPr>
          <w:b/>
        </w:rPr>
        <w:t>Original source:</w:t>
      </w:r>
      <w:r>
        <w:t xml:space="preserve"> https://doi.org/10.1515/eec-2017-0004</w:t>
      </w:r>
    </w:p>
    <w:p>
      <w:pPr/>
      <w:r>
        <w:rPr>
          <w:b/>
        </w:rPr>
        <w:t>Original future claim:</w:t>
      </w:r>
      <w:r>
        <w:t xml:space="preserve">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Abstracts of the 19th European Congress of Psychology — https://doi.org/10.1024/2673-8627/a000085</w:t>
      </w:r>
    </w:p>
    <w:p>
      <w:pPr/>
      <w:r>
        <w:rPr>
          <w:b/>
        </w:rPr>
        <w:t>Later source:</w:t>
      </w:r>
      <w:r>
        <w:t xml:space="preserve"> Organizational Models in European Forestry: An Attempt of Conceptualization and Categorization — https://doi.org/10.3390/f14050905</w:t>
      </w:r>
    </w:p>
    <w:p>
      <w:pPr>
        <w:pStyle w:val="SourceNote"/>
      </w:pPr>
      <w:r>
        <w:rPr>
          <w:b/>
        </w:rPr>
        <w:t>Review status:</w:t>
      </w:r>
      <w:r>
        <w:t xml:space="preserve"> unchecked — group association only; no outcome judgment</w:t>
      </w:r>
    </w:p>
    <w:p>
      <w:pPr>
        <w:pStyle w:val="Heading2"/>
      </w:pPr>
      <w:r>
        <w:t>439. Claim + two later sources: Future Projections of Heat Mortality Risk for Major European Cities</w:t>
      </w:r>
    </w:p>
    <w:p>
      <w:pPr>
        <w:pStyle w:val="SourceNote"/>
      </w:pPr>
      <w:r>
        <w:rPr>
          <w:b/>
        </w:rPr>
        <w:t>Group ID:</w:t>
      </w:r>
      <w:r>
        <w:t xml:space="preserve"> group-d5bd395f2a2aafd3f270</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The impact of heat and cold on mortality and life expectancy in Europe, 2015–2024 — https://doi.org/10.1016/j.ehb.2026.101607</w:t>
      </w:r>
    </w:p>
    <w:p>
      <w:pPr/>
      <w:r>
        <w:rPr>
          <w:b/>
        </w:rPr>
        <w:t>Later source:</w:t>
      </w:r>
      <w:r>
        <w:t xml:space="preserve"> Trends in mortality and disability from ischaemic stroke in Europe, 1990-2023 — https://doi.org/10.1093/esj/aakag082</w:t>
      </w:r>
    </w:p>
    <w:p>
      <w:pPr>
        <w:pStyle w:val="SourceNote"/>
      </w:pPr>
      <w:r>
        <w:rPr>
          <w:b/>
        </w:rPr>
        <w:t>Review status:</w:t>
      </w:r>
      <w:r>
        <w:t xml:space="preserve"> unchecked — group association only; no outcome judgment</w:t>
      </w:r>
    </w:p>
    <w:p>
      <w:pPr>
        <w:pStyle w:val="Heading2"/>
      </w:pPr>
      <w:r>
        <w:t>440. Claim + two later sources: Pathways to Deep Decarbonization in Italy</w:t>
      </w:r>
    </w:p>
    <w:p>
      <w:pPr>
        <w:pStyle w:val="SourceNote"/>
      </w:pPr>
      <w:r>
        <w:rPr>
          <w:b/>
        </w:rPr>
        <w:t>Group ID:</w:t>
      </w:r>
      <w:r>
        <w:t xml:space="preserve"> group-980d4cc5c5c7a6aa8c25</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BOOK REVIEW: OPEN AND DISTANCE EDUCATION IN AUSTRALIA, EUROPE AND THE AMERICAS: NATIONAL PERSPECTIVES IN A DIGITAL AGE — https://openalex.org/W7167292450</w:t>
      </w:r>
    </w:p>
    <w:p>
      <w:pPr/>
      <w:r>
        <w:rPr>
          <w:b/>
        </w:rPr>
        <w:t>Later source:</w:t>
      </w:r>
      <w:r>
        <w:t xml:space="preserve"> THE RELEVANCE OF THE BRAZILIAN AMAZON FOR THE RELATIONSHIP BETWEEN BRAZIL AND THE EUROPEAN UNION — https://openalex.org/W7119374139</w:t>
      </w:r>
    </w:p>
    <w:p>
      <w:pPr>
        <w:pStyle w:val="SourceNote"/>
      </w:pPr>
      <w:r>
        <w:rPr>
          <w:b/>
        </w:rPr>
        <w:t>Review status:</w:t>
      </w:r>
      <w:r>
        <w:t xml:space="preserve"> unchecked — group association only; no outcome judgment</w:t>
      </w:r>
    </w:p>
    <w:p>
      <w:pPr>
        <w:pStyle w:val="Heading2"/>
      </w:pPr>
      <w:r>
        <w:t>441. Claim + two later sources: COVID-19 and European maritime futures: different pathways to deal with the pandemic</w:t>
      </w:r>
    </w:p>
    <w:p>
      <w:pPr>
        <w:pStyle w:val="SourceNote"/>
      </w:pPr>
      <w:r>
        <w:rPr>
          <w:b/>
        </w:rPr>
        <w:t>Group ID:</w:t>
      </w:r>
      <w:r>
        <w:t xml:space="preserve"> group-ad854bdb3b5690c7a3b2</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The role of Latvia's maritime spatial planning in promoting the European Green Deal — https://doi.org/10.7163/eu21.2022.42.4</w:t>
      </w:r>
    </w:p>
    <w:p>
      <w:pPr/>
      <w:r>
        <w:rPr>
          <w:b/>
        </w:rPr>
        <w:t>Later source:</w:t>
      </w:r>
      <w:r>
        <w:t xml:space="preserve"> Inventive Activity for Climate Change Mitigation: An Insight into the Maritime Industry — https://doi.org/10.3390/en16217403</w:t>
      </w:r>
    </w:p>
    <w:p>
      <w:pPr>
        <w:pStyle w:val="SourceNote"/>
      </w:pPr>
      <w:r>
        <w:rPr>
          <w:b/>
        </w:rPr>
        <w:t>Review status:</w:t>
      </w:r>
      <w:r>
        <w:t xml:space="preserve"> unchecked — group association only; no outcome judgment</w:t>
      </w:r>
    </w:p>
    <w:p>
      <w:pPr>
        <w:pStyle w:val="Heading2"/>
      </w:pPr>
      <w:r>
        <w:t>442. Claim + two later sources: The Impact of Decarbonization Scenarios on Air Quality and Human Health in Poland—Analysis of Scenarios up to 2050</w:t>
      </w:r>
    </w:p>
    <w:p>
      <w:pPr>
        <w:pStyle w:val="SourceNote"/>
      </w:pPr>
      <w:r>
        <w:rPr>
          <w:b/>
        </w:rPr>
        <w:t>Group ID:</w:t>
      </w:r>
      <w:r>
        <w:t xml:space="preserve"> group-420808e1dfed02494e6b</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Pro-environmental behaviour in Europe — https://openalex.org/W7213476392</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group association only; no outcome judgment</w:t>
      </w:r>
    </w:p>
    <w:p>
      <w:pPr>
        <w:pStyle w:val="Heading2"/>
      </w:pPr>
      <w:r>
        <w:t>443. Claim + two later sources: Developing scenarios for the Norwegian travel industry 2025</w:t>
      </w:r>
    </w:p>
    <w:p>
      <w:pPr>
        <w:pStyle w:val="SourceNote"/>
      </w:pPr>
      <w:r>
        <w:rPr>
          <w:b/>
        </w:rPr>
        <w:t>Group ID:</w:t>
      </w:r>
      <w:r>
        <w:t xml:space="preserve"> group-84d6b95d3687f2741eae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Understanding and Mitigating Bias in Imaging Artificial Intelligence — https://doi.org/10.1148/rg.230067</w:t>
      </w:r>
    </w:p>
    <w:p>
      <w:pPr>
        <w:pStyle w:val="SourceNote"/>
      </w:pPr>
      <w:r>
        <w:rPr>
          <w:b/>
        </w:rPr>
        <w:t>Review status:</w:t>
      </w:r>
      <w:r>
        <w:t xml:space="preserve"> unchecked — group association only; no outcome judgment</w:t>
      </w:r>
    </w:p>
    <w:p>
      <w:pPr>
        <w:pStyle w:val="Heading2"/>
      </w:pPr>
      <w:r>
        <w:t>444. Claim + two later sources: Investigating scenario planning – a European tourism perspective</w:t>
      </w:r>
    </w:p>
    <w:p>
      <w:pPr>
        <w:pStyle w:val="SourceNote"/>
      </w:pPr>
      <w:r>
        <w:rPr>
          <w:b/>
        </w:rPr>
        <w:t>Group ID:</w:t>
      </w:r>
      <w:r>
        <w:t xml:space="preserve"> group-1f8cf886a83bfbf4f8c0</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An assessment of the state of conservation planning in Europe — https://doi.org/10.1098/rstb.2023.0015</w:t>
      </w:r>
    </w:p>
    <w:p>
      <w:pPr/>
      <w:r>
        <w:rPr>
          <w:b/>
        </w:rPr>
        <w:t>Later source:</w:t>
      </w:r>
      <w:r>
        <w:t xml:space="preserve"> Launching a European Employee Stock Ownership Plan (European ESOP) — https://doi.org/10.1108/jpeo-06-2024-0010</w:t>
      </w:r>
    </w:p>
    <w:p>
      <w:pPr>
        <w:pStyle w:val="SourceNote"/>
      </w:pPr>
      <w:r>
        <w:rPr>
          <w:b/>
        </w:rPr>
        <w:t>Review status:</w:t>
      </w:r>
      <w:r>
        <w:t xml:space="preserve"> unchecked — group association only; no outcome judgment</w:t>
      </w:r>
    </w:p>
    <w:p>
      <w:pPr>
        <w:pStyle w:val="Heading2"/>
      </w:pPr>
      <w:r>
        <w:t>445. Claim + two later sources: Integrating field data into individual-based models of the migration of European eel larvae</w:t>
      </w:r>
    </w:p>
    <w:p>
      <w:pPr>
        <w:pStyle w:val="SourceNote"/>
      </w:pPr>
      <w:r>
        <w:rPr>
          <w:b/>
        </w:rPr>
        <w:t>Group ID:</w:t>
      </w:r>
      <w:r>
        <w:t xml:space="preserve"> group-0b49f70b5fff782a8ff2</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Impact of the model representation of PBL and convection on the PM concentrations over Europe — https://doi.org/10.5194/egusphere-egu21-2417</w:t>
      </w:r>
    </w:p>
    <w:p>
      <w:pPr/>
      <w:r>
        <w:rPr>
          <w:b/>
        </w:rPr>
        <w:t>Later source:</w:t>
      </w:r>
      <w:r>
        <w:t xml:space="preserve"> Comparison of four inverse modelling systems applied to the estimation of HFC-125, HFC-134a, and SF 6 emissions over Europe — https://doi.org/10.5194/acp-17-10651-2017</w:t>
      </w:r>
    </w:p>
    <w:p>
      <w:pPr>
        <w:pStyle w:val="SourceNote"/>
      </w:pPr>
      <w:r>
        <w:rPr>
          <w:b/>
        </w:rPr>
        <w:t>Review status:</w:t>
      </w:r>
      <w:r>
        <w:t xml:space="preserve"> unchecked — group association only; no outcome judgment</w:t>
      </w:r>
    </w:p>
    <w:p>
      <w:pPr>
        <w:pStyle w:val="Heading2"/>
      </w:pPr>
      <w:r>
        <w:t>446. Claim + two later sources: Wild cards in transport</w:t>
      </w:r>
    </w:p>
    <w:p>
      <w:pPr>
        <w:pStyle w:val="SourceNote"/>
      </w:pPr>
      <w:r>
        <w:rPr>
          <w:b/>
        </w:rPr>
        <w:t>Group ID:</w:t>
      </w:r>
      <w:r>
        <w:t xml:space="preserve"> group-669365e7b456c3b6451c</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From worshipping Tyche to playing with wild cards — https://doi.org/10.1111/1468-5973.12543</w:t>
      </w:r>
    </w:p>
    <w:p>
      <w:pPr/>
      <w:r>
        <w:rPr>
          <w:b/>
        </w:rPr>
        <w:t>Later source:</w:t>
      </w:r>
      <w:r>
        <w:t xml:space="preserve"> Luojiu Hua and Its Archive: Index Cards and Wild Cards — https://doi.org/10.4467/23531991kk.24.027.20862</w:t>
      </w:r>
    </w:p>
    <w:p>
      <w:pPr>
        <w:pStyle w:val="SourceNote"/>
      </w:pPr>
      <w:r>
        <w:rPr>
          <w:b/>
        </w:rPr>
        <w:t>Review status:</w:t>
      </w:r>
      <w:r>
        <w:t xml:space="preserve"> unchecked — group association only; no outcome judgment</w:t>
      </w:r>
    </w:p>
    <w:p>
      <w:pPr>
        <w:pStyle w:val="Heading2"/>
      </w:pPr>
      <w:r>
        <w:t>447. Claim + two later sources: Perspective of comprehensive and comprehensible multi-model energy and climate science in Europe</w:t>
      </w:r>
    </w:p>
    <w:p>
      <w:pPr>
        <w:pStyle w:val="SourceNote"/>
      </w:pPr>
      <w:r>
        <w:rPr>
          <w:b/>
        </w:rPr>
        <w:t>Group ID:</w:t>
      </w:r>
      <w:r>
        <w:t xml:space="preserve"> group-c9cdc1bbb48a8d41cbfe</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Colombia, COVID-19, and the Colonial Trap: Reflections on the Politics of Knowledge Production — https://doi.org/10.1177/0094582x241311803</w:t>
      </w:r>
    </w:p>
    <w:p>
      <w:pPr/>
      <w:r>
        <w:rPr>
          <w:b/>
        </w:rPr>
        <w:t>Later source:</w:t>
      </w:r>
      <w:r>
        <w:t xml:space="preserve"> Muslims in Europe and Covid-19 — https://doi.org/10.5617/jais.10871</w:t>
      </w:r>
    </w:p>
    <w:p>
      <w:pPr>
        <w:pStyle w:val="SourceNote"/>
      </w:pPr>
      <w:r>
        <w:rPr>
          <w:b/>
        </w:rPr>
        <w:t>Review status:</w:t>
      </w:r>
      <w:r>
        <w:t xml:space="preserve"> unchecked — group association only; no outcome judgment</w:t>
      </w:r>
    </w:p>
    <w:p>
      <w:pPr>
        <w:pStyle w:val="Heading2"/>
      </w:pPr>
      <w:r>
        <w:t>448. Claim + two later sources: Realising transition pathways for a more electric, low-carbon energy system in the United Kingdom: Challenges, insights and opportunities</w:t>
      </w:r>
    </w:p>
    <w:p>
      <w:pPr>
        <w:pStyle w:val="SourceNote"/>
      </w:pPr>
      <w:r>
        <w:rPr>
          <w:b/>
        </w:rPr>
        <w:t>Group ID:</w:t>
      </w:r>
      <w:r>
        <w:t xml:space="preserve"> group-46559baccc5d4346d710</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Open-Source AI and Market Competition: Why the United Kingdom Is Well Placed to Promote Openness as Competition Policy — https://doi.org/10.2139/ssrn.7431620</w:t>
      </w:r>
    </w:p>
    <w:p>
      <w:pPr/>
      <w:r>
        <w:rPr>
          <w:b/>
        </w:rPr>
        <w:t>Later source:</w:t>
      </w:r>
      <w:r>
        <w:t xml:space="preserve"> United Kingdom — https://doi.org/10.1093/9780197758847.003.0031</w:t>
      </w:r>
    </w:p>
    <w:p>
      <w:pPr>
        <w:pStyle w:val="SourceNote"/>
      </w:pPr>
      <w:r>
        <w:rPr>
          <w:b/>
        </w:rPr>
        <w:t>Review status:</w:t>
      </w:r>
      <w:r>
        <w:t xml:space="preserve"> unchecked — group association only; no outcome judgment</w:t>
      </w:r>
    </w:p>
    <w:p>
      <w:pPr>
        <w:pStyle w:val="Heading2"/>
      </w:pPr>
      <w:r>
        <w:t>449. Claim + two later sources: By 2050 the Mitigation Effects of EU Forests Could Nearly Double through Climate Smart Forestry</w:t>
      </w:r>
    </w:p>
    <w:p>
      <w:pPr>
        <w:pStyle w:val="SourceNote"/>
      </w:pPr>
      <w:r>
        <w:rPr>
          <w:b/>
        </w:rPr>
        <w:t>Group ID:</w:t>
      </w:r>
      <w:r>
        <w:t xml:space="preserve"> group-d32f050414ab5f3dd421</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Harmonisation of Corporate Income Tax Incentives in SADC: Addressing the Challenges Posed by the Sovereign Right of SADC Member States to Set Their Own Economic and Tax Policies — https://doi.org/10.25159/2522-3062/15912</w:t>
      </w:r>
    </w:p>
    <w:p>
      <w:pPr/>
      <w:r>
        <w:rPr>
          <w:b/>
        </w:rPr>
        <w:t>Later source:</w:t>
      </w:r>
      <w:r>
        <w:t xml:space="preserve"> Incentives and constraints: a configurational account of European involvement in the anti-Daesh coalition — https://doi.org/10.1017/s1755773921000333</w:t>
      </w:r>
    </w:p>
    <w:p>
      <w:pPr>
        <w:pStyle w:val="SourceNote"/>
      </w:pPr>
      <w:r>
        <w:rPr>
          <w:b/>
        </w:rPr>
        <w:t>Review status:</w:t>
      </w:r>
      <w:r>
        <w:t xml:space="preserve"> unchecked — group association only; no outcome judgment</w:t>
      </w:r>
    </w:p>
    <w:p>
      <w:pPr>
        <w:pStyle w:val="Heading2"/>
      </w:pPr>
      <w:r>
        <w:t>450. Claim + two later sources: Long-term transport decarbonization pathways in the European Union: a strategic energy-economy analysis</w:t>
      </w:r>
    </w:p>
    <w:p>
      <w:pPr>
        <w:pStyle w:val="SourceNote"/>
      </w:pPr>
      <w:r>
        <w:rPr>
          <w:b/>
        </w:rPr>
        <w:t>Group ID:</w:t>
      </w:r>
      <w:r>
        <w:t xml:space="preserve"> group-4697f645657bf16c5954</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Persistent positive anomalies in geopotential heights drive enhanced wildfire activity across Europe — https://doi.org/10.1098/rstb.2023.0455</w:t>
      </w:r>
    </w:p>
    <w:p>
      <w:pPr/>
      <w:r>
        <w:rPr>
          <w:b/>
        </w:rPr>
        <w:t>Later source:</w:t>
      </w:r>
      <w:r>
        <w:t xml:space="preserve"> The Uncertain World of Renaissance Geneva and Savoy — https://doi.org/10.5117/9789048566396</w:t>
      </w:r>
    </w:p>
    <w:p>
      <w:pPr>
        <w:pStyle w:val="SourceNote"/>
      </w:pPr>
      <w:r>
        <w:rPr>
          <w:b/>
        </w:rPr>
        <w:t>Review status:</w:t>
      </w:r>
      <w:r>
        <w:t xml:space="preserve"> unchecked — group association only; no outcome judgment</w:t>
      </w:r>
    </w:p>
    <w:p>
      <w:pPr>
        <w:pStyle w:val="Heading2"/>
      </w:pPr>
      <w:r>
        <w:t>451. Claim + two later sources: Towards the 2030 Agenda: Measuring the Progress of the European Union Countries through the SDGs Achievement Index</w:t>
      </w:r>
    </w:p>
    <w:p>
      <w:pPr>
        <w:pStyle w:val="SourceNote"/>
      </w:pPr>
      <w:r>
        <w:rPr>
          <w:b/>
        </w:rPr>
        <w:t>Group ID:</w:t>
      </w:r>
      <w:r>
        <w:t xml:space="preserve"> group-76aef4dba1024e92fb94</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Novel integrated risk index reveals uneven impact of climate change on fascioliasis risk across Africa and Europe — https://doi.org/10.64898/2025.12.04.692276</w:t>
      </w:r>
    </w:p>
    <w:p>
      <w:pPr/>
      <w:r>
        <w:rPr>
          <w:b/>
        </w:rPr>
        <w:t>Later source:</w:t>
      </w:r>
      <w:r>
        <w:t xml:space="preserve"> Soil Quality Index According to Diverse Land Use Systems Across the Europe — https://doi.org/10.1002/ldr.5438</w:t>
      </w:r>
    </w:p>
    <w:p>
      <w:pPr>
        <w:pStyle w:val="SourceNote"/>
      </w:pPr>
      <w:r>
        <w:rPr>
          <w:b/>
        </w:rPr>
        <w:t>Review status:</w:t>
      </w:r>
      <w:r>
        <w:t xml:space="preserve"> unchecked — group association only; no outcome judgment</w:t>
      </w:r>
    </w:p>
    <w:p>
      <w:pPr>
        <w:pStyle w:val="Heading2"/>
      </w:pPr>
      <w:r>
        <w:t>452. Claim + two later sources: Enabling forecasts of environmental exposure to chemicals in European agriculture under global change</w:t>
      </w:r>
    </w:p>
    <w:p>
      <w:pPr>
        <w:pStyle w:val="SourceNote"/>
      </w:pPr>
      <w:r>
        <w:rPr>
          <w:b/>
        </w:rPr>
        <w:t>Group ID:</w:t>
      </w:r>
      <w:r>
        <w:t xml:space="preserve"> group-57341ec23d767fbd0eae</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Who is local and what do they know? Braiding knowledges within carnivore management in Europe — https://doi.org/10.1002/pan3.10797</w:t>
      </w:r>
    </w:p>
    <w:p>
      <w:pPr/>
      <w:r>
        <w:rPr>
          <w:b/>
        </w:rPr>
        <w:t>Later source:</w:t>
      </w:r>
      <w:r>
        <w:t xml:space="preserve"> Diabetologists’ Knowledge and Prescription of Physical Activity in Southeast Europe — https://doi.org/10.3390/medicina61071244</w:t>
      </w:r>
    </w:p>
    <w:p>
      <w:pPr>
        <w:pStyle w:val="SourceNote"/>
      </w:pPr>
      <w:r>
        <w:rPr>
          <w:b/>
        </w:rPr>
        <w:t>Review status:</w:t>
      </w:r>
      <w:r>
        <w:t xml:space="preserve"> unchecked — group association only; no outcome judgment</w:t>
      </w:r>
    </w:p>
    <w:p>
      <w:pPr>
        <w:pStyle w:val="Heading2"/>
      </w:pPr>
      <w:r>
        <w:t>453. Claim + two later sources: Climate change mitigation: evidences from the European scenario</w:t>
      </w:r>
    </w:p>
    <w:p>
      <w:pPr>
        <w:pStyle w:val="SourceNote"/>
      </w:pPr>
      <w:r>
        <w:rPr>
          <w:b/>
        </w:rPr>
        <w:t>Group ID:</w:t>
      </w:r>
      <w:r>
        <w:t xml:space="preserve"> group-b070cbfbe1a7eebc5854</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The Role of Organic Farming in Reducing Greenhouse Gas Emissions from Agriculture in the European Union — https://doi.org/10.3390/agronomy15010198</w:t>
      </w:r>
    </w:p>
    <w:p>
      <w:pPr>
        <w:pStyle w:val="SourceNote"/>
      </w:pPr>
      <w:r>
        <w:rPr>
          <w:b/>
        </w:rPr>
        <w:t>Review status:</w:t>
      </w:r>
      <w:r>
        <w:t xml:space="preserve"> unchecked — group association only; no outcome judgment</w:t>
      </w:r>
    </w:p>
    <w:p>
      <w:pPr>
        <w:pStyle w:val="Heading2"/>
      </w:pPr>
      <w:r>
        <w:t>454. Claim + two later sources: Seeds of good anthropocenes: developing sustainability scenarios for Northern Europe</w:t>
      </w:r>
    </w:p>
    <w:p>
      <w:pPr>
        <w:pStyle w:val="SourceNote"/>
      </w:pPr>
      <w:r>
        <w:rPr>
          <w:b/>
        </w:rPr>
        <w:t>Group ID:</w:t>
      </w:r>
      <w:r>
        <w:t xml:space="preserve"> group-b518b19aedeb2cc9b992</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Measuring disparities in air transport access across Europe: An inequality, vulnerability and dependence approach — https://doi.org/10.1016/j.tra.2022.11.016</w:t>
      </w:r>
    </w:p>
    <w:p>
      <w:pPr>
        <w:pStyle w:val="SourceNote"/>
      </w:pPr>
      <w:r>
        <w:rPr>
          <w:b/>
        </w:rPr>
        <w:t>Review status:</w:t>
      </w:r>
      <w:r>
        <w:t xml:space="preserve"> unchecked — group association only; no outcome judgment</w:t>
      </w:r>
    </w:p>
    <w:p>
      <w:pPr>
        <w:pStyle w:val="Heading2"/>
      </w:pPr>
      <w:r>
        <w:t>455. Claim + two later sources: PROJEKCJA ZMIAN WIELKOŚCI PLONÓW PSZENICY W POLSCE I UNII EUROPEJSKIEJ W LATACH 2030 I 2050 NA PODSTAWIE MODELU CAPRI</w:t>
      </w:r>
    </w:p>
    <w:p>
      <w:pPr>
        <w:pStyle w:val="SourceNote"/>
      </w:pPr>
      <w:r>
        <w:rPr>
          <w:b/>
        </w:rPr>
        <w:t>Group ID:</w:t>
      </w:r>
      <w:r>
        <w:t xml:space="preserve"> group-d38aa150fb4c97efda66</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Improved modelling framework for assessing the interactions between the energy, agriculture, forestry and land use change sectors: Integrating the CAPRI, LUISA-BEES, CBM and POTEnCIA models — https://doi.org/10.2760/900305</w:t>
      </w:r>
    </w:p>
    <w:p>
      <w:pPr/>
      <w:r>
        <w:rPr>
          <w:b/>
        </w:rPr>
        <w:t>Later source:</w:t>
      </w:r>
      <w:r>
        <w:t xml:space="preserve"> EU Wide Disaggregated CAPRI Model Data: Crops, Livestock, Nitrogen In- and Outputs (Timeseries 2000-2018) — https://doi.org/10.1038/s41597-026-06919-8</w:t>
      </w:r>
    </w:p>
    <w:p>
      <w:pPr>
        <w:pStyle w:val="SourceNote"/>
      </w:pPr>
      <w:r>
        <w:rPr>
          <w:b/>
        </w:rPr>
        <w:t>Review status:</w:t>
      </w:r>
      <w:r>
        <w:t xml:space="preserve"> unchecked — group association only; no outcome judgment</w:t>
      </w:r>
    </w:p>
    <w:p>
      <w:pPr>
        <w:pStyle w:val="Heading2"/>
      </w:pPr>
      <w:r>
        <w:t>456. Claim + two later sources: Recycling of European plastic is a pathway for plastic debris in the ocean</w:t>
      </w:r>
    </w:p>
    <w:p>
      <w:pPr>
        <w:pStyle w:val="SourceNote"/>
      </w:pPr>
      <w:r>
        <w:rPr>
          <w:b/>
        </w:rPr>
        <w:t>Group ID:</w:t>
      </w:r>
      <w:r>
        <w:t xml:space="preserve"> group-75f7da2c1cd56769afd7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Assessing data uncertainty in large-scale energy model — https://doi.org/10.26868/25222708.2025.1706</w:t>
      </w:r>
    </w:p>
    <w:p>
      <w:pPr/>
      <w:r>
        <w:rPr>
          <w:b/>
        </w:rPr>
        <w:t>Later source:</w:t>
      </w:r>
      <w:r>
        <w:t xml:space="preserve"> High resolution soil property maps and their uncertainty for Europe — https://openalex.org/W7110658065</w:t>
      </w:r>
    </w:p>
    <w:p>
      <w:pPr>
        <w:pStyle w:val="SourceNote"/>
      </w:pPr>
      <w:r>
        <w:rPr>
          <w:b/>
        </w:rPr>
        <w:t>Review status:</w:t>
      </w:r>
      <w:r>
        <w:t xml:space="preserve"> unchecked — group association only; no outcome judgment</w:t>
      </w:r>
    </w:p>
    <w:p>
      <w:pPr>
        <w:pStyle w:val="Heading2"/>
      </w:pPr>
      <w:r>
        <w:t>457.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group association only; no outcome judgment</w:t>
      </w:r>
    </w:p>
    <w:p>
      <w:pPr>
        <w:pStyle w:val="Heading2"/>
      </w:pPr>
      <w:r>
        <w:t>458. Claim + two later sources: Land use implications of future energy system trajectories—The case of the UK 2050 Carbon Plan</w:t>
      </w:r>
    </w:p>
    <w:p>
      <w:pPr>
        <w:pStyle w:val="SourceNote"/>
      </w:pPr>
      <w:r>
        <w:rPr>
          <w:b/>
        </w:rPr>
        <w:t>Group ID:</w:t>
      </w:r>
      <w:r>
        <w:t xml:space="preserve"> group-b59b90030fd145fdbe61</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Diversified Pathways to Achieve Tax Fairness and Justice in the Digital Age — https://doi.org/10.62517/jel.202514523</w:t>
      </w:r>
    </w:p>
    <w:p>
      <w:pPr/>
      <w:r>
        <w:rPr>
          <w:b/>
        </w:rPr>
        <w:t>Later source:</w:t>
      </w:r>
      <w:r>
        <w:t xml:space="preserve"> Pathway for Four Central and Eastern European Countries to Achieve Low Carbon Development Based on the STIRPAT Model — https://doi.org/10.5539/jsd.v17n4p63</w:t>
      </w:r>
    </w:p>
    <w:p>
      <w:pPr>
        <w:pStyle w:val="SourceNote"/>
      </w:pPr>
      <w:r>
        <w:rPr>
          <w:b/>
        </w:rPr>
        <w:t>Review status:</w:t>
      </w:r>
      <w:r>
        <w:t xml:space="preserve"> unchecked — group association only; no outcome judgment</w:t>
      </w:r>
    </w:p>
    <w:p>
      <w:pPr>
        <w:pStyle w:val="Heading2"/>
      </w:pPr>
      <w:r>
        <w:t>459. Claim + two later sources: Future projections of temperature and mixing regime of  European temperate lakes</w:t>
      </w:r>
    </w:p>
    <w:p>
      <w:pPr>
        <w:pStyle w:val="SourceNote"/>
      </w:pPr>
      <w:r>
        <w:rPr>
          <w:b/>
        </w:rPr>
        <w:t>Group ID:</w:t>
      </w:r>
      <w:r>
        <w:t xml:space="preserve"> group-b45ca6c7399658a02fad</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Tricentennial trends in spring ice break-ups on three rivers in northern Europe — https://doi.org/10.5194/tc-16-2881-2022</w:t>
      </w:r>
    </w:p>
    <w:p>
      <w:pPr/>
      <w:r>
        <w:rPr>
          <w:b/>
        </w:rPr>
        <w:t>Later source:</w:t>
      </w:r>
      <w:r>
        <w:t xml:space="preserve"> Split westerlies over Europe in the early Little Ice Age — https://doi.org/10.1038/s41467-022-32654-w</w:t>
      </w:r>
    </w:p>
    <w:p>
      <w:pPr>
        <w:pStyle w:val="SourceNote"/>
      </w:pPr>
      <w:r>
        <w:rPr>
          <w:b/>
        </w:rPr>
        <w:t>Review status:</w:t>
      </w:r>
      <w:r>
        <w:t xml:space="preserve"> unchecked — group association only; no outcome judgment</w:t>
      </w:r>
    </w:p>
    <w:p>
      <w:pPr>
        <w:pStyle w:val="Heading2"/>
      </w:pPr>
      <w:r>
        <w:t>460. Claim + two later sources: Lyme Disease Risks in Europe under Multiple Uncertain Drivers of Change</w:t>
      </w:r>
    </w:p>
    <w:p>
      <w:pPr>
        <w:pStyle w:val="SourceNote"/>
      </w:pPr>
      <w:r>
        <w:rPr>
          <w:b/>
        </w:rPr>
        <w:t>Group ID:</w:t>
      </w:r>
      <w:r>
        <w:t xml:space="preserve"> group-6af7255f5b872f8b1f26</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group association only; no outcome judgment</w:t>
      </w:r>
    </w:p>
    <w:p>
      <w:pPr>
        <w:pStyle w:val="Heading2"/>
      </w:pPr>
      <w:r>
        <w:t>461. Claim + two later sources: Imagining energy futures: Sociotechnical imaginaries of the future Smart Grid in Norway</w:t>
      </w:r>
    </w:p>
    <w:p>
      <w:pPr>
        <w:pStyle w:val="SourceNote"/>
      </w:pPr>
      <w:r>
        <w:rPr>
          <w:b/>
        </w:rPr>
        <w:t>Group ID:</w:t>
      </w:r>
      <w:r>
        <w:t xml:space="preserve"> group-1d7690a259c43b8a46fd</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From Smart Grids to Super Smart Grids: A Roadmap for Strategic Demand Management for Next Generation SAARC and European Power Infrastructure — https://doi.org/10.1109/access.2023.3241686</w:t>
      </w:r>
    </w:p>
    <w:p>
      <w:pPr/>
      <w:r>
        <w:rPr>
          <w:b/>
        </w:rPr>
        <w:t>Later source:</w:t>
      </w:r>
      <w:r>
        <w:t xml:space="preserve"> Mobility in the Smart Grid: Roaming Protocols for EV Charging — https://doi.org/10.1109/tsg.2022.3202608</w:t>
      </w:r>
    </w:p>
    <w:p>
      <w:pPr>
        <w:pStyle w:val="SourceNote"/>
      </w:pPr>
      <w:r>
        <w:rPr>
          <w:b/>
        </w:rPr>
        <w:t>Review status:</w:t>
      </w:r>
      <w:r>
        <w:t xml:space="preserve"> unchecked — group association only; no outcome judgment</w:t>
      </w:r>
    </w:p>
    <w:p>
      <w:pPr>
        <w:pStyle w:val="Heading2"/>
      </w:pPr>
      <w:r>
        <w:t>462. Claim + two later sources: Long-Term Projection of Renewable Energy Technology Diffusion</w:t>
      </w:r>
    </w:p>
    <w:p>
      <w:pPr>
        <w:pStyle w:val="SourceNote"/>
      </w:pPr>
      <w:r>
        <w:rPr>
          <w:b/>
        </w:rPr>
        <w:t>Group ID:</w:t>
      </w:r>
      <w:r>
        <w:t xml:space="preserve"> group-f748070b6bf7505cb3fb</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72 The butterfly project – improving treatment escalation planning in the emergency department — https://doi.org/10.1136/spcare-2021-pcc.90</w:t>
      </w:r>
    </w:p>
    <w:p>
      <w:pPr/>
      <w:r>
        <w:rPr>
          <w:b/>
        </w:rPr>
        <w:t>Later source:</w:t>
      </w:r>
      <w:r>
        <w:t xml:space="preserve"> Minding the gap: identifying values to enable public and patient involvement at the pre-commencement stage of research projects — https://doi.org/10.1186/s40900-020-00220-7</w:t>
      </w:r>
    </w:p>
    <w:p>
      <w:pPr>
        <w:pStyle w:val="SourceNote"/>
      </w:pPr>
      <w:r>
        <w:rPr>
          <w:b/>
        </w:rPr>
        <w:t>Review status:</w:t>
      </w:r>
      <w:r>
        <w:t xml:space="preserve"> unchecked — group association only; no outcome judgment</w:t>
      </w:r>
    </w:p>
    <w:p>
      <w:pPr>
        <w:pStyle w:val="Heading2"/>
      </w:pPr>
      <w:r>
        <w:t>463. Claim + two later sources: Climate change mitigation: evidences from the European scenario</w:t>
      </w:r>
    </w:p>
    <w:p>
      <w:pPr>
        <w:pStyle w:val="SourceNote"/>
      </w:pPr>
      <w:r>
        <w:rPr>
          <w:b/>
        </w:rPr>
        <w:t>Group ID:</w:t>
      </w:r>
      <w:r>
        <w:t xml:space="preserve"> group-06a6eab73196de1a3026</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Changes in greenhouse gas emissions from agriculture in selected European Union countries — https://doi.org/10.14254/2071-8330.2026/19-1/10</w:t>
      </w:r>
    </w:p>
    <w:p>
      <w:pPr/>
      <w:r>
        <w:rPr>
          <w:b/>
        </w:rPr>
        <w:t>Later source:</w:t>
      </w:r>
      <w:r>
        <w:t xml:space="preserve"> The Role of Organic Farming in Reducing Greenhouse Gas Emissions from Agriculture in the European Union — https://doi.org/10.3390/agronomy15010198</w:t>
      </w:r>
    </w:p>
    <w:p>
      <w:pPr>
        <w:pStyle w:val="SourceNote"/>
      </w:pPr>
      <w:r>
        <w:rPr>
          <w:b/>
        </w:rPr>
        <w:t>Review status:</w:t>
      </w:r>
      <w:r>
        <w:t xml:space="preserve"> unchecked — group association only; no outcome judgment</w:t>
      </w:r>
    </w:p>
    <w:p>
      <w:pPr>
        <w:pStyle w:val="Heading2"/>
      </w:pPr>
      <w:r>
        <w:t>464.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group-02faf0680567f1830f53</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Environmental Permitting and Environmental Impact Assessment in the United States and the European Union: A Comparative Legal Study — https://doi.org/10.2139/ssrn.7275567</w:t>
      </w:r>
    </w:p>
    <w:p>
      <w:pPr/>
      <w:r>
        <w:rPr>
          <w:b/>
        </w:rPr>
        <w:t>Later source:</w:t>
      </w:r>
      <w:r>
        <w:t xml:space="preserve"> Environmental consequences of replacing polyethylene packaging in the United States and Europe — https://doi.org/10.1016/j.resenv.2026.100390</w:t>
      </w:r>
    </w:p>
    <w:p>
      <w:pPr>
        <w:pStyle w:val="SourceNote"/>
      </w:pPr>
      <w:r>
        <w:rPr>
          <w:b/>
        </w:rPr>
        <w:t>Review status:</w:t>
      </w:r>
      <w:r>
        <w:t xml:space="preserve"> unchecked — group association only; no outcome judgment</w:t>
      </w:r>
    </w:p>
    <w:p>
      <w:pPr>
        <w:pStyle w:val="Heading2"/>
      </w:pPr>
      <w:r>
        <w:t>465. Claim + two later sources: Assessing the EU’s 2030 Climate and Energy Policy Framework: Incremental change toward radical transformation?</w:t>
      </w:r>
    </w:p>
    <w:p>
      <w:pPr>
        <w:pStyle w:val="SourceNote"/>
      </w:pPr>
      <w:r>
        <w:rPr>
          <w:b/>
        </w:rPr>
        <w:t>Group ID:</w:t>
      </w:r>
      <w:r>
        <w:t xml:space="preserve"> group-2d89a5abe90961c646ac</w:t>
      </w:r>
    </w:p>
    <w:p>
      <w:pPr>
        <w:pStyle w:val="SourceNote"/>
      </w:pPr>
      <w:r>
        <w:rPr>
          <w:b/>
        </w:rPr>
        <w:t>Original source:</w:t>
      </w:r>
      <w:r>
        <w:t xml:space="preserve"> https://doi.org/10.1111/reel.12358</w:t>
      </w:r>
    </w:p>
    <w:p>
      <w:pPr/>
      <w:r>
        <w:rPr>
          <w:b/>
        </w:rPr>
        <w:t>Original future claim:</w:t>
      </w:r>
      <w:r>
        <w:t xml:space="preserve">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The Palestinian Refugee, Article 1D and Evolving Jurisprudence from Europe: a Practitioner’s Perspective — https://doi.org/10.1163/15718166-12340198</w:t>
      </w:r>
    </w:p>
    <w:p>
      <w:pPr/>
      <w:r>
        <w:rPr>
          <w:b/>
        </w:rPr>
        <w:t>Later source:</w:t>
      </w:r>
      <w:r>
        <w:t xml:space="preserve"> Human trafficking and forced prostitution under article 4 of the European convention on human rights — https://doi.org/10.1017/glj.2023.98</w:t>
      </w:r>
    </w:p>
    <w:p>
      <w:pPr>
        <w:pStyle w:val="SourceNote"/>
      </w:pPr>
      <w:r>
        <w:rPr>
          <w:b/>
        </w:rPr>
        <w:t>Review status:</w:t>
      </w:r>
      <w:r>
        <w:t xml:space="preserve"> unchecked — group association only; no outcome judgment</w:t>
      </w:r>
    </w:p>
    <w:p>
      <w:pPr>
        <w:pStyle w:val="Heading2"/>
      </w:pPr>
      <w:r>
        <w:t>466.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group association only; no outcome judgment</w:t>
      </w:r>
    </w:p>
    <w:p>
      <w:pPr>
        <w:pStyle w:val="Heading2"/>
      </w:pPr>
      <w:r>
        <w:t>467. Claim + two later sources: Emerging smart city, transport and energy trends in urban settings: Results of a pan-European foresight exercise with 120 experts</w:t>
      </w:r>
    </w:p>
    <w:p>
      <w:pPr>
        <w:pStyle w:val="SourceNote"/>
      </w:pPr>
      <w:r>
        <w:rPr>
          <w:b/>
        </w:rPr>
        <w:t>Group ID:</w:t>
      </w:r>
      <w:r>
        <w:t xml:space="preserve"> group-ba0a1366b077c9bf93ab</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Diversity management in European companies: intersectionality and individual experiences of bias at work — https://doi.org/10.4337/9781035361243.00012</w:t>
      </w:r>
    </w:p>
    <w:p>
      <w:pPr/>
      <w:r>
        <w:rPr>
          <w:b/>
        </w:rPr>
        <w:t>Later source:</w:t>
      </w:r>
      <w:r>
        <w:t xml:space="preserve"> Exploring a high-level programming model for the NWP domain using ECMWF microphysics schemes — https://doi.org/10.5194/gmd-18-529-2025</w:t>
      </w:r>
    </w:p>
    <w:p>
      <w:pPr>
        <w:pStyle w:val="SourceNote"/>
      </w:pPr>
      <w:r>
        <w:rPr>
          <w:b/>
        </w:rPr>
        <w:t>Review status:</w:t>
      </w:r>
      <w:r>
        <w:t xml:space="preserve"> unchecked — group association only; no outcome judgment</w:t>
      </w:r>
    </w:p>
    <w:p>
      <w:pPr>
        <w:pStyle w:val="Heading2"/>
      </w:pPr>
      <w:r>
        <w:t>468. Claim + two later sources: European carbon storage resource requirements of climate change mitigation targets</w:t>
      </w:r>
    </w:p>
    <w:p>
      <w:pPr>
        <w:pStyle w:val="SourceNote"/>
      </w:pPr>
      <w:r>
        <w:rPr>
          <w:b/>
        </w:rPr>
        <w:t>Group ID:</w:t>
      </w:r>
      <w:r>
        <w:t xml:space="preserve"> group-a677fee33e518c9cabf4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Modeling of Hydrodynamic Processes of the Estuaries of the European Part of the Russian Arctic under Possible Climate Changes — https://doi.org/10.1134/s0097807824701434</w:t>
      </w:r>
    </w:p>
    <w:p>
      <w:pPr/>
      <w:r>
        <w:rPr>
          <w:b/>
        </w:rPr>
        <w:t>Later source:</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pStyle w:val="SourceNote"/>
      </w:pPr>
      <w:r>
        <w:rPr>
          <w:b/>
        </w:rPr>
        <w:t>Review status:</w:t>
      </w:r>
      <w:r>
        <w:t xml:space="preserve"> unchecked — group association only; no outcome judgment</w:t>
      </w:r>
    </w:p>
    <w:p>
      <w:pPr>
        <w:pStyle w:val="Heading2"/>
      </w:pPr>
      <w:r>
        <w:t>469. Claim + two later sources: Transition pathways to sustainability in greater than 2 °C climate futures of Europe</w:t>
      </w:r>
    </w:p>
    <w:p>
      <w:pPr>
        <w:pStyle w:val="SourceNote"/>
      </w:pPr>
      <w:r>
        <w:rPr>
          <w:b/>
        </w:rPr>
        <w:t>Group ID:</w:t>
      </w:r>
      <w:r>
        <w:t xml:space="preserve"> group-36007685fcbc0397f174</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The European Society of Cataract and Refractive Surgeons Cataract Simulation Curriculum: Wet Lab and Virtual Reality Pathways to Competency — https://doi.org/10.1097/j.jcrs.0000000000002036</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group association only; no outcome judgment</w:t>
      </w:r>
    </w:p>
    <w:p>
      <w:pPr>
        <w:pStyle w:val="Heading2"/>
      </w:pPr>
      <w:r>
        <w:t>470. Claim + two later sources: European packaging industry foresight study—identifying global drivers and driven packaging industry implications of the global megatrends</w:t>
      </w:r>
    </w:p>
    <w:p>
      <w:pPr>
        <w:pStyle w:val="SourceNote"/>
      </w:pPr>
      <w:r>
        <w:rPr>
          <w:b/>
        </w:rPr>
        <w:t>Group ID:</w:t>
      </w:r>
      <w:r>
        <w:t xml:space="preserve"> group-4808549bd27b0644ffb4</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Environmental consequences of replacing polyethylene packaging in the United States and Europe — https://doi.org/10.1016/j.resenv.2026.100390</w:t>
      </w:r>
    </w:p>
    <w:p>
      <w:pPr/>
      <w:r>
        <w:rPr>
          <w:b/>
        </w:rPr>
        <w:t>Later source:</w:t>
      </w:r>
      <w:r>
        <w:t xml:space="preserve"> Assessing Ochratoxin A Contamination in Pre-Packaged Grated Cheese: Implications for Food Safety — https://doi.org/10.3390/foods14091504</w:t>
      </w:r>
    </w:p>
    <w:p>
      <w:pPr>
        <w:pStyle w:val="SourceNote"/>
      </w:pPr>
      <w:r>
        <w:rPr>
          <w:b/>
        </w:rPr>
        <w:t>Review status:</w:t>
      </w:r>
      <w:r>
        <w:t xml:space="preserve"> unchecked — group association only; no outcome judgment</w:t>
      </w:r>
    </w:p>
    <w:p>
      <w:pPr>
        <w:pStyle w:val="Heading2"/>
      </w:pPr>
      <w:r>
        <w:t>471. Claim + two later sources: Trends and forecast of obesity in Finland</w:t>
      </w:r>
    </w:p>
    <w:p>
      <w:pPr>
        <w:pStyle w:val="SourceNote"/>
      </w:pPr>
      <w:r>
        <w:rPr>
          <w:b/>
        </w:rPr>
        <w:t>Group ID:</w:t>
      </w:r>
      <w:r>
        <w:t xml:space="preserve"> group-68ebce1f666c037f2467</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Global prevalence of obesity in the older adults: A meta-analysis — https://doi.org/10.1016/j.puhip.2025.100585</w:t>
      </w:r>
    </w:p>
    <w:p>
      <w:pPr/>
      <w:r>
        <w:rPr>
          <w:b/>
        </w:rPr>
        <w:t>Later source:</w:t>
      </w:r>
      <w:r>
        <w:t xml:space="preserve"> Sarcopenia prevalence and functional outcomes in older men with obesity: Comparing the use of the EWGSOP2 sarcopenia versus ESPEN-EASO sarcopenic obesity consensus definitions — https://doi.org/10.1016/j.clnu.2023.07.014</w:t>
      </w:r>
    </w:p>
    <w:p>
      <w:pPr>
        <w:pStyle w:val="SourceNote"/>
      </w:pPr>
      <w:r>
        <w:rPr>
          <w:b/>
        </w:rPr>
        <w:t>Review status:</w:t>
      </w:r>
      <w:r>
        <w:t xml:space="preserve"> unchecked — group association only; no outcome judgment</w:t>
      </w:r>
    </w:p>
    <w:p>
      <w:pPr>
        <w:pStyle w:val="Heading2"/>
      </w:pPr>
      <w:r>
        <w:t>472. Claim + two later sources: The role of gases in the European energy transition</w:t>
      </w:r>
    </w:p>
    <w:p>
      <w:pPr>
        <w:pStyle w:val="SourceNote"/>
      </w:pPr>
      <w:r>
        <w:rPr>
          <w:b/>
        </w:rPr>
        <w:t>Group ID:</w:t>
      </w:r>
      <w:r>
        <w:t xml:space="preserve"> group-e08f84cd11b20a4f1720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Net Zero Emissions and Positive Energy Districts: A Potential Solution to Achieve the European Climate Targets — https://doi.org/10.1109/tia.2026.3661957</w:t>
      </w:r>
    </w:p>
    <w:p>
      <w:pPr/>
      <w:r>
        <w:rPr>
          <w:b/>
        </w:rPr>
        <w:t>Later source:</w:t>
      </w:r>
      <w:r>
        <w:t xml:space="preserve"> An empirical analysis of net-zero emission targets of Canada and the European Union — https://doi.org/10.21622/maci.2025.02.1.1252</w:t>
      </w:r>
    </w:p>
    <w:p>
      <w:pPr>
        <w:pStyle w:val="SourceNote"/>
      </w:pPr>
      <w:r>
        <w:rPr>
          <w:b/>
        </w:rPr>
        <w:t>Review status:</w:t>
      </w:r>
      <w:r>
        <w:t xml:space="preserve"> unchecked — group association only; no outcome judgment</w:t>
      </w:r>
    </w:p>
    <w:p>
      <w:pPr>
        <w:pStyle w:val="Heading2"/>
      </w:pPr>
      <w:r>
        <w:t>473.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2024:</w:t>
      </w:r>
      <w:r>
        <w:t xml:space="preserve"> Transformation of environmental policy based on the concept of ecological modernization — https://doi.org/10.1051/bioconf/20249305018</w:t>
      </w:r>
    </w:p>
    <w:p>
      <w:pPr/>
      <w:r>
        <w:rPr>
          <w:b/>
        </w:rPr>
        <w:t>Shared claim-specific concepts:</w:t>
      </w:r>
      <w:r>
        <w:t xml:space="preserve"> based, concepts, environmental; EU scope not established. This is a provisional connection, not an outcome finding.</w:t>
      </w:r>
    </w:p>
    <w:p>
      <w:pPr>
        <w:pStyle w:val="SourceNote"/>
      </w:pPr>
      <w:r>
        <w:rPr>
          <w:b/>
        </w:rPr>
        <w:t>Available abstract (not full text):</w:t>
      </w:r>
      <w:r>
        <w:t xml:space="preserve">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pPr/>
      <w:r>
        <w:rPr>
          <w:b/>
        </w:rPr>
        <w:t>POSSIBLE 2024:</w:t>
      </w:r>
      <w:r>
        <w:t xml:space="preserve"> Implementation in the European Union. A concept structural meta-study of environmental and social policy — https://doi.org/10.1080/14782804.2024.2383699</w:t>
      </w:r>
    </w:p>
    <w:p>
      <w:pPr/>
      <w:r>
        <w:rPr>
          <w:b/>
        </w:rPr>
        <w:t>Shared claim-specific concepts:</w:t>
      </w:r>
      <w:r>
        <w:t xml:space="preserve"> based, concepts, environmental, alternative; EU scope visible. This is a provisional connection, not an outcome finding.</w:t>
      </w:r>
    </w:p>
    <w:p>
      <w:pPr>
        <w:pStyle w:val="SourceNote"/>
      </w:pPr>
      <w:r>
        <w:rPr>
          <w:b/>
        </w:rPr>
        <w:t>Available abstract (not full text):</w:t>
      </w:r>
      <w:r>
        <w:t xml:space="preserve">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pPr/>
      <w:r>
        <w:rPr>
          <w:b/>
        </w:rPr>
        <w:t>POSSIBLE 2024:</w:t>
      </w:r>
      <w:r>
        <w:t xml:space="preserve"> Natural/Small Water Retention Measures: Their Contribution to Ecosystem-Based Concepts — https://doi.org/10.3390/su16031308</w:t>
      </w:r>
    </w:p>
    <w:p>
      <w:pPr/>
      <w:r>
        <w:rPr>
          <w:b/>
        </w:rPr>
        <w:t>Shared claim-specific concepts:</w:t>
      </w:r>
      <w:r>
        <w:t xml:space="preserve"> concepts, environmental, project, show; EU scope visible. This is a provisional connection, not an outcome finding.</w:t>
      </w:r>
    </w:p>
    <w:p>
      <w:pPr>
        <w:pStyle w:val="SourceNote"/>
      </w:pPr>
      <w:r>
        <w:rPr>
          <w:b/>
        </w:rPr>
        <w:t>Available abstract (not full text):</w:t>
      </w:r>
      <w:r>
        <w:t xml:space="preserve">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pPr/>
      <w:r>
        <w:rPr>
          <w:b/>
        </w:rPr>
        <w:t>POSSIBLE 2023:</w:t>
      </w:r>
      <w:r>
        <w:t xml:space="preserve"> Origins of the European approach to environmental justice — https://openalex.org/W7135598878</w:t>
      </w:r>
    </w:p>
    <w:p>
      <w:pPr/>
      <w:r>
        <w:rPr>
          <w:b/>
        </w:rPr>
        <w:t>Shared claim-specific concepts:</w:t>
      </w:r>
      <w:r>
        <w:t xml:space="preserve"> based, environmental, discourse; EU scope visible. This is a provisional connection, not an outcome finding.</w:t>
      </w:r>
    </w:p>
    <w:p>
      <w:pPr>
        <w:pStyle w:val="SourceNote"/>
      </w:pPr>
      <w:r>
        <w:rPr>
          <w:b/>
        </w:rPr>
        <w:t>Available abstract (not full text):</w:t>
      </w:r>
      <w:r>
        <w:t xml:space="preserve">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pPr/>
      <w:r>
        <w:rPr>
          <w:b/>
        </w:rPr>
        <w:t>POSSIBLE 2023:</w:t>
      </w:r>
      <w:r>
        <w:t xml:space="preserve"> Environmental Economy and Green Transition in the European Union: Two Complementary Concepts — https://doi.org/10.2478/picbe-2023-0135</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pPr/>
      <w:r>
        <w:rPr>
          <w:b/>
        </w:rPr>
        <w:t>POSSIBLE 2023:</w:t>
      </w:r>
      <w:r>
        <w:t xml:space="preserve"> Sustainable board governance and environmental performance: European evidence — https://doi.org/10.1002/bse.3654</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environmental, alternative, example;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pStyle w:val="Heading2"/>
      </w:pPr>
      <w:r>
        <w:t>474.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2024:</w:t>
      </w:r>
      <w:r>
        <w:t xml:space="preserve"> Strategic management as an enabler of co-creation in public services — https://doi.org/10.51952/9781447369042.ch006</w:t>
      </w:r>
    </w:p>
    <w:p>
      <w:pPr/>
      <w:r>
        <w:rPr>
          <w:b/>
        </w:rPr>
        <w:t>Shared claim-specific concepts:</w:t>
      </w:r>
      <w:r>
        <w:t xml:space="preserve"> enable, used, literature; EU scope not established. This is a provisional connection, not an outcome finding.</w:t>
      </w:r>
    </w:p>
    <w:p>
      <w:pPr>
        <w:pStyle w:val="SourceNote"/>
      </w:pPr>
      <w:r>
        <w:rPr>
          <w:b/>
        </w:rPr>
        <w:t>Available abstract (not full text):</w:t>
      </w:r>
      <w:r>
        <w:t xml:space="preserve">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pPr/>
      <w:r>
        <w:rPr>
          <w:b/>
        </w:rPr>
        <w:t>POSSIBLE 2023:</w:t>
      </w:r>
      <w:r>
        <w:t xml:space="preserve"> Value co-creation in a high-performance computing (HPC) service ecosystem: opportunities for European SMEs — https://doi.org/10.1108/dprg-03-2023-0042</w:t>
      </w:r>
    </w:p>
    <w:p>
      <w:pPr/>
      <w:r>
        <w:rPr>
          <w:b/>
        </w:rPr>
        <w:t>Shared claim-specific concepts:</w:t>
      </w:r>
      <w:r>
        <w:t xml:space="preserve"> enable, policies, critical, literature; EU scope visible. This is a provisional connection, not an outcome finding.</w:t>
      </w:r>
    </w:p>
    <w:p>
      <w:pPr>
        <w:pStyle w:val="SourceNote"/>
      </w:pPr>
      <w:r>
        <w:rPr>
          <w:b/>
        </w:rPr>
        <w:t>Available abstract (not full text):</w:t>
      </w:r>
      <w:r>
        <w:t xml:space="preserve"> Purpose This paper aims to develop a conceptual framework as a valuable investigative tool for future empirical studies examining stakeholders’ interactions within a high-performance computing (HPC) service ecosystem and identifying the enablers for better value co-creation under various service provisioning contexts. Design/methodology/approach This conceptual paper follows a theory adaptation research design that systematically examines the literature on a substantive topic encompassing HPC technology adoption and usage by European small and medium-sized enterprises (SMEs). Furthermore, it introduces theoretical perspectives from service innovation research as its methodological approach (method theory) to develop a theoretical framework for value co-creation within an HPC service ecosystem. Findings The conceptual framework presented in this paper identifies the critical resource elements of SMEs, which can potentially be integrated with other stakeholders’ resources and complement the limited internal resources of SMEs for enhanced value co-creation within an HPC service ecosystem. Research limitations/implications The conceptualisation of an HPC service ecosystem and the potential of value co-creation through integrating stakeholders’ resources, presented in this paper, underscore further empirical research in this direction. Practical implications Findings from this paper</w:t>
      </w:r>
    </w:p>
    <w:p>
      <w:pPr/>
      <w:r>
        <w:rPr>
          <w:b/>
        </w:rPr>
        <w:t>POSSIBLE 2023:</w:t>
      </w:r>
      <w:r>
        <w:t xml:space="preserve"> TRANSFORMATION OF PUBLIC ADMINISTRATION OF SERBIA AND E-GOVERNMENT ACCORDING TO THE EUROPEAN UNION MODEL — https://doi.org/10.58952/nit20231101078</w:t>
      </w:r>
    </w:p>
    <w:p>
      <w:pPr/>
      <w:r>
        <w:rPr>
          <w:b/>
        </w:rPr>
        <w:t>Shared claim-specific concepts:</w:t>
      </w:r>
      <w:r>
        <w:t xml:space="preserve"> enable, creation, transition; EU scope visible. This is a provisional connection, not an outcome finding.</w:t>
      </w:r>
    </w:p>
    <w:p>
      <w:pPr>
        <w:pStyle w:val="SourceNote"/>
      </w:pPr>
      <w:r>
        <w:rPr>
          <w:b/>
        </w:rPr>
        <w:t>Available abstract (not full text):</w:t>
      </w:r>
      <w:r>
        <w:t xml:space="preserve"> Transition countries and underdeveloped countries in long-term development strategies seek to eliminate evident anomalies and controversies in all spheres of society. There is an urgent need for a radical transformation of all segments of the community at all levels of organization and innovation, modeled on the developed countries of the European Union. The reform of public authority and administration is an essential obligation of relevant subjects in the context of incorporating one's own creation into modern international trends. The new public management is a modern public sector paradigm based on the implementation of the experiences of developed European countries. The focus is on systemic changes in accordance with the specifics of collectivity, the concept of privatization and the commitment to service to citizens. The first role in the reorganization is achieved by the application of information and communication technologies with the introduction of the eGovernment model in all bodies, institutions and companies. These postulates enable the necessary integration, efficiency and prosperity of society in the broadest context.</w:t>
      </w:r>
    </w:p>
    <w:p>
      <w:pPr>
        <w:pStyle w:val="Heading2"/>
      </w:pPr>
      <w:r>
        <w:t>475.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r>
        <w:rPr>
          <w:b/>
        </w:rPr>
        <w:t>POSSIBLE 2025:</w:t>
      </w:r>
      <w:r>
        <w:t xml:space="preserve"> Adaptation of Ukrainian Legislation to the Legislation of the European Union: Current Status and Prospects — https://doi.org/10.23939/veritas2025.01.044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pPr/>
      <w:r>
        <w:rPr>
          <w:b/>
        </w:rPr>
        <w:t>POSSIBLE 2024:</w:t>
      </w:r>
      <w:r>
        <w:t xml:space="preserve"> Evolving Concept of Energy Communities in the European Union — https://doi.org/10.2478/lpts-2024-0020</w:t>
      </w:r>
    </w:p>
    <w:p>
      <w:pPr/>
      <w:r>
        <w:rPr>
          <w:b/>
        </w:rPr>
        <w:t>Shared claim-specific concepts:</w:t>
      </w:r>
      <w:r>
        <w:t xml:space="preserve"> abstract, union, must, reduce, greenhouse, gas; EU scope visible. This is a provisional connection, not an outcome finding.</w:t>
      </w:r>
    </w:p>
    <w:p>
      <w:pPr>
        <w:pStyle w:val="SourceNote"/>
      </w:pPr>
      <w:r>
        <w:rPr>
          <w:b/>
        </w:rPr>
        <w:t>Available abstract (not full text):</w:t>
      </w:r>
      <w:r>
        <w:t xml:space="preserve"> Abstract In accordance with the goal approved by the Council of the European Union, a European climate-neutrality must be achieved by 2050. Namely, the European Union must significantly reduce greenhouse gas emissions and find ways to compensate for the remaining and unavoidable ones. Within the framework of the European Green Deal, which is a set of policy initiatives to achieve climate neutrality goals, energy communities are considered in the context of two initiatives: a just transition and clean and safe energy at an affordable price. Within the latter, energy community is seen as citizen-led actions in the energy sector that will help pave the way for the transition to clean energy.</w:t>
      </w:r>
    </w:p>
    <w:p>
      <w:pPr/>
      <w:r>
        <w:rPr>
          <w:b/>
        </w:rPr>
        <w:t>POSSIBLE 2024:</w:t>
      </w:r>
      <w:r>
        <w:t xml:space="preserve"> The European Union — https://doi.org/10.1093/9780191987304.003.0004</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Abstract This chapter analyses the green foreign energy policy and green power strategy of the EU. First, it explains how climate and technological sovereignty priorities have emerged in Europe, prompting a greening of the EU regulatory state and a shift towards a catalytic state. These processes intensified under the Juncker Commission and subsequent von der Leyen Commission; the latter, with the European Green Deal, has placed the energy transition at the centre of EU internal and external action. Moreover, the chapter illustrates the further innovations introduced after the Covid-19 crisis and the Russian invasion of Ukraine amid a deterioration of the international landscape and growing competition with China. These developments have produced an overall greening of the EU external action, although its green power strategy must still face important constraints that limit its ability to act as a leader in the emerging low-carbon world.</w:t>
      </w:r>
    </w:p>
    <w:p>
      <w:pPr/>
      <w:r>
        <w:rPr>
          <w:b/>
        </w:rPr>
        <w:t>POSSIBLE 2024:</w:t>
      </w:r>
      <w:r>
        <w:t xml:space="preserve"> Infringement: Jurisdiction Under the European Union/European Free Trade Association Rules — https://doi.org/10.1093/law/9780198853312.003.0005</w:t>
      </w:r>
    </w:p>
    <w:p>
      <w:pPr/>
      <w:r>
        <w:rPr>
          <w:b/>
        </w:rPr>
        <w:t>Shared claim-specific concepts:</w:t>
      </w:r>
      <w:r>
        <w:t xml:space="preserve"> abstract, union, must, also; EU scope visible. This is a provisional connection, not an outcome finding.</w:t>
      </w:r>
    </w:p>
    <w:p>
      <w:pPr>
        <w:pStyle w:val="SourceNote"/>
      </w:pPr>
      <w:r>
        <w:rPr>
          <w:b/>
        </w:rPr>
        <w:t>Available abstract (not full text):</w:t>
      </w:r>
      <w:r>
        <w:t xml:space="preserve"> Abstract This chapter explores the provisions related to jurisdiction under the European Union/European Free Trade Association rules and their application in infringement cases. After Brexit, the Brussels I Regulation and the Lugano Convention no longer apply in the UK and can no longer form a basis of jurisdiction for UK courts. However, even without the provisions, an action for infringement will be treated as a civil and commercial matter. On the other hand, an action for infringement of an intellectual property right brought against the European Commission must be heard by the Court of Justice instead of a national court. The chapter also considers the correlation between infringement, licensing agreements, and settlement agreements.</w:t>
      </w:r>
    </w:p>
    <w:p>
      <w:pPr/>
      <w:r>
        <w:rPr>
          <w:b/>
        </w:rPr>
        <w:t>POSSIBLE 2024:</w:t>
      </w:r>
      <w:r>
        <w:t xml:space="preserve"> Countering the Phenomenon of Populism as a Pathology of Democratisation in the European Union — https://doi.org/10.37837/2707-7683-2024-34</w:t>
      </w:r>
    </w:p>
    <w:p>
      <w:pPr/>
      <w:r>
        <w:rPr>
          <w:b/>
        </w:rPr>
        <w:t>Shared claim-specific concepts:</w:t>
      </w:r>
      <w:r>
        <w:t xml:space="preserve"> abstract, union, must, improve; EU scope visible. This is a provisional connection, not an outcome finding.</w:t>
      </w:r>
    </w:p>
    <w:p>
      <w:pPr>
        <w:pStyle w:val="SourceNote"/>
      </w:pPr>
      <w:r>
        <w:rPr>
          <w:b/>
        </w:rPr>
        <w:t>Available abstract (not full text):</w:t>
      </w:r>
      <w:r>
        <w:t xml:space="preserve"> Abstract. This article examines the latest trends in populism’s development in the European international political arena and the mechanisms for countering the ‘erosion of democracy’. The authors note that the phenomenon of democratic backsliding in the European Union is quite controversial. On one hand, since its inception, the European Union has upheld the principle of ‘the rule of law’ as one of its main pillars. On the other hand, the EU creates conditions that allow member states to backslide democratically. At the beginning of the 21st century, the EU faced its most ‘ironic’ problem — the institution that promotes democracy must fight against growing anti-democratic trends among its members. The most obvious examples are Hungary since 2010 and Poland since 2015, where the undemocratic actions of their governments have drawn the attention of all of Europe. Thus, in this article, the authors seek to answer the question: how can the European Union combat the erosion of democratic values? The authors outline three main approaches: (1) political pressure, (2) financial sanctions, and (3) legal prosecution for deviations from the principle of the rule of law. These three deterrent mechanisms closely link and require joint application to prevent democratic backsliding among new members. Studying the factors contributing to such backsliding shows that the European Parliament, the</w:t>
      </w:r>
    </w:p>
    <w:p>
      <w:pPr/>
      <w:r>
        <w:rPr>
          <w:b/>
        </w:rPr>
        <w:t>POSSIBLE 2024:</w:t>
      </w:r>
      <w:r>
        <w:t xml:space="preserve"> European labour law as part of an economic union, monetary union and community of values—between harmonization and subsidiarity — https://doi.org/10.1093/yel/yeae008</w:t>
      </w:r>
    </w:p>
    <w:p>
      <w:pPr/>
      <w:r>
        <w:rPr>
          <w:b/>
        </w:rPr>
        <w:t>Shared claim-specific concepts:</w:t>
      </w:r>
      <w:r>
        <w:t xml:space="preserve"> abstract, union, must, regulatory, but, areas; EU scope visible. This is a provisional connection, not an outcome finding.</w:t>
      </w:r>
    </w:p>
    <w:p>
      <w:pPr>
        <w:pStyle w:val="SourceNote"/>
      </w:pPr>
      <w:r>
        <w:rPr>
          <w:b/>
        </w:rPr>
        <w:t>Available abstract (not full text):</w:t>
      </w:r>
      <w:r>
        <w:t xml:space="preserve"> Abstract The development of European labour law was neither straightforward nor continuous but followed the development of the European single market for a long time. Today, European labour law is an essential part of the social market economy in the European Union, even if there is no uniform European social model. The European Pillar of Social Rights is a commitment to a social Europe and accelerated regulatory practice. From a political science perspective, the development of European labour law was and is dependent on the legitimacy of its actions of the European Union. Therefore, unlike in nation-states, no clearly defined concept of (European) labour law has emerged. Rather, three central areas can be identified: (1) transnational labour law, primarily the free movement of workers, as nucleus of European labour law, (2) European labour law as a result of the interference of business-related fundamental freedoms with the welfare states in the Member States, and (3) European labour law as a result of a proactive social policy. However, the European Union has and will have to continue to organise its legislation in coordination with the welfare states in the Member States. Politically, it must prove that its measures are necessary because it can regulate the issues in question better than the Member States would be able to. Crises affecting several Member States are often th</w:t>
      </w:r>
    </w:p>
    <w:p>
      <w:pPr/>
      <w:r>
        <w:rPr>
          <w:b/>
        </w:rPr>
        <w:t>POSSIBLE 2024:</w:t>
      </w:r>
      <w:r>
        <w:t xml:space="preserve"> Climate Obstruction in the European Union — https://doi.org/10.1093/oso/9780197762042.003.0013</w:t>
      </w:r>
    </w:p>
    <w:p>
      <w:pPr/>
      <w:r>
        <w:rPr>
          <w:b/>
        </w:rPr>
        <w:t>Shared claim-specific concepts:</w:t>
      </w:r>
      <w:r>
        <w:t xml:space="preserve"> abstract, union, not, reduce, but, also;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2023:</w:t>
      </w:r>
      <w:r>
        <w:t xml:space="preserve"> Crises and Integration in European Banking Union — https://doi.org/10.1093/oso/9780198889069.001.0001</w:t>
      </w:r>
    </w:p>
    <w:p>
      <w:pPr/>
      <w:r>
        <w:rPr>
          <w:b/>
        </w:rPr>
        <w:t>Shared claim-specific concepts:</w:t>
      </w:r>
      <w:r>
        <w:t xml:space="preserve"> abstract, union, must, only; EU scope visible. This is a provisional connection, not an outcome finding.</w:t>
      </w:r>
    </w:p>
    <w:p>
      <w:pPr>
        <w:pStyle w:val="SourceNote"/>
      </w:pPr>
      <w:r>
        <w:rPr>
          <w:b/>
        </w:rPr>
        <w:t>Available abstract (not full text):</w:t>
      </w:r>
      <w:r>
        <w:t xml:space="preserve"> Abstract This book develops a theory of which crises are most likely to produce substantially deeper European integration based on the interaction of two dimensions of a crisis: the severity of the threat to the existing status quo and the origin of the crisis either within or outside of the sector of interest. In order to produce truly fundamental reform, a crisis must both be severe enough that reform is undeniably necessary and have originated within the sector of interest, such that reform could plausibly prevent future recurrences of the crisis. The theory is tested by examining the relative impact of a series of crises on the centralization of European banking regulation in the twenty-first century, and in particular on efforts to complete a European banking and capital markets union. It looks in turn at the 2007–09 Banking Crisis, the 2010–14 Debt Crisis, the 2016 Brexit Crisis, and the 2020–21 COVID Pandemic. In brief, Brexit, a moderate exogenous crisis, produced no notable reform, while both the moderate endogenous 2007–09 Banking Crisis and the severe exogenous COVID-19 Pandemic produced modest reforms, in form of the creation of the European Banking Authority and an accelerated timeline for using the European Stability Mechanism to backstop funding of bank resolution respectively. Only the severe endogenous 2010–14 Debt Crisis produced the substantial reform out of </w:t>
      </w:r>
    </w:p>
    <w:p>
      <w:pPr>
        <w:pStyle w:val="Heading2"/>
      </w:pPr>
      <w:r>
        <w:t>476.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2025:</w:t>
      </w:r>
      <w:r>
        <w:t xml:space="preserve"> Socio-Economic Conditions Of Coir Workers And Problems Of Coir Industry East Godavari District in Andhra Pradesh — https://doi.org/10.71097/ijsat.v16.i4.8529</w:t>
      </w:r>
    </w:p>
    <w:p>
      <w:pPr/>
      <w:r>
        <w:rPr>
          <w:b/>
        </w:rPr>
        <w:t>Shared claim-specific concepts:</w:t>
      </w:r>
      <w:r>
        <w:t xml:space="preserve"> abstract, socio; EU scope not established. This is a provisional connection, not an outcome finding.</w:t>
      </w:r>
    </w:p>
    <w:p>
      <w:pPr>
        <w:pStyle w:val="SourceNote"/>
      </w:pPr>
      <w:r>
        <w:rPr>
          <w:b/>
        </w:rPr>
        <w:t>Available abstract (not full text):</w:t>
      </w:r>
      <w:r>
        <w:t xml:space="preserve">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pPr/>
      <w:r>
        <w:rPr>
          <w:b/>
        </w:rPr>
        <w:t>POSSIBLE 2024:</w:t>
      </w:r>
      <w:r>
        <w:t xml:space="preserve"> Abstract WMP47: Neighborhood Socio-Economic Status as a Predictor of All-Cause Long-Term Post-Stroke Mortality — https://doi.org/10.1161/str.55.suppl_1.wmp47</w:t>
      </w:r>
    </w:p>
    <w:p>
      <w:pPr/>
      <w:r>
        <w:rPr>
          <w:b/>
        </w:rPr>
        <w:t>Shared claim-specific concepts:</w:t>
      </w:r>
      <w:r>
        <w:t xml:space="preserve"> abstract, socioeconomic, used; EU scope not established. This is a provisional connection, not an outcome finding.</w:t>
      </w:r>
    </w:p>
    <w:p>
      <w:pPr>
        <w:pStyle w:val="SourceNote"/>
      </w:pPr>
      <w:r>
        <w:rPr>
          <w:b/>
        </w:rPr>
        <w:t>Available abstract (not full text):</w:t>
      </w:r>
      <w:r>
        <w:t xml:space="preserve">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pPr/>
      <w:r>
        <w:rPr>
          <w:b/>
        </w:rPr>
        <w:t>POSSIBLE 2024:</w:t>
      </w:r>
      <w:r>
        <w:t xml:space="preserve"> The socio-economic performance of agroecology. A review — https://doi.org/10.1007/s13593-024-00945-9</w:t>
      </w:r>
    </w:p>
    <w:p>
      <w:pPr/>
      <w:r>
        <w:rPr>
          <w:b/>
        </w:rPr>
        <w:t>Shared claim-specific concepts:</w:t>
      </w:r>
      <w:r>
        <w:t xml:space="preserve"> abstract, used, them; EU scope not established. This is a provisional connection, not an outcome finding.</w:t>
      </w:r>
    </w:p>
    <w:p>
      <w:pPr>
        <w:pStyle w:val="SourceNote"/>
      </w:pPr>
      <w:r>
        <w:rPr>
          <w:b/>
        </w:rPr>
        <w:t>Available abstract (not full text):</w:t>
      </w:r>
      <w:r>
        <w:t xml:space="preserve">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pPr/>
      <w:r>
        <w:rPr>
          <w:b/>
        </w:rPr>
        <w:t>POSSIBLE 2024:</w:t>
      </w:r>
      <w:r>
        <w:t xml:space="preserve"> Socio-economic Status Scales in India &amp; Globally: A Review — https://doi.org/10.4103/pmrr.pmrr_133_24</w:t>
      </w:r>
    </w:p>
    <w:p>
      <w:pPr/>
      <w:r>
        <w:rPr>
          <w:b/>
        </w:rPr>
        <w:t>Shared claim-specific concepts:</w:t>
      </w:r>
      <w:r>
        <w:t xml:space="preserve"> abstract, socio, used, applied; EU scope not established. This is a provisional connection, not an outcome finding.</w:t>
      </w:r>
    </w:p>
    <w:p>
      <w:pPr>
        <w:pStyle w:val="SourceNote"/>
      </w:pPr>
      <w:r>
        <w:rPr>
          <w:b/>
        </w:rPr>
        <w:t>Available abstract (not full text):</w:t>
      </w:r>
      <w:r>
        <w:t xml:space="preserve">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pPr/>
      <w:r>
        <w:rPr>
          <w:b/>
        </w:rPr>
        <w:t>POSSIBLE 2024:</w:t>
      </w:r>
      <w:r>
        <w:t xml:space="preserve"> ONTOLOGY OF SOCIO-ECONOMIC RESEARCH — https://doi.org/10.30838/ep.194.66-73</w:t>
      </w:r>
    </w:p>
    <w:p>
      <w:pPr/>
      <w:r>
        <w:rPr>
          <w:b/>
        </w:rPr>
        <w:t>Shared claim-specific concepts:</w:t>
      </w:r>
      <w:r>
        <w:t xml:space="preserve"> used, applied, taking; EU scope not established. This is a provisional connection, not an outcome finding.</w:t>
      </w:r>
    </w:p>
    <w:p>
      <w:pPr>
        <w:pStyle w:val="SourceNote"/>
      </w:pPr>
      <w:r>
        <w:rPr>
          <w:b/>
        </w:rPr>
        <w:t>Available abstract (not full text):</w:t>
      </w:r>
      <w:r>
        <w:t xml:space="preserve"> Introduction. The ontology of socio-economic research contributes to a deeper understanding of the foundations of social and economic phenomena, which helps in the development of effective policies and strategies for solving problems at different levels of methodological knowledge. The development of modern science requires a detailed study of the ontological aspects of socio-economic processes for the analysis and forecasting of socio-economic phenomena. Research hypothesis: socio-economic processes can be more effectively analysed and predicted through the development of a formalized ontological system that describes the main concepts, methods and principles of ontological research. Purpose. Systematize the latest knowledge about the basic elements of socio-economic phenomena and develop the concept of the ontology of socio-economic research to improve the interpretation of the relationships between the elements of the knowledge system. Methodology. The theoretical and methodological basis of the research is based on philosophical, sociological and economic concepts. In the course of the research, the following methods were used: historical and logical approaches, systematization, comparative analysis (when studying the genesis of ontological principles), theoretical generalization, abstract-logical (when arguing the research concept), classification, decomposition, modelling</w:t>
      </w:r>
    </w:p>
    <w:p>
      <w:pPr/>
      <w:r>
        <w:rPr>
          <w:b/>
        </w:rPr>
        <w:t>POSSIBLE 2023:</w:t>
      </w:r>
      <w:r>
        <w:t xml:space="preserve"> Abstract 728: Socio-economic and health disparity determinants of breast cancer prevalence in low-income counties in Alabama and Mississippi: An analysis of Deep South cancer epidemic — https://doi.org/10.1158/1538-7445.am2023-728</w:t>
      </w:r>
    </w:p>
    <w:p>
      <w:pPr/>
      <w:r>
        <w:rPr>
          <w:b/>
        </w:rPr>
        <w:t>Shared claim-specific concepts:</w:t>
      </w:r>
      <w:r>
        <w:t xml:space="preserve"> abstract, socioeconomic, analyze; EU scope not established. This is a provisional connection, not an outcome finding.</w:t>
      </w:r>
    </w:p>
    <w:p>
      <w:pPr>
        <w:pStyle w:val="SourceNote"/>
      </w:pPr>
      <w:r>
        <w:rPr>
          <w:b/>
        </w:rPr>
        <w:t>Available abstract (not full text):</w:t>
      </w:r>
      <w:r>
        <w:t xml:space="preserve"> Abstract Background: Studies underscore evidence that socioeconomic status (SES) is associated with breast cancer (BC)prevalence and especially poor SES is closely related to the cancer epidemic. Exploring the high and low SES status concerning BC prevalence is timely and noteworthy. Two impoverished Deep South states Alabama and Mississippi are the focus of this research. Alabama and Mississippi are well known for the historical and cultural landscape of Black Belt Counties (BBC), predominantly occupied by African American populations who were systematically undermined in many socioeconomic, healthcare, educational, and political aspects. Our investigation explores BC prevalence in the major ethnic groups (African American and White) in both southern states, mainly in the BBC. Hypothesis/Objectives: We hypothesized that SES is closely associated with BC prevalence. In particular, the poor status of SES severely influences BC patients' access to healthcare, healthy food, obesity, education, employment, transportation, prevention, and screening. Our study explores the impact of selected SES factors to understand BC prevalence in both states, particularly in impoverished BBC. Methods: We utilized Geospatial Technology (GT) to analyze the connection between BC prevalence and SES. This study incorporates county-level BC prevalence and association with SES, education, healthy food a</w:t>
      </w:r>
    </w:p>
    <w:p>
      <w:pPr/>
      <w:r>
        <w:rPr>
          <w:b/>
        </w:rPr>
        <w:t>POSSIBLE 2023:</w:t>
      </w:r>
      <w:r>
        <w:t xml:space="preserve"> Cooperative adaptive management of the Nile River with climate and socio-economic uncertainties — https://doi.org/10.1038/s41558-022-01556-6</w:t>
      </w:r>
    </w:p>
    <w:p>
      <w:pPr/>
      <w:r>
        <w:rPr>
          <w:b/>
        </w:rPr>
        <w:t>Shared claim-specific concepts:</w:t>
      </w:r>
      <w:r>
        <w:t xml:space="preserve"> abstract, challenge; EU scope not established. This is a provisional connection, not an outcome finding.</w:t>
      </w:r>
    </w:p>
    <w:p>
      <w:pPr>
        <w:pStyle w:val="SourceNote"/>
      </w:pPr>
      <w:r>
        <w:rPr>
          <w:b/>
        </w:rPr>
        <w:t>Available abstract (not full text):</w:t>
      </w:r>
      <w:r>
        <w:t xml:space="preserve"> Abstract The uncertainties around the hydrological and socio-economic implications of climate change pose a challenge for Nile River system management, especially with rapidly rising demands for river-system-related services and political tensions between the riparian countries. Cooperative adaptive management of the Nile can help alleviate some of these stressors and tensions. Here we present a planning framework for adaptive management of the Nile infrastructure system, combining climate projections; hydrological, river system and economy-wide simulators; and artificial intelligence multi-objective design and machine learning algorithms. We demonstrate the utility of the framework by designing a cooperative adaptive management policy for the Grand Ethiopian Renaissance Dam that balances the transboundary economic and biophysical interests of Ethiopia, Sudan and Egypt. This shows that if the three countries compromise cooperatively and adaptively in managing the dam, the national-level economic and resilience benefits are substantial, especially under climate projections with the most extreme streamflow changes.</w:t>
      </w:r>
    </w:p>
    <w:p>
      <w:pPr/>
      <w:r>
        <w:rPr>
          <w:b/>
        </w:rPr>
        <w:t>POSSIBLE 2023:</w:t>
      </w:r>
      <w:r>
        <w:t xml:space="preserve"> Amenity complexity and urban locations of socio-economic mixing — https://doi.org/10.1140/epjds/s13688-023-00413-6</w:t>
      </w:r>
    </w:p>
    <w:p>
      <w:pPr/>
      <w:r>
        <w:rPr>
          <w:b/>
        </w:rPr>
        <w:t>Shared claim-specific concepts:</w:t>
      </w:r>
      <w:r>
        <w:t xml:space="preserve"> abstract, but, diversity; EU scope visible. This is a provisional connection, not an outcome finding.</w:t>
      </w:r>
    </w:p>
    <w:p>
      <w:pPr>
        <w:pStyle w:val="SourceNote"/>
      </w:pPr>
      <w:r>
        <w:rPr>
          <w:b/>
        </w:rPr>
        <w:t>Available abstract (not full text):</w:t>
      </w:r>
      <w:r>
        <w:t xml:space="preserve"> Abstract Cities host diverse people and their mixing is the engine of prosperity. In turn, segregation and inequalities are common features of most cities and locations that enable the meeting of people with different socio-economic status are key for urban inclusion. In this study, we adopt the concept of economic complexity to quantify the sophistication of amenity supply at urban locations. We propose that neighborhood complexity and amenity complexity are connected to the ability of locations to attract diverse visitors from various socio-economic backgrounds across the city. We construct the measures of amenity complexity based on the local portfolio of diverse and non-ubiquitous amenities in Budapest, Hungary. Socio-economic mixing at visited third places is investigated by tracing the daily mobility of individuals and by characterizing their status by the real-estate price of their home locations. Results suggest that measures of ubiquity and diversity of amenities do not, but neighborhood complexity and amenity complexity are correlated with the urban centrality of locations. Urban centrality is a strong predictor of socio-economic mixing, but both neighborhood complexity and amenity complexity add further explanatory power to our models. Our work combines urban mobility data with economic complexity thinking to show that the diversity of non-ubiquitous amenities, centr</w:t>
      </w:r>
    </w:p>
    <w:p>
      <w:pPr>
        <w:pStyle w:val="Heading2"/>
      </w:pPr>
      <w:r>
        <w:t>477.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2023:</w:t>
      </w:r>
      <w:r>
        <w:t xml:space="preserve"> A method for finding a least-cost corridor on an ordinal-scaled raster cost surface — https://doi.org/10.1080/19475683.2023.2166585</w:t>
      </w:r>
    </w:p>
    <w:p>
      <w:pPr/>
      <w:r>
        <w:rPr>
          <w:b/>
        </w:rPr>
        <w:t>Shared claim-specific concepts:</w:t>
      </w:r>
      <w:r>
        <w:t xml:space="preserve"> show, least-cost, solution, areas; EU scope not established. This is a provisional connection, not an outcome finding.</w:t>
      </w:r>
    </w:p>
    <w:p>
      <w:pPr>
        <w:pStyle w:val="SourceNote"/>
      </w:pPr>
      <w:r>
        <w:rPr>
          <w:b/>
        </w:rPr>
        <w:t>Available abstract (not full text):</w:t>
      </w:r>
      <w:r>
        <w:t xml:space="preserve">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requires, energy, also;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Implications of uncertainty in technology cost projections for least-cost decarbonized electricity systems — https://doi.org/10.1016/j.isci.2023.108685</w:t>
      </w:r>
    </w:p>
    <w:p>
      <w:pPr/>
      <w:r>
        <w:rPr>
          <w:b/>
        </w:rPr>
        <w:t>Shared claim-specific concepts:</w:t>
      </w:r>
      <w:r>
        <w:t xml:space="preserve"> least-cost, energy, system; EU scope not established. This is a provisional connection, not an outcome finding.</w:t>
      </w:r>
    </w:p>
    <w:p>
      <w:pPr>
        <w:pStyle w:val="SourceNote"/>
      </w:pPr>
      <w:r>
        <w:rPr>
          <w:b/>
        </w:rPr>
        <w:t>Available abstract (not full text):</w:t>
      </w:r>
      <w:r>
        <w:t xml:space="preserve"> Plans for decarbonized electricity systems rely on projections of highly uncertain future technology costs. We use a stylized model to investigate the influence of future cost uncertainty, as represented by different projections in the National Renewable Energy Laboratory 2021 Annual Technology Baseline dataset, on technology mixes comprising least-cost decarbonized electricity systems. Our analysis shows that given the level of future cost uncertainty as represented by these projections, it is not possible to predict with confidence which technologies will play a dominant role in future least-cost carbon emission-free energy systems. Successful efforts to reduce costs of individual technologies may or may not lead to system cost reductions and widespread deployments, depending on the success of cost-reduction efforts for competing and complementary technologies. These results suggest a portfolio approach to reducing technology costs. Reliance on uncertain cost breakthroughs risks costly outcomes. Iterative decision-making with learning can help mitigate these risks.</w:t>
      </w:r>
    </w:p>
    <w:p>
      <w:pPr/>
      <w:r>
        <w:rPr>
          <w:b/>
        </w:rPr>
        <w:t>POSSIBLE 2023:</w:t>
      </w:r>
      <w:r>
        <w:t xml:space="preserve"> The cost of an ALP solution to the neutral B-anomalies — https://doi.org/10.1007/jhep02(2023)138</w:t>
      </w:r>
    </w:p>
    <w:p>
      <w:pPr/>
      <w:r>
        <w:rPr>
          <w:b/>
        </w:rPr>
        <w:t>Shared claim-specific concepts:</w:t>
      </w:r>
      <w:r>
        <w:t xml:space="preserve"> solution, energy, also; EU scope not established. This is a provisional connection, not an outcome finding.</w:t>
      </w:r>
    </w:p>
    <w:p>
      <w:pPr>
        <w:pStyle w:val="SourceNote"/>
      </w:pPr>
      <w:r>
        <w:rPr>
          <w:b/>
        </w:rPr>
        <w:t>Available abstract (not full text):</w:t>
      </w:r>
      <w:r>
        <w:t xml:space="preserve"> Abstract The neutral anomalies in B decays are analysed in terms of the tree-level exchange of an axion-like-particle (ALP), within the effective field theory framework. The complete two-dimensional parameter space for ALP couplings to electrons and muons is explored. The solutions to RK and to the two energy bins of $$ {R}_{K^{\ast }} $$ R K ∗ are confronted with the impact of ALP exchange on other observables (meson oscillations, leptonic and semileptonic decays of B mesons including searches for new resonances, astrophysical constraints), as well as with the theoretical domain of validity of the effective theory. Solutions based on ALPs heavier than B mesons, or lighter than twice the muon mass, are shown to be excluded. In contrast, the exchange of on-shell ALPs provides solutions to RK and/or $$ {R}_{K^{\ast }} $$ R K ∗ within 2σ sensitivity which are technically compatible with those constraints. Furthermore, a “golden ALP mass” is identified at the frontier between the two energy bin windows of $$ {R}_{K^{\ast }} $$ R K ∗ , which could simultaneously explain these two $$ {R}_{K^{\ast }} $$ R K ∗ anomalies together with RK; this calls for the convenience of different energy binning which would easily clear up this (unlikely) possibility. The impact of smearing on data analysis is also discussed. When loop effects are taken into account, the solutions found can be in addit</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areas, flexible;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2023:</w:t>
      </w:r>
      <w:r>
        <w:t xml:space="preserve"> Taxing reproduction: the full transfer cost of rearing children in Europe — https://doi.org/10.1098/rsos.230759</w:t>
      </w:r>
    </w:p>
    <w:p>
      <w:pPr/>
      <w:r>
        <w:rPr>
          <w:b/>
        </w:rPr>
        <w:t>Shared claim-specific concepts:</w:t>
      </w:r>
      <w:r>
        <w:t xml:space="preserve"> countries, also, less; EU scope visible. This is a provisional connection, not an outcome finding.</w:t>
      </w:r>
    </w:p>
    <w:p>
      <w:pPr>
        <w:pStyle w:val="SourceNote"/>
      </w:pPr>
      <w:r>
        <w:rPr>
          <w:b/>
        </w:rPr>
        <w:t>Available abstract (not full text):</w:t>
      </w:r>
      <w:r>
        <w:t xml:space="preserve"> What are the intergenerational resource transfer contributions of parents and non-parents in Europe? Using National Transfer Accounts and National Time Transfer Accounts for 12 countries around 2010, we go beyond public transfers (net taxes) to also value two statistically much less visible transfers in the family realm: of market goods and of unpaid household labour (time). Non-parents contribute almost exclusively to public transfers. But parents additionally provide still larger private transfers: mothers mainly time, fathers mainly market goods. Estimating transfer stocks over the working life, the average parental/non-parental contribution ratio in Europe flips from 0.73 (public transfers alone) to 2.66 (all three transfers combined). The highest combined parental/non-parental contribution ratios are in Sweden and Finland. The metaphorical tax rates implicitly imposed thereby on rearing children in Europe are multiples of the value-added tax rates in place on consumption goods. Unveiling the sheer magnitude of these invisible transfer asymmetries carries multiple implications for policy debates. For instance, it raises the question whether ageing European societies unwittingly tax, rather than subsidise, their own reproduction. Family friendly policy models, such as the Nordic welfare states, do not mitigate this effect. They help parents work, but do not lower the implici</w:t>
      </w:r>
    </w:p>
    <w:p>
      <w:pPr>
        <w:pStyle w:val="Heading2"/>
      </w:pPr>
      <w:r>
        <w:t>478.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2025:</w:t>
      </w:r>
      <w:r>
        <w:t xml:space="preserve"> Corporate foresight and intellectual capital robustness: a literature review — https://doi.org/10.24023/futurejournal/2175-5825/2025.v17i1.932</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pPr/>
      <w:r>
        <w:rPr>
          <w:b/>
        </w:rPr>
        <w:t>POSSIBLE 2025:</w:t>
      </w:r>
      <w:r>
        <w:t xml:space="preserve"> Corporate Foresight in a Global Enterprise - A Case Study Approach — https://openalex.org/W7216959097</w:t>
      </w:r>
    </w:p>
    <w:p>
      <w:pPr/>
      <w:r>
        <w:rPr>
          <w:b/>
        </w:rPr>
        <w:t>Shared claim-specific concepts:</w:t>
      </w:r>
      <w:r>
        <w:t xml:space="preserve"> corporate, foresight, including, shared, strategy, based; EU scope not established. This is a provisional connection, not an outcome finding.</w:t>
      </w:r>
    </w:p>
    <w:p>
      <w:pPr>
        <w:pStyle w:val="SourceNote"/>
      </w:pPr>
      <w:r>
        <w:rPr>
          <w:b/>
        </w:rPr>
        <w:t>Available abstract (not full text):</w:t>
      </w:r>
      <w:r>
        <w:t xml:space="preserve">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pPr/>
      <w:r>
        <w:rPr>
          <w:b/>
        </w:rPr>
        <w:t>POSSIBLE 2025:</w:t>
      </w:r>
      <w:r>
        <w:t xml:space="preserve"> FORESIGHT AS A STRATEGIC MANAGEMENT TOOL: INTERNATIONAL EXPERIENCE AND RUSSIAN PROSPECTS — https://doi.org/10.36871/ek.up.p.r.2025.11.05.027</w:t>
      </w:r>
    </w:p>
    <w:p>
      <w:pPr/>
      <w:r>
        <w:rPr>
          <w:b/>
        </w:rPr>
        <w:t>Shared claim-specific concepts:</w:t>
      </w:r>
      <w:r>
        <w:t xml:space="preserve"> corporate, foresight, strategy; EU scope visible. This is a provisional connection, not an outcome finding.</w:t>
      </w:r>
    </w:p>
    <w:p>
      <w:pPr>
        <w:pStyle w:val="SourceNote"/>
      </w:pPr>
      <w:r>
        <w:rPr>
          <w:b/>
        </w:rPr>
        <w:t>Available abstract (not full text):</w:t>
      </w:r>
      <w:r>
        <w:t xml:space="preserve">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pPr/>
      <w:r>
        <w:rPr>
          <w:b/>
        </w:rPr>
        <w:t>POSSIBLE 2025:</w:t>
      </w:r>
      <w:r>
        <w:t xml:space="preserve"> Intellectual Structure of the Research on Corporate Foresight and Innovation: Thinking inside the Box — https://doi.org/10.15388/tibe.2025.24.2.17</w:t>
      </w:r>
    </w:p>
    <w:p>
      <w:pPr/>
      <w:r>
        <w:rPr>
          <w:b/>
        </w:rPr>
        <w:t>Shared claim-specific concepts:</w:t>
      </w:r>
      <w:r>
        <w:t xml:space="preserve"> corporate, foresight, applied, based; EU scope not established. This is a provisional connection, not an outcome finding.</w:t>
      </w:r>
    </w:p>
    <w:p>
      <w:pPr>
        <w:pStyle w:val="SourceNote"/>
      </w:pPr>
      <w:r>
        <w:rPr>
          <w:b/>
        </w:rPr>
        <w:t>Available abstract (not full text):</w:t>
      </w:r>
      <w:r>
        <w:t xml:space="preserve"> The aim of this study is to identify the scholarly works that have had the greatest impact on the research on corporate foresight (CF) and innovation and to analyze the intellectual structure of the knowledge base of the research developed in this field. The methodology is based on the bibliometric techniques of citation and co-citation analysis, which are applied to a total of 129 articles published between 2006 and 2023* (database consultation date: January 3, 2024). Clarivate Analytics' Web of Science™ (WoS) database is used in this study. We chose bibliometric analysis over other traditional methods like systematic literature review (SLR) as bibliometric techniques are replicable, objective, unbiased, and rigorous, and thus superior to other techniques for conducting literature reviews.</w:t>
      </w:r>
    </w:p>
    <w:p>
      <w:pPr/>
      <w:r>
        <w:rPr>
          <w:b/>
        </w:rPr>
        <w:t>POSSIBLE 2025:</w:t>
      </w:r>
      <w:r>
        <w:t xml:space="preserve"> Foresight Evaluation Frameworks — https://doi.org/10.5281/zenodo.17686267</w:t>
      </w:r>
    </w:p>
    <w:p>
      <w:pPr/>
      <w:r>
        <w:rPr>
          <w:b/>
        </w:rPr>
        <w:t>Shared claim-specific concepts:</w:t>
      </w:r>
      <w:r>
        <w:t xml:space="preserve"> corporate, foresight, tools; EU scope not established. This is a provisional connection, not an outcome finding.</w:t>
      </w:r>
    </w:p>
    <w:p>
      <w:pPr>
        <w:pStyle w:val="SourceNote"/>
      </w:pPr>
      <w:r>
        <w:rPr>
          <w:b/>
        </w:rPr>
        <w:t>Available abstract (not full text):</w:t>
      </w:r>
      <w:r>
        <w:t xml:space="preserve"> Foresight Evaluation Frameworks is a systemic, practice-oriented book focused on the evaluation and assessment of foresight outputs. It presents an individual effort to enhance futures work, transitioning from intuitive and speculative approaches to rigorous, evidence-based, and professionally produced outputs. The book provides concrete tools, frameworks, scales, and criteria for assessing the quality, trustworthiness, and impact of foresight work, whether manifested as scenarios, trend reports, academic dissertations, corporate foresight reports, or public-policy horizon scans. At its core, the book addresses a key question: “Given the uncertain nature of the future, how can we determine when a piece of foresight is not just imaginative or eloquent, but truly trustworthy, methodologically sound, and capable of generating real-world impact?”</w:t>
      </w:r>
    </w:p>
    <w:p>
      <w:pPr/>
      <w:r>
        <w:rPr>
          <w:b/>
        </w:rPr>
        <w:t>POSSIBLE 2024:</w:t>
      </w:r>
      <w:r>
        <w:t xml:space="preserve"> The use of foresight in corporate innovation — https://doi.org/10.4337/9781035301607.00040</w:t>
      </w:r>
    </w:p>
    <w:p>
      <w:pPr/>
      <w:r>
        <w:rPr>
          <w:b/>
        </w:rPr>
        <w:t>Shared claim-specific concepts:</w:t>
      </w:r>
      <w:r>
        <w:t xml:space="preserve"> corporate, foresight, tools, applied, including, firms; EU scope not established. This is a provisional connection, not an outcome finding.</w:t>
      </w:r>
    </w:p>
    <w:p>
      <w:pPr>
        <w:pStyle w:val="SourceNote"/>
      </w:pPr>
      <w:r>
        <w:rPr>
          <w:b/>
        </w:rPr>
        <w:t>Available abstract (not full text):</w:t>
      </w:r>
      <w:r>
        <w:t xml:space="preserve"> Foresight methods have proven useful for improving innovation processes and outcomes in corporations. Strategic foresight tools including scenarios, backcasting, and design ethnography help firms create empathy with future customers, manage innovation portfolios, and enable innovations to reach the market. This chapter reviews how foresight addresses common innovation challenges. Scenario planning builds understanding of future contexts where innovations must succeed. Incasting projects user personas into these futures to uncover latent needs. Backcasting then sets external milestones for the innovation’s market readiness. These techniques create headroom for long development times and indicate when to persist or pivot investment based on changing conditions. Foresight also builds urgency for change and pathways for innovation to reach customers. While historically used in strategic planning, foresight is now applied earlier in ideation and portfolio management to maximize innovation success. This chapter shares examples demonstrating how firms obtain competitive advantage by anticipating change with foresight. It provides an overview of foresight applications in corporate innovation and highlights benefits documented through recent scholarly research.</w:t>
      </w:r>
    </w:p>
    <w:p>
      <w:pPr/>
      <w:r>
        <w:rPr>
          <w:b/>
        </w:rPr>
        <w:t>POSSIBLE 2024:</w:t>
      </w:r>
      <w:r>
        <w:t xml:space="preserve"> Corporate foresight for the benefit of corporates' innovation climate — https://doi.org/10.1002/ffo2.195</w:t>
      </w:r>
    </w:p>
    <w:p>
      <w:pPr/>
      <w:r>
        <w:rPr>
          <w:b/>
        </w:rPr>
        <w:t>Shared claim-specific concepts:</w:t>
      </w:r>
      <w:r>
        <w:t xml:space="preserve"> corporate, foresight, only; EU scope not established. This is a provisional connection, not an outcome finding.</w:t>
      </w:r>
    </w:p>
    <w:p>
      <w:pPr>
        <w:pStyle w:val="SourceNote"/>
      </w:pPr>
      <w:r>
        <w:rPr>
          <w:b/>
        </w:rPr>
        <w:t>Available abstract (not full text):</w:t>
      </w:r>
      <w:r>
        <w:t xml:space="preserve"> Abstract Corporate foresight (CF) can be considered a future‐oriented capability that incorporates perceiving and prospecting. Extant CF‐related studies tackle the CF−innovation relationship but do not provide details on how CF relates to innovation climate. As we assume that the innovation climate of companies is a relevant antecedent to innovation, we conduct a quantitative empirical study with 147 upper‐tier managers to investigate how CF and the respective training of managers relate to a corporate's innovation climate. Results show that strong perceiving and prospecting positively influence the innovation climate, whereby prospecting is of particular importance. Further, we find that training managers in future‐oriented capabilities is only under certain circumstances (i.e., low prospecting) beneficial to the innovation climate in companies.</w:t>
      </w:r>
    </w:p>
    <w:p>
      <w:pPr>
        <w:pStyle w:val="Heading2"/>
      </w:pPr>
      <w:r>
        <w:t>479.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decarbonization, industry, current, emissions, technological, countries;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2024:</w:t>
      </w:r>
      <w:r>
        <w:t xml:space="preserve"> Decarbonization and the Capitalist State — https://doi.org/10.1111/soc4.70011</w:t>
      </w:r>
    </w:p>
    <w:p>
      <w:pPr/>
      <w:r>
        <w:rPr>
          <w:b/>
        </w:rPr>
        <w:t>Shared claim-specific concepts:</w:t>
      </w:r>
      <w:r>
        <w:t xml:space="preserve"> decarbonization, further, economy; EU scope not established. This is a provisional connection, not an outcome finding.</w:t>
      </w:r>
    </w:p>
    <w:p>
      <w:pPr>
        <w:pStyle w:val="SourceNote"/>
      </w:pPr>
      <w:r>
        <w:rPr>
          <w:b/>
        </w:rPr>
        <w:t>Available abstract (not full text):</w:t>
      </w:r>
      <w:r>
        <w:t xml:space="preserve">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pPr/>
      <w:r>
        <w:rPr>
          <w:b/>
        </w:rPr>
        <w:t>POSSIBLE 2024:</w:t>
      </w:r>
      <w:r>
        <w:t xml:space="preserve"> Decarbonization potential of floating solar photovoltaics on lakes worldwide — https://doi.org/10.1038/s44221-024-00251-4</w:t>
      </w:r>
    </w:p>
    <w:p>
      <w:pPr/>
      <w:r>
        <w:rPr>
          <w:b/>
        </w:rPr>
        <w:t>Shared claim-specific concepts:</w:t>
      </w:r>
      <w:r>
        <w:t xml:space="preserve"> decarbonization, national, countries; EU scope not established. This is a provisional connection, not an outcome finding.</w:t>
      </w:r>
    </w:p>
    <w:p>
      <w:pPr>
        <w:pStyle w:val="SourceNote"/>
      </w:pPr>
      <w:r>
        <w:rPr>
          <w:b/>
        </w:rPr>
        <w:t>Available abstract (not full text):</w:t>
      </w:r>
      <w:r>
        <w:t xml:space="preserve">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pPr/>
      <w:r>
        <w:rPr>
          <w:b/>
        </w:rPr>
        <w:t>POSSIBLE 2024:</w:t>
      </w:r>
      <w:r>
        <w:t xml:space="preserve"> Azerbaijan: pathways for decarbonization in a global context — https://doi.org/10.1080/14693062.2024.2330378</w:t>
      </w:r>
    </w:p>
    <w:p>
      <w:pPr/>
      <w:r>
        <w:rPr>
          <w:b/>
        </w:rPr>
        <w:t>Shared claim-specific concepts:</w:t>
      </w:r>
      <w:r>
        <w:t xml:space="preserve"> decarbonization, emissions, economy, increase, countries, world; EU scope not established. This is a provisional connection, not an outcome finding.</w:t>
      </w:r>
    </w:p>
    <w:p>
      <w:pPr>
        <w:pStyle w:val="SourceNote"/>
      </w:pPr>
      <w:r>
        <w:rPr>
          <w:b/>
        </w:rPr>
        <w:t>Available abstract (not full text):</w:t>
      </w:r>
      <w:r>
        <w:t xml:space="preserve">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pPr/>
      <w:r>
        <w:rPr>
          <w:b/>
        </w:rPr>
        <w:t>POSSIBLE 2023:</w:t>
      </w:r>
      <w:r>
        <w:t xml:space="preserve"> Methane-to-chemicals: a pathway to decarbonization — https://doi.org/10.1093/nsr/nwad116</w:t>
      </w:r>
    </w:p>
    <w:p>
      <w:pPr/>
      <w:r>
        <w:rPr>
          <w:b/>
        </w:rPr>
        <w:t>Shared claim-specific concepts:</w:t>
      </w:r>
      <w:r>
        <w:t xml:space="preserve"> decarbonization, industry, current; EU scope not established. This is a provisional connection, not an outcome finding.</w:t>
      </w:r>
    </w:p>
    <w:p>
      <w:pPr>
        <w:pStyle w:val="SourceNote"/>
      </w:pPr>
      <w:r>
        <w:rPr>
          <w:b/>
        </w:rPr>
        <w:t>Available abstract (not full text):</w:t>
      </w:r>
      <w:r>
        <w:t xml:space="preserve"> ABSTRACT The utilization of methane for chemical production, often considered as the future of petrochemistry, historically could not compete economically with conventional processes due to higher investment costs. Achieving sustainability and decarbonization of the downstream industry by integration with a methane-to-chemicals process may provide an opportunity to unlock the future for these technologies. Gas-to-chemicals is an efficient tool to boost the decarbonization potential of renewable energy. While the current implementation of carbon capture utilization and storage (CCUS) technologies is of great importance for industrial decarbonization, a shift to greener CO2-free processes and CO2 utilization from external sources for manufacturing valuable goods is highly preferred. This review outlines potential options for how a methane-to-chemicals process could support decarbonization of the downstream industry.</w:t>
      </w:r>
    </w:p>
    <w:p>
      <w:pPr/>
      <w:r>
        <w:rPr>
          <w:b/>
        </w:rPr>
        <w:t>POSSIBLE 2023:</w:t>
      </w:r>
      <w:r>
        <w:t xml:space="preserve"> A review on the decarbonization of high-performance computing centers — https://doi.org/10.1016/j.rser.2023.114019</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High-performance computing relies on performance-oriented infrastructures with access to powerful computing resources to complete tasks that contribute to solve complex problems in society. The intensive use of resources and the increase in service demand due to emerging fields of science, combined with the exascale paradigm, climate change concerns, and rising energy costs, ultimately means that the decarbonization of these centers is key to improve their environmental and financial performance. Therefore, a review on the main opportunities and challenges for the decarbonization of high-performance computing centers is essential to help decision-makers, operators and users contribute to a more sustainable computing ecosystem. It was found that state-of-the-art supercomputers are growing in computing power, but are combining different measures to meet sustainability concerns, namely going beyond energy efficiency measures and evolving simultaneously in terms of energy and information technology infrastructure. It was also shown that policy and multiple entities are now targeting specifically HPC, and that identifying synergies with the energy sector can reveal new revenue streams, but also enable a smoother integration of these centers in energy systems. Computing-intensive users can continue to pursue their scientific research, but participating more actively in the decarboniz</w:t>
      </w:r>
    </w:p>
    <w:p>
      <w:pPr/>
      <w:r>
        <w:rPr>
          <w:b/>
        </w:rPr>
        <w:t>POSSIBLE 2023:</w:t>
      </w:r>
      <w:r>
        <w:t xml:space="preserve"> Hydrogen in Decarbonization Strategies in Asia and the Pacific — https://doi.org/10.56506/jput8568</w:t>
      </w:r>
    </w:p>
    <w:p>
      <w:pPr/>
      <w:r>
        <w:rPr>
          <w:b/>
        </w:rPr>
        <w:t>Shared claim-specific concepts:</w:t>
      </w:r>
      <w:r>
        <w:t xml:space="preserve"> decarbonization, national, further, countries; EU scope not established. This is a provisional connection, not an outcome finding.</w:t>
      </w:r>
    </w:p>
    <w:p>
      <w:pPr>
        <w:pStyle w:val="SourceNote"/>
      </w:pPr>
      <w:r>
        <w:rPr>
          <w:b/>
        </w:rPr>
        <w:t>Available abstract (not full text):</w:t>
      </w:r>
      <w:r>
        <w:t xml:space="preserve"> Hydrogen is regarded as one of the limited options for decarbonizing the hard-to-abate industrial sector. This work investigates the status and potential of green and blue hydrogen in some major industrial sectors, including oil refining, chemical production, iron and steel production, and high-temperature heat applications. The focus is put on the Asia and the Pacific (APAC) region, which accounts for half of the global industrial hydrogen demand. The status of the hydrogen market, the deployment actions of low-carbon hydrogen in industrial sectors in terms of national strategies, demonstration projects, and the regional hydrogen market of the APAC countries are summarized and analyzed. Perspectives are provided in support of accelerating the further decarbonization of the industrial sector in the APAC region with low-carbon hydrogen. Despite variations across countries in APAC in terms of low-carbon hydrogen production and application potentials due to different resource endowments, energy structures, and industrial structures, the region enjoys high potential overall, and in the ability for cross-border hydrogen trading in particular.</w:t>
      </w:r>
    </w:p>
    <w:p>
      <w:pPr/>
      <w:r>
        <w:rPr>
          <w:b/>
        </w:rPr>
        <w:t>POSSIBLE 2023:</w:t>
      </w:r>
      <w:r>
        <w:t xml:space="preserve"> Global Transportation Decarbonization — https://doi.org/10.1257/jep.37.3.163</w:t>
      </w:r>
    </w:p>
    <w:p>
      <w:pPr/>
      <w:r>
        <w:rPr>
          <w:b/>
        </w:rPr>
        <w:t>Shared claim-specific concepts:</w:t>
      </w:r>
      <w:r>
        <w:t xml:space="preserve"> decarbonization, emissions, countries, world; EU scope visible. This is a provisional connection, not an outcome finding.</w:t>
      </w:r>
    </w:p>
    <w:p>
      <w:pPr>
        <w:pStyle w:val="SourceNote"/>
      </w:pPr>
      <w:r>
        <w:rPr>
          <w:b/>
        </w:rPr>
        <w:t>Available abstract (not full text):</w:t>
      </w:r>
      <w:r>
        <w:t xml:space="preserve"> Replacing fossil fuels in the name of decarbonization is necessary but will be particularly difficult due to their as-yet unrivaled bundle of attributes: abundance, ubiquity, energy density, transportability and cost. There is a growing commitment to electrification as the dominant decarbonization pathway. While deep electrification is promising for road transportation in wealthy countries, it will face steep obstacles. In other sectors and in the developing world, it’s not even in pole position. Global transportation decarbonization will require decoupling emissions from economic growth, and decoupling emissions from growth will require not only new technologies, but cooperation in governance. The menu of policy options is replete with grim tradeoffs, particularly as the primacy of energy security and reliability (over emissions abatement) has once again been demonstrated in Europe and elsewhere.</w:t>
      </w:r>
    </w:p>
    <w:p>
      <w:pPr>
        <w:pStyle w:val="Heading2"/>
      </w:pPr>
      <w:r>
        <w:t>480.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r>
        <w:rPr>
          <w:b/>
        </w:rPr>
        <w:t>POSSIBLE 2024:</w:t>
      </w:r>
      <w:r>
        <w:t xml:space="preserve"> Cross-Continental insights: Comparing food safety management systems in Europe and Latin America — https://doi.org/10.1016/j.foodcont.2024.110552</w:t>
      </w:r>
    </w:p>
    <w:p>
      <w:pPr/>
      <w:r>
        <w:rPr>
          <w:b/>
        </w:rPr>
        <w:t>Shared claim-specific concepts:</w:t>
      </w:r>
      <w:r>
        <w:t xml:space="preserve"> insights, gained, perspective; EU scope visible. This is a provisional connection, not an outcome finding.</w:t>
      </w:r>
    </w:p>
    <w:p>
      <w:pPr>
        <w:pStyle w:val="SourceNote"/>
      </w:pPr>
      <w:r>
        <w:rPr>
          <w:b/>
        </w:rPr>
        <w:t>Available abstract (not full text):</w:t>
      </w:r>
      <w:r>
        <w:t xml:space="preserve"> This study investigates the implementation of Food Safety Management Systems (FSMSs) in agrofood firms across different regional contexts, focusing on the varying motivations behind their adoption in Europe and Latin America. The research aims to understand how these motivations influence the effectiveness of FSMSs in these distinct business environments. A questionnaire was administered to firms certified to the British Retail Consortium Global Standard for Food Safety (BRC-GS) in Spain and various Latin American countries. The data collected were analyzed using multigroup structural equations modeling to examine the relationships between the firms' motivations and the degree of effective FSMS implementation in these regions. The findings highlight that the institutional environment significantly moderates these relationships. In the European context, ethical considerations play a crucial role in driving effective FSMS implementation. Conversely, in Latin America, commercial motivations are a more significant influence, with legitimacy reasons having a negative impact. This study is pioneering in its comparative analysis of FSMS implementation in European and Latin American agrofood firms. The insights gained contribute to understanding the behavioral dynamics of these firms within different economic and regulatory frameworks and offer a broader perspective on the evolution of</w:t>
      </w:r>
    </w:p>
    <w:p>
      <w:pPr/>
      <w:r>
        <w:rPr>
          <w:b/>
        </w:rPr>
        <w:t>POSSIBLE 2024:</w:t>
      </w:r>
      <w:r>
        <w:t xml:space="preserve"> Forest certification and economic insights: a European perspective — https://doi.org/10.3389/ffgc.2024.1464837</w:t>
      </w:r>
    </w:p>
    <w:p>
      <w:pPr/>
      <w:r>
        <w:rPr>
          <w:b/>
        </w:rPr>
        <w:t>Shared claim-specific concepts:</w:t>
      </w:r>
      <w:r>
        <w:t xml:space="preserve"> insights, perspective, highest, added, provides; EU scope visible. This is a provisional connection, not an outcome finding.</w:t>
      </w:r>
    </w:p>
    <w:p>
      <w:pPr>
        <w:pStyle w:val="SourceNote"/>
      </w:pPr>
      <w:r>
        <w:rPr>
          <w:b/>
        </w:rPr>
        <w:t>Available abstract (not full text):</w:t>
      </w:r>
      <w:r>
        <w:t xml:space="preserve"> In recent years, there has been an increasing demand for forest certification and certified forest products in Europe. This trend is related to major worldwide challenges, such as the need to decarbonize the economy and mitigate climate change but also social and consumer demands for wider fair trade. However, whether forest certification influences economic valorization in forestry remains a question. The aim of this study is to analyze forest certification levels across Europe and identify potential relationships between the level of certification in forest areas and relevant economic indicators at country level. This study collected openly available data on total and certified forest areas, economic indicators, and environmental indicators for 28 European countries and explored the correlation between certified forest areas and economic performance in the forestry sector. Findings show that forest certification can significantly improve the economic performance of European forests. It has a more pronounced positive effect on economic incomes than on costs’ reduction. While certification costs do rise with the extent of forest area, they tend to stabilize at larger scales, suggesting that the certification process is economically sustainable and scale is relevant. Czechia and the Netherlands stand out for having the highest net values added related to forest certification, re</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insights;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Conduction system pacing, a European survey: insights from clinical practice — https://doi.org/10.1093/europace/euad019</w:t>
      </w:r>
    </w:p>
    <w:p>
      <w:pPr/>
      <w:r>
        <w:rPr>
          <w:b/>
        </w:rPr>
        <w:t>Shared claim-specific concepts:</w:t>
      </w:r>
      <w:r>
        <w:t xml:space="preserve"> insights, assessment, lead, highest, provides; EU scope visible. This is a provisional connection, not an outcome finding.</w:t>
      </w:r>
    </w:p>
    <w:p>
      <w:pPr>
        <w:pStyle w:val="SourceNote"/>
      </w:pPr>
      <w:r>
        <w:rPr>
          <w:b/>
        </w:rPr>
        <w:t>Available abstract (not full text):</w:t>
      </w:r>
      <w:r>
        <w:t xml:space="preserve"> AIMS: The field of conduction system pacing (CSP) is evolving, and our aim was to obtain a contemporary picture of European CSP practice. METHODS AND RESULTS: A survey was devised by a European CSP Expert Group and sent electronically to cardiologists utilizing CSP. A total of 284 physicians were invited to contribute of which 171 physicians (60.2%; 85% electrophysiologists) responded. Most (77%) had experience with both His-bundle pacing (HBP) and left bundle branch area pacing (LBBAP). Pacing indications ranked highest for CSP were atrioventricular block (irrespective of left ventricular ejection fraction) and when coronary sinus lead implantation failed. For patients with left bundle branch block (LBBB) and heart failure (HF), conventional biventricular pacing remained first-line treatment. For most indications, operators preferred LBBAP over HBP as a first-line approach. When HBP was attempted as an initial approach, reasons reported for transitioning to utilizing LBBAP were: (i) high threshold (reported as &gt;2 V at 1 ms), (ii) failure to reverse bundle branch block, or (iii) &gt; 30 min attempting to implant at His-bundle sites. Backup right ventricular lead use for HBP was low (median 20%) and predominated in pace-and-ablate scenarios. Twelve-lead electrocardiogram assessment was deemed highly important during follow-up. This, coupled with limitations from current capture man</w:t>
      </w:r>
    </w:p>
    <w:p>
      <w:pPr/>
      <w:r>
        <w:rPr>
          <w:b/>
        </w:rPr>
        <w:t>POSSIBLE 2023:</w:t>
      </w:r>
      <w:r>
        <w:t xml:space="preserve"> Training religion teachers in Europe: insights from the “Rel-Edu” project and challenges for future research — https://doi.org/10.14220/9783737015837.135</w:t>
      </w:r>
    </w:p>
    <w:p>
      <w:pPr/>
      <w:r>
        <w:rPr>
          <w:b/>
        </w:rPr>
        <w:t>Shared claim-specific concepts:</w:t>
      </w:r>
      <w:r>
        <w:t xml:space="preserve"> insights, beyond, provides; EU scope visible. This is a provisional connection, not an outcome finding.</w:t>
      </w:r>
    </w:p>
    <w:p>
      <w:pPr>
        <w:pStyle w:val="SourceNote"/>
      </w:pPr>
      <w:r>
        <w:rPr>
          <w:b/>
        </w:rPr>
        <w:t>Available abstract (not full text):</w:t>
      </w:r>
      <w:r>
        <w:t xml:space="preserve"> The education of religion teachers in Europeand the correspondinginternational transfer of knowledge is ac omplex research field.This article provides ac omparativer eligion teacher education country analysis based on the contributions to the "Religious Education at Schools in Europe" (Rel-Edu)p roject.The empirical analysis wasc onducted using grounded theory and wasfocused on the international transferofk nowledge (IKT).The comparativegrounded theory analysis identified eight development categories: 1. teacher education beyond RE at public schools; 2. historical background; 3. traininginstitutions for religious educationt eachers; 4. religion teacher training in relation to church and state; 5. effects of the Bologna process; 6. religious teacher trainingcontent; 7. further religious education teacher training; and 8. problems and challenges.It wasa lso concluded that regardless of its specific methodological limitations, the Rel-Edu project can make significant contributions to IKT.The analysis of impulse 10 led to an interesting conclusion regarding IKT and also revealed the further research needed in this area.</w:t>
      </w:r>
    </w:p>
    <w:p>
      <w:pPr>
        <w:pStyle w:val="Heading2"/>
      </w:pPr>
      <w:r>
        <w:t>481.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2024:</w:t>
      </w:r>
      <w:r>
        <w:t xml:space="preserve"> Deliberation in times of crisis – how can citizens’ councils deal with pressing political issues like the Corona pandemic? — https://doi.org/10.1080/13511610.2024.2306236</w:t>
      </w:r>
    </w:p>
    <w:p>
      <w:pPr/>
      <w:r>
        <w:rPr>
          <w:b/>
        </w:rPr>
        <w:t>Shared claim-specific concepts:</w:t>
      </w:r>
      <w:r>
        <w:t xml:space="preserve"> one, pressing, issues, situation; EU scope visible. This is a provisional connection, not an outcome finding.</w:t>
      </w:r>
    </w:p>
    <w:p>
      <w:pPr>
        <w:pStyle w:val="SourceNote"/>
      </w:pPr>
      <w:r>
        <w:rPr>
          <w:b/>
        </w:rPr>
        <w:t>Available abstract (not full text):</w:t>
      </w:r>
      <w:r>
        <w:t xml:space="preserve">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pPr/>
      <w:r>
        <w:rPr>
          <w:b/>
        </w:rPr>
        <w:t>POSSIBLE 2024:</w:t>
      </w:r>
      <w:r>
        <w:t xml:space="preserve"> Pressing issues for oral care quality improvement: findings from the EU DELIVER project — https://doi.org/10.1186/s12889-024-19707-z</w:t>
      </w:r>
    </w:p>
    <w:p>
      <w:pPr/>
      <w:r>
        <w:rPr>
          <w:b/>
        </w:rPr>
        <w:t>Shared claim-specific concepts:</w:t>
      </w:r>
      <w:r>
        <w:t xml:space="preserve"> pressing, issues, significant; EU scope visible. This is a provisional connection, not an outcome finding.</w:t>
      </w:r>
    </w:p>
    <w:p>
      <w:pPr>
        <w:pStyle w:val="SourceNote"/>
      </w:pPr>
      <w:r>
        <w:rPr>
          <w:b/>
        </w:rPr>
        <w:t>Available abstract (not full text):</w:t>
      </w:r>
      <w:r>
        <w:t xml:space="preserve"> BACKGROUND: While oral health often takes a backseat to other health domains, it silently affects nearly half of the Worldwide population. The DELIVER project, funded by the EU's Horizon Europe program, seeks to develop a blueprint model for improving the quality of oral health care for everyone. METHODS: Applying the Nominal Group Technique (NGT), 17 stakeholders from various backgrounds participated in identifying pressing issues for oral care quality improvement across practice, community, and policy levels. RESULTS: The results revealed significant differences at the different levels, with accessibility emerging as a prominent issue, encompassing affordability, availability, and acceptability of oral healthcare services. CONCLUSIONS: These findings emphasizes the need for policy reforms, increased investments, and a shift towards preventive and patient-centered dental care practices. It highlights the importance of collaborative efforts with multi-stakeholders and prioritizing pressing issues on a multi-level to drive positive change in improving oral care quality.</w:t>
      </w:r>
    </w:p>
    <w:p>
      <w:pPr/>
      <w:r>
        <w:rPr>
          <w:b/>
        </w:rPr>
        <w:t>POSSIBLE 2024:</w:t>
      </w:r>
      <w:r>
        <w:t xml:space="preserve"> Complex Issues in the Management of Pericarditis. In Anticipation of the Release of Updated Recommendations of the European Society of Cardiology — https://doi.org/10.18087/cardio.2024.10.n2738</w:t>
      </w:r>
    </w:p>
    <w:p>
      <w:pPr/>
      <w:r>
        <w:rPr>
          <w:b/>
        </w:rPr>
        <w:t>Shared claim-specific concepts:</w:t>
      </w:r>
      <w:r>
        <w:t xml:space="preserve"> one, pressing, issues; EU scope visible. This is a provisional connection, not an outcome finding.</w:t>
      </w:r>
    </w:p>
    <w:p>
      <w:pPr>
        <w:pStyle w:val="SourceNote"/>
      </w:pPr>
      <w:r>
        <w:rPr>
          <w:b/>
        </w:rPr>
        <w:t>Available abstract (not full text):</w:t>
      </w:r>
      <w:r>
        <w:t xml:space="preserve"> With the advent of new diagnostic and therapeutic methods, the management of pericarditis has not become an easier task. The well-studied, but currently rare tuberculosis, bacterial and malignant forms have been joined by pericarditis associated with infection or vaccination against SARS-CoV-2. While 2-3 years ago, cardiologists had to recall the schedule of managing acute viral pericarditis, today its complications are often encountered, including chronic, recurrent, effusive or constrictive pericarditis. The European guidelines were updated 10 years ago and are expected to be issued within the next year. We posed the most pressing questions on the management of pericarditis to the coordinator of the 2015 European Society of Cardiology (ESC) guidelines [1], who will also chair the 2025 ESC guidelines on myocarditis and pericarditis, one of the most cited scientists in the field of inflammatory diseases of the pericardium, Massimo Imazio. He is a Professor in the Department of Cardiology and Anatomy at the University of Turin, runs a school on pericarditis, and has initiated fundamental research of this pathology. We presented his answers with comments of the co-author in the form of a short interview.</w:t>
      </w:r>
    </w:p>
    <w:p>
      <w:pPr/>
      <w:r>
        <w:rPr>
          <w:b/>
        </w:rPr>
        <w:t>POSSIBLE 2024:</w:t>
      </w:r>
      <w:r>
        <w:t xml:space="preserve"> THE SUBJECT OF ABUSE OF INFLUENCE: PRESSING ISSUES OF CRIMINAL LAW DOCTRINE AND LAW ENFORCEMENT — https://doi.org/10.32782/2786-9156.107.3.45-63</w:t>
      </w:r>
    </w:p>
    <w:p>
      <w:pPr/>
      <w:r>
        <w:rPr>
          <w:b/>
        </w:rPr>
        <w:t>Shared claim-specific concepts:</w:t>
      </w:r>
      <w:r>
        <w:t xml:space="preserve"> one, pressing, issues; EU scope not established. This is a provisional connection, not an outcome finding.</w:t>
      </w:r>
    </w:p>
    <w:p>
      <w:pPr>
        <w:pStyle w:val="SourceNote"/>
      </w:pPr>
      <w:r>
        <w:rPr>
          <w:b/>
        </w:rPr>
        <w:t>Available abstract (not full text):</w:t>
      </w:r>
      <w:r>
        <w:t xml:space="preserve"> The article examines problematic issues of interpreting the subject of active (Part 1 of Article 369-2 of the Criminal Code of Ukraine) and passive (Part 2 of Article 369-2 of the Criminal Code of Ukraine) abuse of influence. It is established that the subject of active abuse of influence (Part 1 of Article 369-2 of the CC of Ukraine) is a general subject of the crime, which does not exclude cases of committing this tort by an official. At the same time, it would be logical to at least recognize the commission of a crime by an official in this and similar cases as an aggravating circumstance. An even better solution to the problem seems to be offered by the authors of the draft Criminal Code of Ukraine, who recognize the commission of certain crimes using official powers or professional duties or related opportunities as an element, which increases the severity of the crime by one degree. The author critically analyzes the position of the Joint Chamber of the Criminal Court of Cassation of the Supreme Court of March 29, 2021. Ways to solve the problem of interpreting the subject of passive abuse of influence have been proposed, their positive and negative aspects have been highlighted. The author recognizes that the best option is to define the subject of passive abuse of influence as a special one – that is any person who does not use the position of an employee of an enterpri</w:t>
      </w:r>
    </w:p>
    <w:p>
      <w:pPr/>
      <w:r>
        <w:rPr>
          <w:b/>
        </w:rPr>
        <w:t>POSSIBLE 2024:</w:t>
      </w:r>
      <w:r>
        <w:t xml:space="preserve"> Poverty, inequality and material deprivation among the self-employed in Europe — https://doi.org/10.4337/9781800881860.00011</w:t>
      </w:r>
    </w:p>
    <w:p>
      <w:pPr/>
      <w:r>
        <w:rPr>
          <w:b/>
        </w:rPr>
        <w:t>Shared claim-specific concepts:</w:t>
      </w:r>
      <w:r>
        <w:t xml:space="preserve"> one, pressing, significant, countries; EU scope visible. This is a provisional connection, not an outcome finding.</w:t>
      </w:r>
    </w:p>
    <w:p>
      <w:pPr>
        <w:pStyle w:val="SourceNote"/>
      </w:pPr>
      <w:r>
        <w:rPr>
          <w:b/>
        </w:rPr>
        <w:t>Available abstract (not full text):</w:t>
      </w:r>
      <w:r>
        <w:t xml:space="preserve"> In work-poverty has become a pressing social issue in Europe yet the self-employed remain relatively uncharted terrain. With about 15 percent of European workers in self-employment this group can no longer be ignored, especially since self-employment is on the rise in some countries, particularly own-account self-employment. Drawing on EU-SILC data we show that the self-employed in Europe generally face significantly higher income poverty risks than contracted workers. However, while income poverty levels are quite significant among the self-employed, material deprivation rates are generally much lower. The discrepancy between income poverty measures and material deprivation measures is much larger for the self-employed than for employees. One possible explanation is that the self-employed can more often draw on assets accumulated over the life cycle or on business assets they control. One group emerges as being particularly at-risk of poverty are own-account workers, substantiating worries about the rise of this form of self-employment. The self-employed constitute a very mixed segment of the workforce and within-group inequality is quite significant, complicating possible policy responses.</w:t>
      </w:r>
    </w:p>
    <w:p>
      <w:pPr/>
      <w:r>
        <w:rPr>
          <w:b/>
        </w:rPr>
        <w:t>POSSIBLE 2023:</w:t>
      </w:r>
      <w:r>
        <w:t xml:space="preserve"> A Pressing Problem — https://doi.org/10.37773/ees.v6i1.1010</w:t>
      </w:r>
    </w:p>
    <w:p>
      <w:pPr/>
      <w:r>
        <w:rPr>
          <w:b/>
        </w:rPr>
        <w:t>Shared claim-specific concepts:</w:t>
      </w:r>
      <w:r>
        <w:t xml:space="preserve"> one, pressing, energy, sector, countries; EU scope not established. This is a provisional connection, not an outcome finding.</w:t>
      </w:r>
    </w:p>
    <w:p>
      <w:pPr>
        <w:pStyle w:val="SourceNote"/>
      </w:pPr>
      <w:r>
        <w:rPr>
          <w:b/>
        </w:rPr>
        <w:t>Available abstract (not full text):</w:t>
      </w:r>
      <w:r>
        <w:t xml:space="preserve"> As hundreds of residents are evacuated from the Himalayan pilgrimage town of Joshimath, the realities of the scale of impact of extreme disasters associated with a changing climate and other uncertainties loom large in India.Globally, scientists have proven beyond belief that these disastrous events are caused by human action, that is, they are anthropogenic in nature.They agree that the anthropogenic emission of greenhouse gases, especially since the Industrial Revolution, originates from the energy sector: the mining and burning of coal, generation of thermal power, vehicular emissions, and other emissions, such as those from industries.One way to deal with the growing incidence of climate-related extreme events is to reduce fossil-fuel consumption and gradually move to a decarbonised world.This is why nations across the world have committed to reducing carbon emissions to achieve carbon neutrality by 2050 at the Conference of Parties (CoP) 21, held in Paris in 2015, and CoP 26, held in Glasgow in 2022.While the review of Ruth Gamble's book directly addresses the Himalayan problem, all the other book reviews in this issue address the question of climate change.Humanity's commitment to reducing carbon emissions to tackle climate change has culminated in focused action to realize an 'energy transition', which is perhaps better described as 'transitions', due to their multifacet</w:t>
      </w:r>
    </w:p>
    <w:p>
      <w:pPr>
        <w:pStyle w:val="Heading2"/>
      </w:pPr>
      <w:r>
        <w:t>482.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r>
        <w:rPr>
          <w:b/>
        </w:rPr>
        <w:t>POSSIBLE 2025:</w:t>
      </w:r>
      <w:r>
        <w:t xml:space="preserve"> The Impact of Climate Change on Eastern European Viticulture: A Review of Smart Irrigation and Water Management Strategies — https://doi.org/10.3390/horticulturae11111282</w:t>
      </w:r>
    </w:p>
    <w:p>
      <w:pPr/>
      <w:r>
        <w:rPr>
          <w:b/>
        </w:rPr>
        <w:t>Shared claim-specific concepts:</w:t>
      </w:r>
      <w:r>
        <w:t xml:space="preserve"> climate, including, periods; EU scope visible. This is a provisional connection, not an outcome finding.</w:t>
      </w:r>
    </w:p>
    <w:p>
      <w:pPr>
        <w:pStyle w:val="SourceNote"/>
      </w:pPr>
      <w:r>
        <w:rPr>
          <w:b/>
        </w:rPr>
        <w:t>Available abstract (not full text):</w:t>
      </w:r>
      <w:r>
        <w:t xml:space="preserve">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pPr/>
      <w:r>
        <w:rPr>
          <w:b/>
        </w:rPr>
        <w:t>POSSIBLE 2023:</w:t>
      </w:r>
      <w:r>
        <w:t xml:space="preserve"> Climate-wise models of biomass productivity for hybrid poplar clones in Europe — https://doi.org/10.3832/ifor4211-016</w:t>
      </w:r>
    </w:p>
    <w:p>
      <w:pPr/>
      <w:r>
        <w:rPr>
          <w:b/>
        </w:rPr>
        <w:t>Shared claim-specific concepts:</w:t>
      </w:r>
      <w:r>
        <w:t xml:space="preserve"> climate, five, three, regional; EU scope visible. This is a provisional connection, not an outcome finding.</w:t>
      </w:r>
    </w:p>
    <w:p>
      <w:pPr>
        <w:pStyle w:val="SourceNote"/>
      </w:pPr>
      <w:r>
        <w:rPr>
          <w:b/>
        </w:rPr>
        <w:t>Available abstract (not full text):</w:t>
      </w:r>
      <w:r>
        <w:t xml:space="preserve"> Renewable bioenergy has the potential to contribute sustainably to the energy sector. Forestry is the main source of biomass for energy in Europe, and poplar (genus Populus) is widely used for short rotation coppice (SRC). Many studies have assessed poplar clones’ productivity but there is a lack of regional studies and links with the climate. We investigated the biomass productivity of twenty hybrid poplar clones for SRC. Clones were planted in sixteen locations across nine countries in Europe, although not all clones were replicated in all locations. In each location, clones were planted in three replicated plots. All plots were harvested after four years, and the aboveground dry biomass estimated. We fitted clone-specific linear mixed models of total aboveground dry biomass production at plot level as function of climatic variables. For many clones (eight) only annual heat moisture deficit negatively affected productivity, in few cases (3) together with a quadratic term for a smoother relationship. In some other clones (five) only the mean summer precipitation positively and linearly affected productivity. On average, the variance explained by the fixed effects in those models was 56%. For the remaining clones (seven), no climate variables resulted significant. Our study explicitly investigated the quantitative link between water availability and poplar SRC productivity, one</w:t>
      </w:r>
    </w:p>
    <w:p>
      <w:pPr/>
      <w:r>
        <w:rPr>
          <w:b/>
        </w:rPr>
        <w:t>POSSIBLE 2023:</w:t>
      </w:r>
      <w:r>
        <w:t xml:space="preserve"> Silver lining to a climate crisis in multiple prospects for alleviating crop waterlogging under future climates — https://doi.org/10.1038/s41467-023-36129-4</w:t>
      </w:r>
    </w:p>
    <w:p>
      <w:pPr/>
      <w:r>
        <w:rPr>
          <w:b/>
        </w:rPr>
        <w:t>Shared claim-specific concepts:</w:t>
      </w:r>
      <w:r>
        <w:t xml:space="preserve"> climate, caused; EU scope visible. This is a provisional connection, not an outcome finding.</w:t>
      </w:r>
    </w:p>
    <w:p>
      <w:pPr>
        <w:pStyle w:val="SourceNote"/>
      </w:pPr>
      <w:r>
        <w:rPr>
          <w:b/>
        </w:rPr>
        <w:t>Available abstract (not full text):</w:t>
      </w:r>
      <w:r>
        <w:t xml:space="preserve"> Extreme weather events threaten food security, yet global assessments of impacts caused by crop waterlogging are rare. Here we first develop a paradigm that distils common stress patterns across environments, genotypes and climate horizons. Second, we embed improved process-based understanding into a farming systems model to discern changes in global crop waterlogging under future climates. Third, we develop avenues for adapting cropping systems to waterlogging contextualised by environment. We find that yield penalties caused by waterlogging increase from 3-11% historically to 10-20% by 2080, with penalties reflecting a trade-off between the duration of waterlogging and the timing of waterlogging relative to crop stage. We document greater potential for waterlogging-tolerant genotypes in environments with longer temperate growing seasons (e.g., UK, France, Russia, China), compared with environments with higher annualised ratios of evapotranspiration to precipitation (e.g., Australia). Under future climates, altering sowing time and adoption of waterlogging-tolerant genotypes reduces yield penalties by 18%, while earlier sowing of winter genotypes alleviates waterlogging by 8%. We highlight the serendipitous outcome wherein waterlogging stress patterns under present conditions are likely to be similar to those in the future, suggesting that adaptations for future climates could</w:t>
      </w:r>
    </w:p>
    <w:p>
      <w:pPr/>
      <w:r>
        <w:rPr>
          <w:b/>
        </w:rPr>
        <w:t>POSSIBLE 2023:</w:t>
      </w:r>
      <w:r>
        <w:t xml:space="preserve"> Possible Effects of Climate Change on the Occurrence and Distribution of the Rare Moss Buxbaumia viridis in Serbia (SE Europe) — https://doi.org/10.3390/plants12030557</w:t>
      </w:r>
    </w:p>
    <w:p>
      <w:pPr/>
      <w:r>
        <w:rPr>
          <w:b/>
        </w:rPr>
        <w:t>Shared claim-specific concepts:</w:t>
      </w:r>
      <w:r>
        <w:t xml:space="preserve"> climate, including; EU scope visible. This is a provisional connection, not an outcome finding.</w:t>
      </w:r>
    </w:p>
    <w:p>
      <w:pPr>
        <w:pStyle w:val="SourceNote"/>
      </w:pPr>
      <w:r>
        <w:rPr>
          <w:b/>
        </w:rPr>
        <w:t>Available abstract (not full text):</w:t>
      </w:r>
      <w:r>
        <w:t xml:space="preserve"> have been reviewed in Serbia. Climatic conditions of its recent distribution in Serbia were involved in species distribution modeling and analyzed with the aim of obtaining a projection of unknown potential sites and future scenarios of its distribution dynamics. The results achieved suggest potential distribution range of the species will be significantly reduced. According to the climate change models, the habitat changes including the range loss of this species are predicted to be drastic, i.e., between 93% and 97% by the year 2050, and between 98% and 99.9% by the year 2070, affecting primarily lower elevations of its current range in Serbia. A major reason for the projected decline of the species is climate change combined with continued poor forest management.</w:t>
      </w:r>
    </w:p>
    <w:p>
      <w:pPr>
        <w:pStyle w:val="Heading2"/>
      </w:pPr>
      <w:r>
        <w:t>483.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environmental, protection, quality, environment, objectives,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environmental, protection, fully;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Legal characterization of the principles of soil protection in the law of the European Union — https://doi.org/10.24144/2307-3322.2025.87.4.48</w:t>
      </w:r>
    </w:p>
    <w:p>
      <w:pPr/>
      <w:r>
        <w:rPr>
          <w:b/>
        </w:rPr>
        <w:t>Shared claim-specific concepts:</w:t>
      </w:r>
      <w:r>
        <w:t xml:space="preserve"> environmental, protection, environment, not, objectives; EU scope visible. This is a provisional connection, not an outcome finding.</w:t>
      </w:r>
    </w:p>
    <w:p>
      <w:pPr>
        <w:pStyle w:val="SourceNote"/>
      </w:pPr>
      <w:r>
        <w:rPr>
          <w:b/>
        </w:rPr>
        <w:t>Available abstract (not full text):</w:t>
      </w:r>
      <w:r>
        <w:t xml:space="preserve">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pPr/>
      <w:r>
        <w:rPr>
          <w:b/>
        </w:rPr>
        <w:t>POSSIBLE 2025:</w:t>
      </w:r>
      <w:r>
        <w:t xml:space="preserve"> Rights of Nature in Europe: the Mar Menor and the Future of Ecocentric Environmental Protection — https://doi.org/10.1163/18760104-22030006</w:t>
      </w:r>
    </w:p>
    <w:p>
      <w:pPr/>
      <w:r>
        <w:rPr>
          <w:b/>
        </w:rPr>
        <w:t>Shared claim-specific concepts:</w:t>
      </w:r>
      <w:r>
        <w:t xml:space="preserve"> environmental, protection, safeguard; EU scope visible. This is a provisional connection, not an outcome finding.</w:t>
      </w:r>
    </w:p>
    <w:p>
      <w:pPr>
        <w:pStyle w:val="SourceNote"/>
      </w:pPr>
      <w:r>
        <w:rPr>
          <w:b/>
        </w:rPr>
        <w:t>Available abstract (not full text):</w:t>
      </w:r>
      <w:r>
        <w:t xml:space="preserve">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pPr/>
      <w:r>
        <w:rPr>
          <w:b/>
        </w:rPr>
        <w:t>POSSIBLE 2024:</w:t>
      </w:r>
      <w:r>
        <w:t xml:space="preserve"> Environmental Protection: A Fundamental Right or a Social Objective? Comparative Constitutional Overview — https://doi.org/10.56345/ijrdv11n215</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pPr/>
      <w:r>
        <w:rPr>
          <w:b/>
        </w:rPr>
        <w:t>POSSIBLE 2024:</w:t>
      </w:r>
      <w:r>
        <w:t xml:space="preserve"> The European Union’s legislative process in the area of environmental protection in the context of the European environmental policy — https://doi.org/10.31648/aspal.9148</w:t>
      </w:r>
    </w:p>
    <w:p>
      <w:pPr/>
      <w:r>
        <w:rPr>
          <w:b/>
        </w:rPr>
        <w:t>Shared claim-specific concepts:</w:t>
      </w:r>
      <w:r>
        <w:t xml:space="preserve"> environmental, protection, not; EU scope visible. This is a provisional connection, not an outcome finding.</w:t>
      </w:r>
    </w:p>
    <w:p>
      <w:pPr>
        <w:pStyle w:val="SourceNote"/>
      </w:pPr>
      <w:r>
        <w:rPr>
          <w:b/>
        </w:rPr>
        <w:t>Available abstract (not full text):</w:t>
      </w:r>
      <w:r>
        <w:t xml:space="preserve"> Motives: This research paper analyzes the legislative process and the implementation of the European Union’s (EU) environmental law as one of the principal tools for achieving and maintaining global ecological safety.Aim: The study was undertaken to determine how the priorities of the EU’s foreign and internal policy are reflected in the legislative process in the area of environmental protection. The problems associated with law enforcement and the implementation of EU legislative acts in national legislation were also examined, and the current state and prospects for policy-making in the area of environmental protection were assessed. The paper considers environmental policy issues and legal regulations in Azerbaijan in the context of EU experiences. The research covers political and legal relations.Results: An analysis of the historical transformation of the EU’s environmental law from an institutional and constitutional perspective was combined with an analysis of the principal aspects and the main trends in the EU’s environmental governance and lawmaking. The EU’s contribution to the development of environmental legislation highlights its approach to the multi-layered dimension of environmental governance internally, in terms of the dynamic relationship between the EU and the Member States, as well as internationally. The EU’s policy and legal regulations in the area of en</w:t>
      </w:r>
    </w:p>
    <w:p>
      <w:pPr/>
      <w:r>
        <w:rPr>
          <w:b/>
        </w:rPr>
        <w:t>POSSIBLE 2024:</w:t>
      </w:r>
      <w:r>
        <w:t xml:space="preserve"> Environmental Protection, Rights of Nature, and Religious Beliefs in Europe — https://doi.org/10.1007/s11196-024-10193-5</w:t>
      </w:r>
    </w:p>
    <w:p>
      <w:pPr/>
      <w:r>
        <w:rPr>
          <w:b/>
        </w:rPr>
        <w:t>Shared claim-specific concepts:</w:t>
      </w:r>
      <w:r>
        <w:t xml:space="preserve"> environmental, protection, not; EU scope visible. This is a provisional connection, not an outcome finding.</w:t>
      </w:r>
    </w:p>
    <w:p>
      <w:pPr>
        <w:pStyle w:val="SourceNote"/>
      </w:pPr>
      <w:r>
        <w:rPr>
          <w:b/>
        </w:rPr>
        <w:t>Available abstract (not full text):</w:t>
      </w:r>
      <w:r>
        <w:t xml:space="preserve"> Abstract This paper examines the rights of nature (RoN) as a product of religious beliefs and how the increasing abandonment of religious beliefs in Europe could impact the development of RoN on the continent. As a concept rooted in religious and Indigenous peoples’ practices, this article argues that there are no religious and Indigenous peoples’ ideologies in Europe upon which RoN of nature could be anchored. Furthermore, since hardly any groups in Europe identify as Indigenous peoples in the strict sense of the term, except some groups in Scandinavia, RoN in Europe cannot be effective as there is no special attachment of most Europeans to natural entities. To achieve this argument, the Enlightenment period is pointed out as the starting point for the abandonment of religion in Europe. Because of this, the article contends that the recent law on RoN for Mar Menor in Spain may fail as it is not rooted in religious philosophies. To transplant RoN to Europe and for it to be effective, a new religion with spiritual traditions and insights consistent with the worldview of RoN would have to be developed. However, for such a view to be protected under Article 9 of the European Convention on Human Rights, it must “attain a certain level of cogency, seriousness, cohesion, and importance.” It is not certain if RoN has attained such a threshold in Europe or will ever attain it. Using th</w:t>
      </w:r>
    </w:p>
    <w:p>
      <w:pPr/>
      <w:r>
        <w:rPr>
          <w:b/>
        </w:rPr>
        <w:t>POSSIBLE 2024:</w:t>
      </w:r>
      <w:r>
        <w:t xml:space="preserve"> THE IMPORTANCE OF ENVIRONMENTAL PROTECTION CONCEPT IN EUROPEAN CENTRAL BANK LAW — https://doi.org/10.56461/spz_24305kj</w:t>
      </w:r>
    </w:p>
    <w:p>
      <w:pPr/>
      <w:r>
        <w:rPr>
          <w:b/>
        </w:rPr>
        <w:t>Shared claim-specific concepts:</w:t>
      </w:r>
      <w:r>
        <w:t xml:space="preserve"> environmental, protection, preserve; EU scope visible. This is a provisional connection, not an outcome finding.</w:t>
      </w:r>
    </w:p>
    <w:p>
      <w:pPr>
        <w:pStyle w:val="SourceNote"/>
      </w:pPr>
      <w:r>
        <w:rPr>
          <w:b/>
        </w:rPr>
        <w:t>Available abstract (not full text):</w:t>
      </w:r>
      <w:r>
        <w:t xml:space="preserve"> The subject of this paper is the introduction of the environmental protection concept in the central banking law to preserve natural resources and contribute to ensuring sustainable economic development. In that sense, the author will attempt to describe the potential contribution of green central bank legislation in managing and mitigating environmental issues, aiming to identify the ecological dimension of the European Central Bank (ECB) mandate, as the supreme monetary institution of the European Union (EU). The following text focuses on the functional analysis of the ECB’s potential legal mandate for environmental activities, their scope, limitations, and practical justification where the introduction of these new activities must be carefully managed without creating a collision with its primary task of maintaining monetary and financial stability.tability.</w:t>
      </w:r>
    </w:p>
    <w:p>
      <w:pPr>
        <w:pStyle w:val="Heading2"/>
      </w:pPr>
      <w:r>
        <w:t>484.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High-resolution income projections over the 21st century in Europe consistent with the Shared Socioeconomic Pathways — https://doi.org/10.1088/1748-9326/adcb53</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union, population, share;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projections, population, people;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pStyle w:val="Heading2"/>
      </w:pPr>
      <w:r>
        <w:t>485.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2023:</w:t>
      </w:r>
      <w:r>
        <w:t xml:space="preserve"> Promoting schizophrenia research in Europe: the contribution of the European Group for Research in Schizophrenia — https://doi.org/10.1002/wps.21100</w:t>
      </w:r>
    </w:p>
    <w:p>
      <w:pPr/>
      <w:r>
        <w:rPr>
          <w:b/>
        </w:rPr>
        <w:t>Shared claim-specific concepts:</w:t>
      </w:r>
      <w:r>
        <w:t xml:space="preserve"> based, two, czech, republic; EU scope visible. This is a provisional connection, not an outcome finding.</w:t>
      </w:r>
    </w:p>
    <w:p>
      <w:pPr>
        <w:pStyle w:val="SourceNote"/>
      </w:pPr>
      <w:r>
        <w:rPr>
          <w:b/>
        </w:rPr>
        <w:t>Available abstract (not full text):</w:t>
      </w:r>
      <w:r>
        <w:t xml:space="preserve">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pStyle w:val="Heading2"/>
      </w:pPr>
      <w:r>
        <w:t>486.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2024:</w:t>
      </w:r>
      <w:r>
        <w:t xml:space="preserve"> On Farm Non-Agricultural Activities: Recent Evolution and Dynamics in Portugal — https://doi.org/10.30682/nm2404d</w:t>
      </w:r>
    </w:p>
    <w:p>
      <w:pPr/>
      <w:r>
        <w:rPr>
          <w:b/>
        </w:rPr>
        <w:t>Shared claim-specific concepts:</w:t>
      </w:r>
      <w:r>
        <w:t xml:space="preserve"> analyse, evolution, farm, insights; EU scope visible. This is a provisional connection, not an outcome finding.</w:t>
      </w:r>
    </w:p>
    <w:p>
      <w:pPr>
        <w:pStyle w:val="SourceNote"/>
      </w:pPr>
      <w:r>
        <w:rPr>
          <w:b/>
        </w:rPr>
        <w:t>Available abstract (not full text):</w:t>
      </w:r>
      <w:r>
        <w:t xml:space="preserve">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pPr/>
      <w:r>
        <w:rPr>
          <w:b/>
        </w:rPr>
        <w:t>POSSIBLE 2024:</w:t>
      </w:r>
      <w:r>
        <w:t xml:space="preserve"> The eco-social aspects of the European Green Deal and the Farm to Fork — https://doi.org/10.1177/14680181241261068</w:t>
      </w:r>
    </w:p>
    <w:p>
      <w:pPr/>
      <w:r>
        <w:rPr>
          <w:b/>
        </w:rPr>
        <w:t>Shared claim-specific concepts:</w:t>
      </w:r>
      <w:r>
        <w:t xml:space="preserve"> analyse, farm, two, measures; EU scope visible. This is a provisional connection, not an outcome finding.</w:t>
      </w:r>
    </w:p>
    <w:p>
      <w:pPr>
        <w:pStyle w:val="SourceNote"/>
      </w:pPr>
      <w:r>
        <w:rPr>
          <w:b/>
        </w:rPr>
        <w:t>Available abstract (not full text):</w:t>
      </w:r>
      <w:r>
        <w:t xml:space="preserve">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pPr/>
      <w:r>
        <w:rPr>
          <w:b/>
        </w:rPr>
        <w:t>POSSIBLE 2024:</w:t>
      </w:r>
      <w:r>
        <w:t xml:space="preserve"> The Evolution of Family Farms in Poland: Present Time and the Weight of the Past — https://doi.org/10.12775/eec-2016-0002</w:t>
      </w:r>
    </w:p>
    <w:p>
      <w:pPr/>
      <w:r>
        <w:rPr>
          <w:b/>
        </w:rPr>
        <w:t>Shared claim-specific concepts:</w:t>
      </w:r>
      <w:r>
        <w:t xml:space="preserve"> evolution, farm, two, decades, agricultural, cap; EU scope visible. This is a provisional connection, not an outcome finding.</w:t>
      </w:r>
    </w:p>
    <w:p>
      <w:pPr>
        <w:pStyle w:val="SourceNote"/>
      </w:pPr>
      <w:r>
        <w:rPr>
          <w:b/>
        </w:rPr>
        <w:t>Available abstract (not full text):</w:t>
      </w:r>
      <w:r>
        <w:t xml:space="preserve">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pPr/>
      <w:r>
        <w:rPr>
          <w:b/>
        </w:rPr>
        <w:t>POSSIBLE 2024:</w:t>
      </w:r>
      <w:r>
        <w:t xml:space="preserve"> Why do corporate farms survive in Central and Eastern Europe? — https://doi.org/10.1016/j.agsy.2024.103965</w:t>
      </w:r>
    </w:p>
    <w:p>
      <w:pPr/>
      <w:r>
        <w:rPr>
          <w:b/>
        </w:rPr>
        <w:t>Shared claim-specific concepts:</w:t>
      </w:r>
      <w:r>
        <w:t xml:space="preserve"> farm, significant, large, agricultural, relevant; EU scope visible. This is a provisional connection, not an outcome finding.</w:t>
      </w:r>
    </w:p>
    <w:p>
      <w:pPr>
        <w:pStyle w:val="SourceNote"/>
      </w:pPr>
      <w:r>
        <w:rPr>
          <w:b/>
        </w:rPr>
        <w:t>Available abstract (not full text):</w:t>
      </w:r>
      <w:r>
        <w:t xml:space="preserve"> This article examines the process of the transformation of agricultural systems in post-communist Central and Eastern European (CEE) countries. It focuses on the survival of large agricultural firms, known as corporate farms, during periods of economic liberalization, privatization, land reform, and the restructuring of economies and the agricultural sector. The survival of corporate farms plays a significant role in driving structural changes within the farming sector and facilitating the transition from centrally planned to market-driven farming systems in the respective countries. The study investigates the factors correlated to the survival of corporate farms based on cross-country data analysis for 17 CEE countries. The survival of corporate farms can be correlated with a combination of farm-specific characteristics, sector-specific factors within the agricultural industry, country-specific natural and other resource endowments, and external factors related to a conducive economic environment. The study examines the viability of corporate farms by utilizing a comprehensive dataset encompassing 17 CEE countries between 2007 and 2019. The accelerated failure time model is employed to estimate the survival probabilities of these farms. The study uses the Nelson-Aalen estimator to calculate the cumulative hazard function and Kaplan-Meier survival function. Additionally, the ba</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evolution, two;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measures, relevant, insights;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Farm typologies for understanding farm systems and improving agricultural policy — https://doi.org/10.1016/j.agsy.2023.103800</w:t>
      </w:r>
    </w:p>
    <w:p>
      <w:pPr/>
      <w:r>
        <w:rPr>
          <w:b/>
        </w:rPr>
        <w:t>Shared claim-specific concepts:</w:t>
      </w:r>
      <w:r>
        <w:t xml:space="preserve"> farm, types, two, common, agricultural, design; EU scope not established. This is a provisional connection, not an outcome finding.</w:t>
      </w:r>
    </w:p>
    <w:p>
      <w:pPr>
        <w:pStyle w:val="SourceNote"/>
      </w:pPr>
      <w:r>
        <w:rPr>
          <w:b/>
        </w:rPr>
        <w:t>Available abstract (not full text):</w:t>
      </w:r>
      <w:r>
        <w:t xml:space="preserve"> Farm typologies help to identify patterns across a wide range of farm systems and describe heterogeneity in agriculture concisely. They can also support the design of agricultural policies by providing information and knowledge about policy target groups. For example, voluntary agri-environmental schemes could be tailored to specific agricultural landscapes and farm types. Farm typologies, however, are often developed from scratch, with limited connection to previous studies and policy making. The objective of this study is to clarify the purposes of farm typologies in research and agricultural policy making and to develop a framework that allows to increase the usefulness and usability of farm typologies for agricultural policy making. Based on a review of 13 systematically identified overview studies on farm typologies, we develop a framework that establishes connections between the purposes of farm typologies along the different stages of the policy process. We find multiple purposes for farm typologies, the two most common of which are for understanding the characteristics, heterogeneity, and development of farm systems and for policy making. The newly developed framework suggests that connecting knowledge across these purposes could improve the validity, transferability, and relevance of farm typologies for agricultural policy making. Our framework also provides an entry p</w:t>
      </w:r>
    </w:p>
    <w:p>
      <w:pPr>
        <w:pStyle w:val="Heading2"/>
      </w:pPr>
      <w:r>
        <w:t>487.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reveal, union;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issues, three, understanding;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Patterns of European Ant Communities Reveal a Functionally Coherent Holarctic Fauna — https://doi.org/10.3390/d15030341</w:t>
      </w:r>
    </w:p>
    <w:p>
      <w:pPr/>
      <w:r>
        <w:rPr>
          <w:b/>
        </w:rPr>
        <w:t>Shared claim-specific concepts:</w:t>
      </w:r>
      <w:r>
        <w:t xml:space="preserve"> reveal, three, understanding; EU scope visible. This is a provisional connection, not an outcome finding.</w:t>
      </w:r>
    </w:p>
    <w:p>
      <w:pPr>
        <w:pStyle w:val="SourceNote"/>
      </w:pPr>
      <w:r>
        <w:rPr>
          <w:b/>
        </w:rPr>
        <w:t>Available abstract (not full text):</w:t>
      </w:r>
      <w:r>
        <w:t xml:space="preserve"> Here we examine the extent to which European patterns of ant diversity and functional composition conform with those documented in North America. Following protocols previously used in North America, ant species distribution and behavioural dominance were quantified at fifteen sites on two environmental gradients, one following elevation (140–1830 m) in France and the other tree cover (0–95%) in Denmark. Pitfall traps were used to assess species distributions, and behaviour at tuna baits was used to inform behavioural dominance. We specifically test three predictions based on North American patterns: (1) Species richness and overall levels of behavioural dominance will decline with increasing thermal stress. (2) Geographic patterns of key taxa in Europe will be consistent with those in North America. (3) Behavioural dominance of European taxa will be consistent with related taxa in North America. We then use our results to classify the European ant fauna into functional groups, as had been done for North American ants. Based on these functional groups, we analyse distributional patterns along our gradients and re-analyse ant community data from published studies to provide a more comprehensive understanding of the structure of European ant communities. Distributional and behavioural predictions of the European ant taxa were consistent with those in North America. Geographical p</w:t>
      </w:r>
    </w:p>
    <w:p>
      <w:pPr/>
      <w:r>
        <w:rPr>
          <w:b/>
        </w:rPr>
        <w:t>POSSIBLE 2023:</w:t>
      </w:r>
      <w:r>
        <w:t xml:space="preserve"> The impact of board characteristics on environmentally friendly production: A cross country study in Asia and Europe — https://doi.org/10.1016/j.jclepro.2023.136257</w:t>
      </w:r>
    </w:p>
    <w:p>
      <w:pPr/>
      <w:r>
        <w:rPr>
          <w:b/>
        </w:rPr>
        <w:t>Shared claim-specific concepts:</w:t>
      </w:r>
      <w:r>
        <w:t xml:space="preserve"> also, reveal, lead, further, better, understanding; EU scope visible. This is a provisional connection, not an outcome finding.</w:t>
      </w:r>
    </w:p>
    <w:p>
      <w:pPr>
        <w:pStyle w:val="SourceNote"/>
      </w:pPr>
      <w:r>
        <w:rPr>
          <w:b/>
        </w:rPr>
        <w:t>Available abstract (not full text):</w:t>
      </w:r>
      <w:r>
        <w:t xml:space="preserve"> The present study investigates the impact of board characteristics on environmentally friendly production. The current research uses secondary data extracted from the Refinitiv Eikon database. The data is extracted from the database for a sample of 8094 corporates from 2 continents, Asia and Europe, from 2016 to 2021. Panel data analysis with fixed effect models is used to estimate the results. The findings reveal that board size, independence, and industry expertise significantly impact environmentally friendly production. The results also indicate that board diversity correlates positively with environmentally friendly production in European corporates but negatively in Asian corporates. Findings show that the moderating role of environmental teams has a greater interaction effect with board characteristics in Europe than in Asia. Finally, the results also show that higher environmental performance and environmental, social, and governance scores lead to higher levels of environmentally friendly production. The study has valuable insights and implications for board members, practitioners, academicians, and policymakers. Further, the study contributes to the strand literature by investigating the role of environmental teams on the relationship between board characteristics and environmentally friendly production. The findings are supported by agency, legitimacy, and stakeholde</w:t>
      </w:r>
    </w:p>
    <w:p>
      <w:pPr/>
      <w:r>
        <w:rPr>
          <w:b/>
        </w:rPr>
        <w:t>POSSIBLE 2023:</w:t>
      </w:r>
      <w:r>
        <w:t xml:space="preserve"> The European Universities Initiative and European spatial imaginaries — https://doi.org/10.1080/14767724.2023.2210515</w:t>
      </w:r>
    </w:p>
    <w:p>
      <w:pPr/>
      <w:r>
        <w:rPr>
          <w:b/>
        </w:rPr>
        <w:t>Shared claim-specific concepts:</w:t>
      </w:r>
      <w:r>
        <w:t xml:space="preserve"> also, further, collaboration, different;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A scoping review of seismic risk communication in Europe — https://doi.org/10.3389/feart.2023.1155576</w:t>
      </w:r>
    </w:p>
    <w:p>
      <w:pPr/>
      <w:r>
        <w:rPr>
          <w:b/>
        </w:rPr>
        <w:t>Shared claim-specific concepts:</w:t>
      </w:r>
      <w:r>
        <w:t xml:space="preserve"> they, also, reveal, transition, different;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pStyle w:val="Heading2"/>
      </w:pPr>
      <w:r>
        <w:t>488.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2024:</w:t>
      </w:r>
      <w:r>
        <w:t xml:space="preserve"> A new perspective on balancing life domains: work–nonwork balance crafting — https://doi.org/10.1186/s12889-024-18646-z</w:t>
      </w:r>
    </w:p>
    <w:p>
      <w:pPr/>
      <w:r>
        <w:rPr>
          <w:b/>
        </w:rPr>
        <w:t>Shared claim-specific concepts:</w:t>
      </w:r>
      <w:r>
        <w:t xml:space="preserve"> work, domains, perspective, findings; EU scope visible. This is a provisional connection, not an outcome finding.</w:t>
      </w:r>
    </w:p>
    <w:p>
      <w:pPr>
        <w:pStyle w:val="SourceNote"/>
      </w:pPr>
      <w:r>
        <w:rPr>
          <w:b/>
        </w:rPr>
        <w:t>Available abstract (not full text):</w:t>
      </w:r>
      <w:r>
        <w:t xml:space="preserve">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pPr/>
      <w:r>
        <w:rPr>
          <w:b/>
        </w:rPr>
        <w:t>POSSIBLE 2024:</w:t>
      </w:r>
      <w:r>
        <w:t xml:space="preserve"> Rights of Nature in Europe — https://doi.org/10.4324/9781003318989</w:t>
      </w:r>
    </w:p>
    <w:p>
      <w:pPr/>
      <w:r>
        <w:rPr>
          <w:b/>
        </w:rPr>
        <w:t>Shared claim-specific concepts:</w:t>
      </w:r>
      <w:r>
        <w:t xml:space="preserve"> work, domains; EU scope visible. This is a provisional connection, not an outcome finding.</w:t>
      </w:r>
    </w:p>
    <w:p>
      <w:pPr>
        <w:pStyle w:val="SourceNote"/>
      </w:pPr>
      <w:r>
        <w:rPr>
          <w:b/>
        </w:rPr>
        <w:t>Available abstract (not full text):</w:t>
      </w:r>
      <w:r>
        <w:t xml:space="preserve">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explore, findings;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Gender Bias in Six Key Domains of Academic Science: An Adversarial Collaboration — https://doi.org/10.1177/15291006231163179</w:t>
      </w:r>
    </w:p>
    <w:p>
      <w:pPr/>
      <w:r>
        <w:rPr>
          <w:b/>
        </w:rPr>
        <w:t>Shared claim-specific concepts:</w:t>
      </w:r>
      <w:r>
        <w:t xml:space="preserve"> domains, empirical, findings, structural; EU scope not established. This is a provisional connection, not an outcome finding.</w:t>
      </w:r>
    </w:p>
    <w:p>
      <w:pPr>
        <w:pStyle w:val="SourceNote"/>
      </w:pPr>
      <w:r>
        <w:rPr>
          <w:b/>
        </w:rPr>
        <w:t>Available abstract (not full text):</w:t>
      </w:r>
      <w:r>
        <w:t xml:space="preserve"> We synthesized the vast, contradictory scholarly literature on gender bias in academic science from 2000 to 2020. In the most prestigious journals and media outlets, which influence many people's opinions about sexism, bias is frequently portrayed as an omnipresent factor limiting women's progress in the tenure-track academy. Claims and counterclaims regarding the presence or absence of sexism span a range of evaluation contexts. Our approach relied on a combination of meta-analysis and analytic dissection. We evaluated the empirical evidence for gender bias in six key contexts in the tenure-track academy: (a) tenure-track hiring, (b) grant funding, (c) teaching ratings, (d) journal acceptances, (e) salaries, and (f) recommendation letters. We also explored the gender gap in a seventh area, journal productivity, because it can moderate bias in other contexts. We focused on these specific domains, in which sexism has most often been alleged to be pervasive, because they represent important types of evaluation, and the extensive research corpus within these domains provides sufficient quantitative data for comprehensive analysis. Contrary to the omnipresent claims of sexism in these domains appearing in top journals and the media, our findings show that tenure-track women are at parity with tenure-track men in three domains (grant funding, journal acceptances, and recommendation </w:t>
      </w:r>
    </w:p>
    <w:p>
      <w:pPr/>
      <w:r>
        <w:rPr>
          <w:b/>
        </w:rPr>
        <w:t>POSSIBLE 2023:</w:t>
      </w:r>
      <w:r>
        <w:t xml:space="preserve"> European Environment, Social, and Governance Norms and Decent Work: Seeking a Consensus in the Literature — https://doi.org/10.3390/socsci12110592</w:t>
      </w:r>
    </w:p>
    <w:p>
      <w:pPr/>
      <w:r>
        <w:rPr>
          <w:b/>
        </w:rPr>
        <w:t>Shared claim-specific concepts:</w:t>
      </w:r>
      <w:r>
        <w:t xml:space="preserve"> work, scientific; EU scope visible. This is a provisional connection, not an outcome finding.</w:t>
      </w:r>
    </w:p>
    <w:p>
      <w:pPr>
        <w:pStyle w:val="SourceNote"/>
      </w:pPr>
      <w:r>
        <w:rPr>
          <w:b/>
        </w:rPr>
        <w:t>Available abstract (not full text):</w:t>
      </w:r>
      <w:r>
        <w:t xml:space="preserve"> Decent Work is considered essential to the facilitation of a transition to greener, fairer, more prosperous, and more just societies. Decent Work represents a fundamental component of the Sustainable Development Goals (SDGs) and a crucial facet of European Union (EU) environment, social, and governance (ESG) norms. Despite its prominence, the precise definition and materiality of Decent Work is obscure and remains subject to limited consensus. To understand these critical gaps, we conducted a comprehensive review with a systematic search of the literature on the subject, encompassing both scientific research and institutional publications. Our review encompassed 517 papers, with a particular focus on three key areas: (1) delineating the constituents of Decent Work, (2) exploring the materiality of Decent Work, and (3) examining how firms value, measure, and report Decent Work. The domain of regulated reporting for Decent Work and its material impact is relatively nascent, resulting in limitations in effectively measuring its tangible, material effects towards a green and just transition. Consequently, our review, with a systematic search of the literature, uncovered notable gaps within the body of literature concerning Decent Work, its substance for ESG materiality regulations, and its conspicuousness for a just transition. Furthermore, our review serves as a critical foundatio</w:t>
      </w:r>
    </w:p>
    <w:p>
      <w:pPr>
        <w:pStyle w:val="Heading2"/>
      </w:pPr>
      <w:r>
        <w:t>489.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2024:</w:t>
      </w:r>
      <w:r>
        <w:t xml:space="preserve"> The Working of Hard Animal Tissues in Eastern and Central Europe During the Last Glacial Maximum—Current Knowledge and Perspectives — https://doi.org/10.1007/s41982-024-00198-8</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discuss, current, knowledge, drivers;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Central and Eastern Europe in Academic Internationalization: Peripherality, Neoliberalism, and Knowledge Production — https://doi.org/10.11649/slh.3184</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pPr/>
      <w:r>
        <w:rPr>
          <w:b/>
        </w:rPr>
        <w:t>POSSIBLE 2023:</w:t>
      </w:r>
      <w:r>
        <w:t xml:space="preserve"> Sustainable soil management: Soil knowledge use and gaps in Europe — https://doi.org/10.1111/ejss.13439</w:t>
      </w:r>
    </w:p>
    <w:p>
      <w:pPr/>
      <w:r>
        <w:rPr>
          <w:b/>
        </w:rPr>
        <w:t>Shared claim-specific concepts:</w:t>
      </w:r>
      <w:r>
        <w:t xml:space="preserve"> current, knowledge, three, areas, gaps; EU scope visible. This is a provisional connection, not an outcome finding.</w:t>
      </w:r>
    </w:p>
    <w:p>
      <w:pPr>
        <w:pStyle w:val="SourceNote"/>
      </w:pPr>
      <w:r>
        <w:rPr>
          <w:b/>
        </w:rPr>
        <w:t>Available abstract (not full text):</w:t>
      </w:r>
      <w:r>
        <w:t xml:space="preserve"> Abstract Soils are the foundation of agricultural production, ecosystem functioning and human well‐being. Bridging soil knowledge gaps and improving the knowledge system is crucial to meet the growing EU soil policy ambitions in the face of climate change and the ongoing trend in soil degradation. The objective of this article is to assess the current state of knowledge, knowledge use and knowledge gaps concerning sustainable soil management in Europe. This study is based on interviews with 791 stakeholders and 254 researchers and on a comprehensive review of &gt;1800 documents carried out under the European Joint Programme on agricultural soils. Despite differences in stakeholder groups, the conclusions are rather consistent and complementary. We identified major knowledge gaps with respect to (1) soil carbon stocks, (2) soil degradation and fertility and (3) strategies for improved soil management. Transcending these three areas, particularly the loss of soil organic carbon, peatland degradation and soil compaction, are most critical, thus, we stress the urgency of developing more models and monitoring programmes on soils. Stakeholders further report that insufficient transfer of existing soil research findings to practitioners is a hindrance to the adoption of sustainable soil management practices. In addition to knowledge production, soil knowledge gaps may be addressed by con</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current, knowledge, identify, environmental, used;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2023:</w:t>
      </w:r>
      <w:r>
        <w:t xml:space="preserve"> Early-onset colorectal cancer: A review of current knowledge — https://doi.org/10.3748/wjg.v29.i8.1289</w:t>
      </w:r>
    </w:p>
    <w:p>
      <w:pPr/>
      <w:r>
        <w:rPr>
          <w:b/>
        </w:rPr>
        <w:t>Shared claim-specific concepts:</w:t>
      </w:r>
      <w:r>
        <w:t xml:space="preserve"> discuss, current, knowledge, data, exposure; EU scope not established. This is a provisional connection, not an outcome finding.</w:t>
      </w:r>
    </w:p>
    <w:p>
      <w:pPr>
        <w:pStyle w:val="SourceNote"/>
      </w:pPr>
      <w:r>
        <w:rPr>
          <w:b/>
        </w:rPr>
        <w:t>Available abstract (not full text):</w:t>
      </w:r>
      <w:r>
        <w:t xml:space="preserve"> Colorectal cancer (CRC) is one of the most prevalent malignancies worldwide. Although most prevalent among older people, its incidence above 50 years old has been decreasing globally in the last decades, probably as a result of better screening. Paradoxically, its incidence in patients below 50 years old [early-onset CRC (EO-CRC)] has been increasing, for reasons not yet fully understood. EO-CRC's increasing incidence is genre independent but shows racial disparities and has been described to occur worldwide. It follows a birth-cohort effect which probably reflects a change in exposure to CRC risk factors. Its incidence is predicted to double until 2030, which makes EO-CRC a serious public health issue. Both modifiable and non-modifiable risk factors have been identified - some are potential targets for preventive measures. EO-CRC is often diagnosed at advanced stages and histological features associated with poor prognosis have been described. EO-CRC presents some distinctive features: Microsatellite in-stability is common, but another subtype of tumours, both microsatellite and chromosome stable also seems relevant. There are no age-specific treatment protocols and studies on EO-CRC survival rates have shown conflicting data. Due to the higher germline pathological mutations found in EO-CRC patients, an accurate genetic risk evaluation should be performed. In this review, we </w:t>
      </w:r>
    </w:p>
    <w:p>
      <w:pPr/>
      <w:r>
        <w:rPr>
          <w:b/>
        </w:rPr>
        <w:t>POSSIBLE 2023:</w:t>
      </w:r>
      <w:r>
        <w:t xml:space="preserve"> Dietary habits of the European brown hare: summary of knowledge and management relapses — https://doi.org/10.1080/03949370.2023.2213200</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Assessing the nutritional needs and food preferences of animal species is important to design appropriate habitat improvement actions, in particular in agricultural environments. The European brown hare Lepus europaeus is a game species of European conservation interest, typical of open areas, and with declining populations in Eurasia. In this work, the authors summarised the current knowledge on European brown hare feeding habits and also discussed potential management relapses of this species. The European brown hare has developed a particular digestive process called caecotrophy, which consists of a double passage of food through the alimentary canal. Hares compensate for this disadvantage by selecting foods with a high nutritional value, poor in fibre and rich in fats and proteins. The European brown hare thrives in farmland habitat as crops have a high nutritional value, even if monoculture and reduction of crop variety are considered the main causes of the decline of this species. Even in the agricultural environment, spontaneous weeds are an important part of the European brown hare diet, covering the nutritional needs when cultivated plants have a low nutritional value or have been harvested. The restoration of crop rotation and polycultures (cereals and cover crops), and the establishment of agri-environmental measures such as wildflower strips and patches, represent e</w:t>
      </w:r>
    </w:p>
    <w:p>
      <w:pPr>
        <w:pStyle w:val="Heading2"/>
      </w:pPr>
      <w:r>
        <w:t>490.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pStyle w:val="Heading2"/>
      </w:pPr>
      <w:r>
        <w:t>491.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2024:</w:t>
      </w:r>
      <w:r>
        <w:t xml:space="preserve"> Global consensus statement on simulation-based practice in healthcare — https://doi.org/10.1186/s41077-024-00288-1</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pPr/>
      <w:r>
        <w:rPr>
          <w:b/>
        </w:rPr>
        <w:t>POSSIBLE 2024:</w:t>
      </w:r>
      <w:r>
        <w:t xml:space="preserve"> The Conceptual Definition of Sarcopenia: Delphi Consensus from the Global Leadership Initiative in Sarcopenia (GLIS) — https://doi.org/10.1093/ageing/afae052</w:t>
      </w:r>
    </w:p>
    <w:p>
      <w:pPr/>
      <w:r>
        <w:rPr>
          <w:b/>
        </w:rPr>
        <w:t>Shared claim-specific concepts:</w:t>
      </w:r>
      <w:r>
        <w:t xml:space="preserve"> consensus, however; EU scope not established. This is a provisional connection, not an outcome finding.</w:t>
      </w:r>
    </w:p>
    <w:p>
      <w:pPr>
        <w:pStyle w:val="SourceNote"/>
      </w:pPr>
      <w:r>
        <w:rPr>
          <w:b/>
        </w:rPr>
        <w:t>Available abstract (not full text):</w:t>
      </w:r>
      <w:r>
        <w:t xml:space="preserve">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pPr/>
      <w:r>
        <w:rPr>
          <w:b/>
        </w:rPr>
        <w:t>POSSIBLE 2024:</w:t>
      </w:r>
      <w:r>
        <w:t xml:space="preserve"> Global consensus on optimal exercise recommendations for enhancing healthy longevity in older adults (ICFSR) — https://doi.org/10.1016/j.jnha.2024.100401</w:t>
      </w:r>
    </w:p>
    <w:p>
      <w:pPr/>
      <w:r>
        <w:rPr>
          <w:b/>
        </w:rPr>
        <w:t>Shared claim-specific concepts:</w:t>
      </w:r>
      <w:r>
        <w:t xml:space="preserve"> consensus, energy, however, many, leading; EU scope not established. This is a provisional connection, not an outcome finding.</w:t>
      </w:r>
    </w:p>
    <w:p>
      <w:pPr>
        <w:pStyle w:val="SourceNote"/>
      </w:pPr>
      <w:r>
        <w:rPr>
          <w:b/>
        </w:rPr>
        <w:t>Available abstract (not full text):</w:t>
      </w:r>
      <w:r>
        <w:t xml:space="preserve">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pPr/>
      <w:r>
        <w:rPr>
          <w:b/>
        </w:rPr>
        <w:t>POSSIBLE 2024:</w:t>
      </w:r>
      <w:r>
        <w:t xml:space="preserve"> Global consensus on disclosing inventions — https://doi.org/10.4324/9781003423003-14</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pPr/>
      <w:r>
        <w:rPr>
          <w:b/>
        </w:rPr>
        <w:t>POSSIBLE 2024:</w:t>
      </w:r>
      <w:r>
        <w:t xml:space="preserve"> Global Consensus Statement on Simulation-Based Practice in Healthcare — https://doi.org/10.1016/j.ecns.2024.101552</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 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w:t>
      </w:r>
    </w:p>
    <w:p>
      <w:pPr/>
      <w:r>
        <w:rPr>
          <w:b/>
        </w:rPr>
        <w:t>POSSIBLE 2024:</w:t>
      </w:r>
      <w:r>
        <w:t xml:space="preserve"> Global consensus statement on simulation-based practice in healthcare — https://doi.org/10.1097/sih.0000000000000804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ABSTRACT: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w:t>
      </w:r>
    </w:p>
    <w:p>
      <w:pPr/>
      <w:r>
        <w:rPr>
          <w:b/>
        </w:rPr>
        <w:t>POSSIBLE 2024:</w:t>
      </w:r>
      <w:r>
        <w:t xml:space="preserve"> Byzantine fault-tolerant consensus algorithm based on local temporary consensus and global confirmation — https://doi.org/10.1109/cisce62493.2024.10653231</w:t>
      </w:r>
    </w:p>
    <w:p>
      <w:pPr/>
      <w:r>
        <w:rPr>
          <w:b/>
        </w:rPr>
        <w:t>Shared claim-specific concepts:</w:t>
      </w:r>
      <w:r>
        <w:t xml:space="preserve"> there, consensus; EU scope not established. This is a provisional connection, not an outcome finding.</w:t>
      </w:r>
    </w:p>
    <w:p>
      <w:pPr>
        <w:pStyle w:val="SourceNote"/>
      </w:pPr>
      <w:r>
        <w:rPr>
          <w:b/>
        </w:rPr>
        <w:t>Available abstract (not full text):</w:t>
      </w:r>
      <w:r>
        <w:t xml:space="preserve"> Aiming at the Byzantine fault-tolerant consensus algorithm when the number of nodes is too large, there are problems such as a large amount of data exchange, slow consensus speed, and security degradation caused by proxy nodes, based on threshold signatures, a new Byzantine fault-tolerant consensus algorithm based on local temporary consensus and global confirmation is proposed. Nodes divide into different zones based on their geographical location, the algorithm conducts temporary consensus among zones in parallel, and all nodes participate in global confirmation together, reducing the amount of network data exchange during the consensus process while improving consensus speed and security.</w:t>
      </w:r>
    </w:p>
    <w:p>
      <w:pPr>
        <w:pStyle w:val="Heading2"/>
      </w:pPr>
      <w:r>
        <w:t>492.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2024:</w:t>
      </w:r>
      <w:r>
        <w:t xml:space="preserve"> Gender equality: Progress, and challenges in european society — https://doi.org/10.31893/humanitj.2024005</w:t>
      </w:r>
    </w:p>
    <w:p>
      <w:pPr/>
      <w:r>
        <w:rPr>
          <w:b/>
        </w:rPr>
        <w:t>Shared claim-specific concepts:</w:t>
      </w:r>
      <w:r>
        <w:t xml:space="preserve"> article, combined, policies, different, institutional, countries; EU scope visible. This is a provisional connection, not an outcome finding.</w:t>
      </w:r>
    </w:p>
    <w:p>
      <w:pPr>
        <w:pStyle w:val="SourceNote"/>
      </w:pPr>
      <w:r>
        <w:rPr>
          <w:b/>
        </w:rPr>
        <w:t>Available abstract (not full text):</w:t>
      </w:r>
      <w:r>
        <w:t xml:space="preserve">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pStyle w:val="Heading2"/>
      </w:pPr>
      <w:r>
        <w:t>493.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2024:</w:t>
      </w:r>
      <w:r>
        <w:t xml:space="preserve"> Advancing sustainable building through passive cooling with phase change materials, a comprehensive literature review — https://doi.org/10.1016/j.enbuild.2024.114164</w:t>
      </w:r>
    </w:p>
    <w:p>
      <w:pPr/>
      <w:r>
        <w:rPr>
          <w:b/>
        </w:rPr>
        <w:t>Shared claim-specific concepts:</w:t>
      </w:r>
      <w:r>
        <w:t xml:space="preserve"> building, phase, combination, different; EU scope not established. This is a provisional connection, not an outcome finding.</w:t>
      </w:r>
    </w:p>
    <w:p>
      <w:pPr>
        <w:pStyle w:val="SourceNote"/>
      </w:pPr>
      <w:r>
        <w:rPr>
          <w:b/>
        </w:rPr>
        <w:t>Available abstract (not full text):</w:t>
      </w:r>
      <w:r>
        <w:t xml:space="preserve">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pPr/>
      <w:r>
        <w:rPr>
          <w:b/>
        </w:rPr>
        <w:t>POSSIBLE 2024:</w:t>
      </w:r>
      <w:r>
        <w:t xml:space="preserve"> Incorporation of Phase Change Materials in Buildings — https://doi.org/10.3390/constrmater4040037</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pPr/>
      <w:r>
        <w:rPr>
          <w:b/>
        </w:rPr>
        <w:t>POSSIBLE 2024:</w:t>
      </w:r>
      <w:r>
        <w:t xml:space="preserve"> Phase Change Materials (PCMs) for passive Cooling: Performance in urban buildings — https://doi.org/10.30574/ijsra.2024.13.1.2050</w:t>
      </w:r>
    </w:p>
    <w:p>
      <w:pPr/>
      <w:r>
        <w:rPr>
          <w:b/>
        </w:rPr>
        <w:t>Shared claim-specific concepts:</w:t>
      </w:r>
      <w:r>
        <w:t xml:space="preserve"> building, phase, combination, case; EU scope not established. This is a provisional connection, not an outcome finding.</w:t>
      </w:r>
    </w:p>
    <w:p>
      <w:pPr>
        <w:pStyle w:val="SourceNote"/>
      </w:pPr>
      <w:r>
        <w:rPr>
          <w:b/>
        </w:rPr>
        <w:t>Available abstract (not full text):</w:t>
      </w:r>
      <w:r>
        <w:t xml:space="preserve">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pPr/>
      <w:r>
        <w:rPr>
          <w:b/>
        </w:rPr>
        <w:t>POSSIBLE 2024:</w:t>
      </w:r>
      <w:r>
        <w:t xml:space="preserve"> Building design with artificial intelligence : Evaluation of AI tools for building design optimization during earlyplanning phases — https://openalex.org/W7112955944</w:t>
      </w:r>
    </w:p>
    <w:p>
      <w:pPr/>
      <w:r>
        <w:rPr>
          <w:b/>
        </w:rPr>
        <w:t>Shared claim-specific concepts:</w:t>
      </w:r>
      <w:r>
        <w:t xml:space="preserve"> building, combination, alternative; EU scope not established. This is a provisional connection, not an outcome finding.</w:t>
      </w:r>
    </w:p>
    <w:p>
      <w:pPr>
        <w:pStyle w:val="SourceNote"/>
      </w:pPr>
      <w:r>
        <w:rPr>
          <w:b/>
        </w:rPr>
        <w:t>Available abstract (not full text):</w:t>
      </w:r>
      <w:r>
        <w:t xml:space="preserve">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pPr/>
      <w:r>
        <w:rPr>
          <w:b/>
        </w:rPr>
        <w:t>POSSIBLE 2023:</w:t>
      </w:r>
      <w:r>
        <w:t xml:space="preserve"> Building Envelope Design With PHASE-CHANGEMATERIALS (PCM). — https://doi.org/10.21203/rs.3.rs-3307843/v1</w:t>
      </w:r>
    </w:p>
    <w:p>
      <w:pPr/>
      <w:r>
        <w:rPr>
          <w:b/>
        </w:rPr>
        <w:t>Shared claim-specific concepts:</w:t>
      </w:r>
      <w:r>
        <w:t xml:space="preserve"> building, phase, combination, alternative; EU scope not established. This is a provisional connection, not an outcome finding.</w:t>
      </w:r>
    </w:p>
    <w:p>
      <w:pPr>
        <w:pStyle w:val="SourceNote"/>
      </w:pPr>
      <w:r>
        <w:rPr>
          <w:b/>
        </w:rPr>
        <w:t>Available abstract (not full text):</w:t>
      </w:r>
      <w:r>
        <w:t xml:space="preserve">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pPr/>
      <w:r>
        <w:rPr>
          <w:b/>
        </w:rPr>
        <w:t>POSSIBLE 2023:</w:t>
      </w:r>
      <w:r>
        <w:t xml:space="preserve"> Demand response with active phase change material based thermal energy storage in buildings — https://doi.org/10.1016/j.egyr.2022.12.131</w:t>
      </w:r>
    </w:p>
    <w:p>
      <w:pPr/>
      <w:r>
        <w:rPr>
          <w:b/>
        </w:rPr>
        <w:t>Shared claim-specific concepts:</w:t>
      </w:r>
      <w:r>
        <w:t xml:space="preserve"> building, phase, combination, response, case; EU scope not established. This is a provisional connection, not an outcome finding.</w:t>
      </w:r>
    </w:p>
    <w:p>
      <w:pPr>
        <w:pStyle w:val="SourceNote"/>
      </w:pPr>
      <w:r>
        <w:rPr>
          <w:b/>
        </w:rPr>
        <w:t>Available abstract (not full text):</w:t>
      </w:r>
      <w:r>
        <w:t xml:space="preserve"> A large potential to shift the electricity consumption to adapt to the stochastic renewable electricity generation is identified through the utilisation of a combination of Heat Pumps (HP) and local Thermal Energy Storage (TES) devices in building heating systems. In this paper, a building heating system coupled with an active Phase Change Material (PCM) TES device and a HP is simulated to characterise its potential for Demand Response (DR) applications. A control-oriented numerical model for the PCM TES is developed and previously validated numerical models of the building, HP and hot water radiators are integrated to simulate the dynamics of the coupled building heating system. A Genetic Algorithm (GA) based control strategy is designed to optimise the building heating energy consumption and operational cost with respect to time-varying electricity price signals. The developed control strategy is successfully implemented to utilise the TES capability of the PCM and the thermal inertia of the building to intelligently shift the electrical load of the HP to low price periods, while satisfying the specified indoor comfort requirements. In comparison to a reference case utilising a sensible TES, cost savings and consumption reductions of more than 40% and 30%, respectively, are attained with the active PCM TES. Simulation results indicate that utilising an active PCM TES over a s</w:t>
      </w:r>
    </w:p>
    <w:p>
      <w:pPr/>
      <w:r>
        <w:rPr>
          <w:b/>
        </w:rPr>
        <w:t>POSSIBLE 2023:</w:t>
      </w:r>
      <w:r>
        <w:t xml:space="preserve"> Evaluation of phase change material-graphene nanocomposite for thermal regulation enhancement in buildings — https://doi.org/10.1016/j.heliyon.2023.e21699</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growth of high-efficiency phase change material (PCM) nanocomposites with good heat conduction and substantial thermal capacity was of vital significance for practical matters in the sustainable utilization of energy. A novel leakage-proof n-heptadecane-graphene nanocomposite was prepared by a direct impregnation procedure from n-heptadacne as a PCM and nanographene as a skeleton. The creation of shape-stabilized nanocomposite was checked with X-ray diffraction (XRD), Raman, and Fourier transform infrared (FTIR) spectroscopy. The scanning electron microscopy (SEM) analysis illustrated that the n-heptadecane and graphene had favourable compatibility and there was no phase separation and graphene accumulation. Thermal analysis showed that the shape-stabilized nanocomposite not only had a good phase transition enthalpy (101.7 J/g) and n-heptadecane content (45.6 %) but also possessed appropriate thermal stability. The heat conduction of the obtained mesoporous nanocomposite was up to 1.527 W/mK, with a growth of 808 % compared to pure n-heptadecane. Furthermore, the optimized nanocomposite held auspicious thermal reliability, being exposed to 400 thermal cycles. Moreover, the thermoregulation tests demonstrated that the gypsum boards containing optimized nanocomposite showed a slow heat release rate and improved the building temperature profile over only the gypsum board. By v</w:t>
      </w:r>
    </w:p>
    <w:p>
      <w:pPr>
        <w:pStyle w:val="Heading2"/>
      </w:pPr>
      <w:r>
        <w:t>494.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2025:</w:t>
      </w:r>
      <w:r>
        <w:t xml:space="preserve"> Anti-Inflammatory Activity of Thymol and Thymol-Rich Essential Oils: Mechanisms, Applications, and Recent Findings — https://doi.org/10.3390/molecules30112450</w:t>
      </w:r>
    </w:p>
    <w:p>
      <w:pPr/>
      <w:r>
        <w:rPr>
          <w:b/>
        </w:rPr>
        <w:t>Shared claim-specific concepts:</w:t>
      </w:r>
      <w:r>
        <w:t xml:space="preserve"> findings, recent, shown, activities, systems; EU scope not established. This is a provisional connection, not an outcome finding.</w:t>
      </w:r>
    </w:p>
    <w:p>
      <w:pPr>
        <w:pStyle w:val="SourceNote"/>
      </w:pPr>
      <w:r>
        <w:rPr>
          <w:b/>
        </w:rPr>
        <w:t>Available abstract (not full text):</w:t>
      </w:r>
      <w:r>
        <w:t xml:space="preserve">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pPr/>
      <w:r>
        <w:rPr>
          <w:b/>
        </w:rPr>
        <w:t>POSSIBLE 2025:</w:t>
      </w:r>
      <w:r>
        <w:t xml:space="preserve"> Aging and HIV: Recent Findings in Contributing Factors — https://doi.org/10.1155/arat/8814760</w:t>
      </w:r>
    </w:p>
    <w:p>
      <w:pPr/>
      <w:r>
        <w:rPr>
          <w:b/>
        </w:rPr>
        <w:t>Shared claim-specific concepts:</w:t>
      </w:r>
      <w:r>
        <w:t xml:space="preserve"> findings, recent, science; EU scope not established. This is a provisional connection, not an outcome finding.</w:t>
      </w:r>
    </w:p>
    <w:p>
      <w:pPr>
        <w:pStyle w:val="SourceNote"/>
      </w:pPr>
      <w:r>
        <w:rPr>
          <w:b/>
        </w:rPr>
        <w:t>Available abstract (not full text):</w:t>
      </w:r>
      <w:r>
        <w:t xml:space="preserve">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pPr/>
      <w:r>
        <w:rPr>
          <w:b/>
        </w:rPr>
        <w:t>POSSIBLE 2024:</w:t>
      </w:r>
      <w:r>
        <w:t xml:space="preserve"> Inflammation and Cancer: The Most Recent Findings — https://doi.org/10.31584/jhsmr.20241082</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pPr/>
      <w:r>
        <w:rPr>
          <w:b/>
        </w:rPr>
        <w:t>POSSIBLE 2024:</w:t>
      </w:r>
      <w:r>
        <w:t xml:space="preserve"> Recent findings in methanotrophs: genetics, molecular ecology, and biopotential — https://doi.org/10.1007/s00253-023-12978-3</w:t>
      </w:r>
    </w:p>
    <w:p>
      <w:pPr/>
      <w:r>
        <w:rPr>
          <w:b/>
        </w:rPr>
        <w:t>Shared claim-specific concepts:</w:t>
      </w:r>
      <w:r>
        <w:t xml:space="preserve"> findings, recent; EU scope not established. This is a provisional connection, not an outcome finding.</w:t>
      </w:r>
    </w:p>
    <w:p>
      <w:pPr>
        <w:pStyle w:val="SourceNote"/>
      </w:pPr>
      <w:r>
        <w:rPr>
          <w:b/>
        </w:rPr>
        <w:t>Available abstract (not full text):</w:t>
      </w:r>
      <w:r>
        <w:t xml:space="preserve">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pPr/>
      <w:r>
        <w:rPr>
          <w:b/>
        </w:rPr>
        <w:t>POSSIBLE 2023:</w:t>
      </w:r>
      <w:r>
        <w:t xml:space="preserve"> Recent Findings in Physical Exercise for Cancer Survivors — https://doi.org/10.1298/ptr.r0023</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In recent years, the number of cancer survivors has been increasing each year due to advances in the early diagnosis and treatment of cancer. Cancer survivors present a variety of physical and psychological complications due to cancer and its treatment. Physical exercise is an effective nonpharmacological treatment for complications in cancer survivors. Furthermore, recent evidence has shown that physical exercise improves the prognosis of cancer survivors. The benefits of physical exercise have been widely reported, and guidelines for physical exercise for cancer survivors have been published. These guidelines recommend that cancer survivors engage in moderate- or vigorous-intensity aerobic exercises and/or resistance training. However, many cancer survivors have a poor commitment to physical exercise. In the future, it is necessary to promote physical exercise among cancer survivors through outpatient rehabilitation and community support.</w:t>
      </w:r>
    </w:p>
    <w:p>
      <w:pPr/>
      <w:r>
        <w:rPr>
          <w:b/>
        </w:rPr>
        <w:t>POSSIBLE 2023:</w:t>
      </w:r>
      <w:r>
        <w:t xml:space="preserve"> Recent findings regarding noise from tactical jet engines — https://doi.org/10.1121/10.0023676</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This paper reviews the outcomes of several recent investigations into full-scale supersonic jet noise. First, concordance has been shown between a T-7A-installed GE F404 engine’s sound power and classical jet noise theory in both the subsonic and supersonic regimes [M. A. Christian et al., JASA Express Lett. 3, 073601 (2023)]. The results indicate approximate agreement between the “eighth-power” law for subsonic engine conditions and the “third-power” law for supersonic engine conditions, with a radiation efficiency of ∼0.5–0.6% at afterburner. However, a sudden jump in radiation efficiency in the jet’s transonic region is not presently explained. Second, normalized far field-derived sound power spectra for the F404 do not agree well with a curve found in NASA SP-8072 (Eldred, 1971), likely indicating differences between the importance of different Strouhal number regimes in military jet and rocket noise and, possibly, different radiation phenomena. Third, the maximum directivity angle for overall level appears to be primarily driven by the convective Mach number associated with Kelvin–Helmholtz instability waves (M. A. Christian et al., AIAA Paper 2023-3351). Together, these recent findings represent improved understanding of full-scale tactical jet noise phenomena. [Work supported by ONR.]</w:t>
      </w:r>
    </w:p>
    <w:p>
      <w:pPr/>
      <w:r>
        <w:rPr>
          <w:b/>
        </w:rPr>
        <w:t>POSSIBLE 2023:</w:t>
      </w:r>
      <w:r>
        <w:t xml:space="preserve"> Neurobiology of Aggression—Review of Recent Findings and Relationship with Alcohol and Trauma — https://doi.org/10.3390/biology12030469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Aggression can be conceptualized as any behavior, physical or verbal, that involves attacking another person or animal with the intent of causing harm, pain or injury. Because of its high prevalence worldwide, aggression has remained a central clinical and public safety issue. Aggression can be caused by several risk factors, including biological and psychological, such as genetics and mental health disorders, and socioeconomic such as education, employment, financial status, and neighborhood. Research over the past few decades has also proposed a link between alcohol consumption and aggressive behaviors. Alcohol consumption can escalate aggressive behavior in humans, often leading to domestic violence or serious crimes. Converging lines of evidence have also shown that trauma and posttraumatic stress disorder (PTSD) could have a tremendous impact on behavior associated with both alcohol use problems and violence. However, although the link between trauma, alcohol, and aggression is well documented, the underlying neurobiological mechanisms and their impact on behavior have not been properly discussed. This article provides an overview of recent advances in understanding the translational neurobiological basis of aggression and its intricate links to alcoholism and trauma, focusing on behavior. It does so by shedding light from several perspectives, including in vivo imaging, g</w:t>
      </w:r>
    </w:p>
    <w:p>
      <w:pPr/>
      <w:r>
        <w:rPr>
          <w:b/>
        </w:rPr>
        <w:t>POSSIBLE 2023:</w:t>
      </w:r>
      <w:r>
        <w:t xml:space="preserve"> Recent Findings Related to Vocalization and Laryngeal Sensation — https://doi.org/10.5426/larynx.35.80</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Vocalization is controlled by the neuronal networks from the cerebral cortex to the medulla oblongata. The neuronal circuitry of vocalization is closely related to the respiratory neuronal network that controls respiration during vocalization. Laryngeal sensory inputs are transmitted as visceral afferent inputs, primarily to the nucleus tractus solitarius in the medulla oblongata via the internal branch of the superior laryngeal nerve. This signal is then transmitted to the medulla oblongata and cerebral cortex and may be involved in the modulation of vocal motor control as well as that of breathing and swallowing. Animal studies have shown that increasing or decreasing laryngeal sensory input affects the vocal motor patterns and voice quality. However, interferential current stimulation of the neck is a non-invasive method of increasing sensory inputs and is expected to have clinical applications. We encountered a 31-year-old female with hypofunctional dysphonia and a glottal chink during phonation. Interferential current stimulation was performed, and the glottal chink was immediately reduced. Interferential current stimulation of the larynx is a new therapeutic strategy for managing functional dysphonia.</w:t>
      </w:r>
    </w:p>
    <w:p>
      <w:pPr/>
      <w:r>
        <w:rPr>
          <w:b/>
        </w:rPr>
        <w:t>POSSIBLE 2023:</w:t>
      </w:r>
      <w:r>
        <w:t xml:space="preserve"> Ketogenic Diet and Breast Cancer: Recent Findings and Therapeutic Approaches — https://doi.org/10.3390/nu15204357</w:t>
      </w:r>
    </w:p>
    <w:p>
      <w:pPr/>
      <w:r>
        <w:rPr>
          <w:b/>
        </w:rPr>
        <w:t>Shared claim-specific concepts:</w:t>
      </w:r>
      <w:r>
        <w:t xml:space="preserve"> findings, recent, involving; EU scope not established. This is a provisional connection, not an outcome finding.</w:t>
      </w:r>
    </w:p>
    <w:p>
      <w:pPr>
        <w:pStyle w:val="SourceNote"/>
      </w:pPr>
      <w:r>
        <w:rPr>
          <w:b/>
        </w:rPr>
        <w:t>Available abstract (not full text):</w:t>
      </w:r>
      <w:r>
        <w:t xml:space="preserve"> Breast cancer (BC), a complex disease with several influencing factors, is significantly impacted by dietary habits. The ketogenic diet (KD), characterized by high fat and low carbohydrate intake, has gained attention as a potential therapeutic approach, but its effects on BC remain unclear. This review seeks to summarize the current knowledge on the principles of the KD, its metabolic influence on BC cells, and the findings of recent clinical trials, in order to elucidate the potential therapeutic role of the KD in BC management. For these purposes, a comprehensive literature review was conducted selecting preclinical and clinical studies that investigate the relationship between the KD and BC. The selection criteria prioritized studies exploring the KD's metabolic effects on BC cells and current clinical trials involving the KD in BC management. The reviewed studies provide a diverse range of findings, with some suggesting potential benefits of the KD in inhibiting tumor growth and improving treatment response. However, robust clinical trials providing clear evidence of the KD's efficacy as a standalone therapeutic approach in BC are still lacking. There are also significant concerns regarding the safety and long-term effects of sustained ketosis in cancer patients. The therapeutic potential of the KD in BC remains an area of active research and debate. While preliminary find</w:t>
      </w:r>
    </w:p>
    <w:p>
      <w:pPr>
        <w:pStyle w:val="Heading2"/>
      </w:pPr>
      <w:r>
        <w:t>495.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2024:</w:t>
      </w:r>
      <w:r>
        <w:t xml:space="preserve"> The possible future of electric road systems in Europe—time to decide and act — https://doi.org/10.1088/2634-4505/ad3576</w:t>
      </w:r>
    </w:p>
    <w:p>
      <w:pPr/>
      <w:r>
        <w:rPr>
          <w:b/>
        </w:rPr>
        <w:t>Shared claim-specific concepts:</w:t>
      </w:r>
      <w:r>
        <w:t xml:space="preserve"> time, possible, climate; EU scope visible. This is a provisional connection, not an outcome finding.</w:t>
      </w:r>
    </w:p>
    <w:p>
      <w:pPr>
        <w:pStyle w:val="SourceNote"/>
      </w:pPr>
      <w:r>
        <w:rPr>
          <w:b/>
        </w:rPr>
        <w:t>Available abstract (not full text):</w:t>
      </w:r>
      <w:r>
        <w:t xml:space="preserve">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pPr/>
      <w:r>
        <w:rPr>
          <w:b/>
        </w:rPr>
        <w:t>POSSIBLE 2023:</w:t>
      </w:r>
      <w:r>
        <w:t xml:space="preserve"> Possible changes over time: poverty among migrants in the European Union — https://doi.org/10.1080/1331677x.2023.2264377</w:t>
      </w:r>
    </w:p>
    <w:p>
      <w:pPr/>
      <w:r>
        <w:rPr>
          <w:b/>
        </w:rPr>
        <w:t>Shared claim-specific concepts:</w:t>
      </w:r>
      <w:r>
        <w:t xml:space="preserve"> time, possible, increase, reduce; EU scope visible. This is a provisional connection, not an outcome finding.</w:t>
      </w:r>
    </w:p>
    <w:p>
      <w:pPr>
        <w:pStyle w:val="SourceNote"/>
      </w:pPr>
      <w:r>
        <w:rPr>
          <w:b/>
        </w:rPr>
        <w:t>Available abstract (not full text):</w:t>
      </w:r>
      <w:r>
        <w:t xml:space="preserve"> Over the past decade, the countries of the European Union have faced an increase in immigration flows from less developed and politically stable countries. The movement of migrants created new socio-economic challenges that affected their well-being. Thus, it is fair to ask: what influences the income level of migrants? The aim of the article is to study the influence of the selected determinants on the probability of poverty among migrants in the European Union. Using EU-SILC data for 2014 and 2018, we also explore possible changes in the strength of the determinants of poverty, depending on the pre-crisis and post-crisis periods associated with an increase in immigration. We report that immigrant status expressed by the birth outside the EU or holding other than EU citizenship increases the likelihood of being poor. The applied logistic model show that migrant poverty is associated with the level of education achieved, marital status, occupation, and housing ownership. Using macroeconomic variables, we find that the ratio of migrants to population, population size, and social-democratic welfare regime reduce the likelihood of poverty among migrants.</w:t>
      </w:r>
    </w:p>
    <w:p>
      <w:pPr/>
      <w:r>
        <w:rPr>
          <w:b/>
        </w:rPr>
        <w:t>POSSIBLE 2023:</w:t>
      </w:r>
      <w:r>
        <w:t xml:space="preserve"> First Expert Elicitation of Knowledge on Possible Drivers of Observed Increasing Human Cases of Tick-Borne Encephalitis in Europe — https://doi.org/10.3390/v15030791</w:t>
      </w:r>
    </w:p>
    <w:p>
      <w:pPr/>
      <w:r>
        <w:rPr>
          <w:b/>
        </w:rPr>
        <w:t>Shared claim-specific concepts:</w:t>
      </w:r>
      <w:r>
        <w:t xml:space="preserve"> possible, temperature, increase; EU scope visible. This is a provisional connection, not an outcome finding.</w:t>
      </w:r>
    </w:p>
    <w:p>
      <w:pPr>
        <w:pStyle w:val="SourceNote"/>
      </w:pPr>
      <w:r>
        <w:rPr>
          <w:b/>
        </w:rPr>
        <w:t>Available abstract (not full text):</w:t>
      </w:r>
      <w:r>
        <w:t xml:space="preserve"> Tick-borne encephalitis (TBE) is a viral disease endemic in Eurasia. The virus is mainly transmitted to humans via ticks and occasionally via the consumption of unpasteurized milk products. The European Centre for Disease Prevention and Control reported an increase in TBE incidence over the past years in Europe as well as the emergence of the disease in new areas. To better understand this phenomenon, we investigated the drivers of TBE emergence and increase in incidence in humans through an expert knowledge elicitation. We listed 59 possible drivers grouped in eight domains and elicited forty European experts to: (i) allocate a score per driver, (ii) weight this score within each domain, and (iii) weight the different domains and attribute an uncertainty level per domain. An overall weighted score per driver was calculated, and drivers with comparable scores were grouped into three terminal nodes using a regression tree analysis. The drivers with the highest scores were: (i) changes in human behavior/activities; (ii) changes in eating habits or consumer demand; (iii) changes in the landscape; (iv) influence of humidity on the survival and transmission of the pathogen; (v) difficulty to control reservoir(s) and/or vector(s); (vi) influence of temperature on virus survival and transmission; (vii) number of wildlife compartments/groups acting as reservoirs or amplifying hosts; (v</w:t>
      </w:r>
    </w:p>
    <w:p>
      <w:pPr>
        <w:pStyle w:val="Heading2"/>
      </w:pPr>
      <w:r>
        <w:t>496.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497.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pStyle w:val="Heading2"/>
      </w:pPr>
      <w:r>
        <w:t>498.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2024:</w:t>
      </w:r>
      <w:r>
        <w:t xml:space="preserve"> PRENATAL GENETIC STUDY OF THE MAIN ALTERATIONS FOUND IN THE CITY OF GOIÂNIA - GOIÁS — https://doi.org/10.22533/at.ed.1594362410049</w:t>
      </w:r>
    </w:p>
    <w:p>
      <w:pPr/>
      <w:r>
        <w:rPr>
          <w:b/>
        </w:rPr>
        <w:t>Shared claim-specific concepts:</w:t>
      </w:r>
      <w:r>
        <w:t xml:space="preserve"> found, main; EU scope not established. This is a provisional connection, not an outcome finding.</w:t>
      </w:r>
    </w:p>
    <w:p>
      <w:pPr>
        <w:pStyle w:val="SourceNote"/>
      </w:pPr>
      <w:r>
        <w:rPr>
          <w:b/>
        </w:rPr>
        <w:t>Available abstract (not full text):</w:t>
      </w:r>
      <w:r>
        <w:t xml:space="preserve"> Introduction: The first prenatal screening test was introduced in the 1970s: a single second trimester serum test for maternal serum alpha-fetoprotein, a marker of neural tube defects.Screening for aneuploidy using maternal serum markers was introduced in the 1980s, and the number and complexity of screening tests offered has been on an upward trajectory since then.Prenatal genetic screening is used to assess whether there is an increased risk of the fetus being affected by a genetic disorder.Objective: To evaluate the main alterations found in prenatal genetic studies.Methods: This is a cross-sectional, analytical, descriptive epidemiological study that will be carried out at the malformation outpatient clinic of Clínica Fértile with the findings of the last 4 years.Results: We found 73 results with fetal anomalies with a mean maternal age of 32, ranging from 16 years to 45 years.The main indication was due to increased NT with 34 (46.9%) of the cases, amniocentesis was the main test of choice 65 (89%), the age of highest incidence of changes were with maternal age below 35 years in 46 (63%) of the cases.The main alteration found was Trisomy 18, 24 (32.9%)followed by Trisomy 21 23 (31.5%), in women under 35 years the main alteration was Trisomy 18 in 18 (39, 1%) and in women over 35 years old, the main alteration was Trisomy 21, 14 (51.9%).Conclusion: In the studied group, the</w:t>
      </w:r>
    </w:p>
    <w:p>
      <w:pPr/>
      <w:r>
        <w:rPr>
          <w:b/>
        </w:rPr>
        <w:t>POSSIBLE 2023:</w:t>
      </w:r>
      <w:r>
        <w:t xml:space="preserve"> The integration of Lean Six Sigma in the industry: the main difficulties found according to the Integrative Literature Review and the application of opportunities and improvements to optimize results — https://openalex.org/W7155457411</w:t>
      </w:r>
    </w:p>
    <w:p>
      <w:pPr/>
      <w:r>
        <w:rPr>
          <w:b/>
        </w:rPr>
        <w:t>Shared claim-specific concepts:</w:t>
      </w:r>
      <w:r>
        <w:t xml:space="preserve"> found, main, lack, necessary; EU scope not established. This is a provisional connection, not an outcome finding.</w:t>
      </w:r>
    </w:p>
    <w:p>
      <w:pPr>
        <w:pStyle w:val="SourceNote"/>
      </w:pPr>
      <w:r>
        <w:rPr>
          <w:b/>
        </w:rPr>
        <w:t>Available abstract (not full text):</w:t>
      </w:r>
      <w:r>
        <w:t xml:space="preserve"> When considering the constant evolution of the Industry's procedures, standards and production, it is necessary to pay attention to the strategies that allow listing the gain in values with the reduction of waste, improving quality and productivity. Thus, in seeking to eliminate defects as much as possible, emphasis is placed on the Lean Six Sigma (LSS) methodology, which encompasses quantitative management strategies to increase and enhance these gains. In this context, the general objective of this work was to list possibilities for improvements to difficulties pointed out in the literature with regard to the integrated implementation of the LSS. To this end, a qualitative study with an Integrative Literature Review was used to synthesize findings on the main difficulties for the implementation of LSS in Industry, based on articles published between 20182023, also using Research Prism Figure. The results pointed to 10 articles that allowed the grouping of these difficulties into 7 thematic units: lack of technical training of professionals, communication and relationship failures, disregarding customer opinions and feedback, poorly designed and managed projects, waste of materials, equipment and materials of low quality and the need for Constant calibration of machines and equipment. From this data collection, it was possible to list the importance of seeking solutions for ea</w:t>
      </w:r>
    </w:p>
    <w:p>
      <w:pPr/>
      <w:r>
        <w:rPr>
          <w:b/>
        </w:rPr>
        <w:t>POSSIBLE 2023:</w:t>
      </w:r>
      <w:r>
        <w:t xml:space="preserve"> Examples Concerning the Main Result — https://doi.org/10.1007/978-3-031-27704-7_11</w:t>
      </w:r>
    </w:p>
    <w:p>
      <w:pPr/>
      <w:r>
        <w:rPr>
          <w:b/>
        </w:rPr>
        <w:t>Shared claim-specific concepts:</w:t>
      </w:r>
      <w:r>
        <w:t xml:space="preserve"> result, main, apply, necessary; EU scope not established. This is a provisional connection, not an outcome finding.</w:t>
      </w:r>
    </w:p>
    <w:p>
      <w:pPr>
        <w:pStyle w:val="SourceNote"/>
      </w:pPr>
      <w:r>
        <w:rPr>
          <w:b/>
        </w:rPr>
        <w:t>Available abstract (not full text):</w:t>
      </w:r>
      <w:r>
        <w:t xml:space="preserve"> Abstract We study whether it is possible to apply twisted Laplace spectra (and, if so, how many are necessary) to deduce isometry of some well-known examples of isospectral manifolds in the literature, due to Schüth (simply connected manifolds), Ikeda (lens spaces), Vignéras/Linowitz and Voight (arithmetic surfaces), Milnor (lattice examples), Doyle and Rossetti (Tetra and Didi), Sunada (based on group-theoretical examples from Gerst, Gaßmann and Komatsu), Brooks and Tse (surfaces of small genus, Riemann surfaces of small genus), Barden and Kang (surfaces of genus two), and Miatello and Rossetti (flat manifolds isospectral for all twists by linear characters).</w:t>
      </w:r>
    </w:p>
    <w:p>
      <w:pPr/>
      <w:r>
        <w:rPr>
          <w:b/>
        </w:rPr>
        <w:t>POSSIBLE 2023:</w:t>
      </w:r>
      <w:r>
        <w:t xml:space="preserve"> Gold-Mining Offices of Siberia in 1923–1925: Main Results of Activity — https://doi.org/10.31518/2618-9100-2023-1-15</w:t>
      </w:r>
    </w:p>
    <w:p>
      <w:pPr/>
      <w:r>
        <w:rPr>
          <w:b/>
        </w:rPr>
        <w:t>Shared claim-specific concepts:</w:t>
      </w:r>
      <w:r>
        <w:t xml:space="preserve"> found, main, time; EU scope not established. This is a provisional connection, not an outcome finding.</w:t>
      </w:r>
    </w:p>
    <w:p>
      <w:pPr>
        <w:pStyle w:val="SourceNote"/>
      </w:pPr>
      <w:r>
        <w:rPr>
          <w:b/>
        </w:rPr>
        <w:t>Available abstract (not full text):</w:t>
      </w:r>
      <w:r>
        <w:t xml:space="preserve"> The main purpose of the article is to analyze the activities of four gold-mining offices in Siberia for the entire period of their existence (1923)(1924)(1925), to determine their role and significance in Siberian gold mining.The relevance of the research is determined by the fact that significant gaps in the historiography of the industrial development of Siberia of the 1920s are filled, the experience of organizational work and the main results of the activities of small-scale gold industry units in the conditions of the new economic policy are studied.The author used historical-genetic, historical-comparative, concrete-historical methods.The methodological basis of the research is a region-oriented approach developed within the framework of modernization theory.In the course of the study, it was established that the Altai, Irkutsk, Krasnoyarsk and Tomsk gold-mining offices were organized by the Siberian authorities under the general leadership of Sibprombyuro to involve a huge mass of remote mines in the operation.These divisions gave organizational stability to mining operations in their areas of activity and consistently implemented a course of transition from buying gold to organizing prospecting works.At the same time, gold-mining offices failed to satisfactorily resolve a number of acute problems: to ensure their own self-sufficiency, organize geological exploration, me</w:t>
      </w:r>
    </w:p>
    <w:p>
      <w:pPr>
        <w:pStyle w:val="Heading2"/>
      </w:pPr>
      <w:r>
        <w:t>499.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multidimensional, age, educational, attainment;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Monitoring socioeconomic readiness for the demographic transition: Introducing the Senior Economy Tracker — https://doi.org/10.1016/j.strueco.2024.08.007</w:t>
      </w:r>
    </w:p>
    <w:p>
      <w:pPr/>
      <w:r>
        <w:rPr>
          <w:b/>
        </w:rPr>
        <w:t>Shared claim-specific concepts:</w:t>
      </w:r>
      <w:r>
        <w:t xml:space="preserve"> multidimensional, demographic; EU scope visible. This is a provisional connection, not an outcome finding.</w:t>
      </w:r>
    </w:p>
    <w:p>
      <w:pPr>
        <w:pStyle w:val="SourceNote"/>
      </w:pPr>
      <w:r>
        <w:rPr>
          <w:b/>
        </w:rPr>
        <w:t>Available abstract (not full text):</w:t>
      </w:r>
      <w:r>
        <w:t xml:space="preserve">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pPr/>
      <w:r>
        <w:rPr>
          <w:b/>
        </w:rPr>
        <w:t>POSSIBLE 2024:</w:t>
      </w:r>
      <w:r>
        <w:t xml:space="preserve"> Multidimensional comparative analysis of the number of students in Poland with the view to the demographic crisis and its impact on social security — https://doi.org/10.13166/jms/199491</w:t>
      </w:r>
    </w:p>
    <w:p>
      <w:pPr/>
      <w:r>
        <w:rPr>
          <w:b/>
        </w:rPr>
        <w:t>Shared claim-specific concepts:</w:t>
      </w:r>
      <w:r>
        <w:t xml:space="preserve"> multidimensional, demographic, compared, age, educational; EU scope visible. This is a provisional connection, not an outcome finding.</w:t>
      </w:r>
    </w:p>
    <w:p>
      <w:pPr>
        <w:pStyle w:val="SourceNote"/>
      </w:pPr>
      <w:r>
        <w:rPr>
          <w:b/>
        </w:rPr>
        <w:t>Available abstract (not full text):</w:t>
      </w:r>
      <w:r>
        <w:t xml:space="preserve">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pPr/>
      <w:r>
        <w:rPr>
          <w:b/>
        </w:rPr>
        <w:t>POSSIBLE 2023:</w:t>
      </w:r>
      <w:r>
        <w:t xml:space="preserve"> Demographics, Land lease and Multidimensional Poverty Alleviation — https://doi.org/10.21203/rs.3.rs-3461329/v1</w:t>
      </w:r>
    </w:p>
    <w:p>
      <w:pPr/>
      <w:r>
        <w:rPr>
          <w:b/>
        </w:rPr>
        <w:t>Shared claim-specific concepts:</w:t>
      </w:r>
      <w:r>
        <w:t xml:space="preserve"> multidimensional, demographic; EU scope not established. This is a provisional connection, not an outcome finding.</w:t>
      </w:r>
    </w:p>
    <w:p>
      <w:pPr>
        <w:pStyle w:val="SourceNote"/>
      </w:pPr>
      <w:r>
        <w:rPr>
          <w:b/>
        </w:rPr>
        <w:t>Available abstract (not full text):</w:t>
      </w:r>
      <w:r>
        <w:t xml:space="preserve"> Abstract In the context of the focus of poverty governance in China shifting from eradicating absolute poverty to alleviating multidimensional poverty after comprehensive poverty eradication, this paper incorporates demographic aging, demographic feminization, and Land lease into the analytical framework based on the demographic perspective. Based on the 2018 China Family Panel Studies (CFPS) sample survey data of 5,760 farm households, the impact of demographic structure on multidimensional poverty alleviation is empirically analyzed using the least squares (OLS) model. Attention is also paid to the heterogeneity of different regions and incomes on the alleviation of multidimensional poverty, and the logit model is applied to test it. The conclusions of the study are as follows: (1) Demographic aging has a significant negative effect on multidimensional poverty alleviation. Demographic feminization has a significant positive effect on multidimensional poverty alleviation. (2) Demographic aging has a significant contribution to Land lease and helps alleviate multidimensional poverty. (3) Demographic aging has a significant negative effect on multidimensional poverty alleviation in the eastern region, and demographic feminization has a significant positive effect on multidimensional poverty alleviation in the central region. (4) Demographic aging has a significant negative effec</w:t>
      </w:r>
    </w:p>
    <w:p>
      <w:pPr/>
      <w:r>
        <w:rPr>
          <w:b/>
        </w:rPr>
        <w:t>POSSIBLE 2023:</w:t>
      </w:r>
      <w:r>
        <w:t xml:space="preserve"> The impact of ICT and robots on labour market outcomes of demographic groups in Europe — https://doi.org/10.1016/j.labeco.2023.102481</w:t>
      </w:r>
    </w:p>
    <w:p>
      <w:pPr/>
      <w:r>
        <w:rPr>
          <w:b/>
        </w:rPr>
        <w:t>Shared claim-specific concepts:</w:t>
      </w:r>
      <w:r>
        <w:t xml:space="preserve"> demographic, labour; EU scope visible. This is a provisional connection, not an outcome finding.</w:t>
      </w:r>
    </w:p>
    <w:p>
      <w:pPr>
        <w:pStyle w:val="SourceNote"/>
      </w:pPr>
      <w:r>
        <w:rPr>
          <w:b/>
        </w:rPr>
        <w:t>Available abstract (not full text):</w:t>
      </w:r>
      <w:r>
        <w:t xml:space="preserve"> Unavailable</w:t>
      </w:r>
    </w:p>
    <w:p>
      <w:pPr>
        <w:pStyle w:val="Heading2"/>
      </w:pPr>
      <w:r>
        <w:t>500.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2023:</w:t>
      </w:r>
      <w:r>
        <w:t xml:space="preserve"> Integration of migrant and refugee data in health information systems in Europe: advancing evidence, policy and practice — https://doi.org/10.1016/j.lanepe.2023.100744</w:t>
      </w:r>
    </w:p>
    <w:p>
      <w:pPr/>
      <w:r>
        <w:rPr>
          <w:b/>
        </w:rPr>
        <w:t>Shared claim-specific concepts:</w:t>
      </w:r>
      <w:r>
        <w:t xml:space="preserve"> about, not, methods, management, based; EU scope visible. This is a provisional connection, not an outcome finding.</w:t>
      </w:r>
    </w:p>
    <w:p>
      <w:pPr>
        <w:pStyle w:val="SourceNote"/>
      </w:pPr>
      <w:r>
        <w:rPr>
          <w:b/>
        </w:rPr>
        <w:t>Available abstract (not full text):</w:t>
      </w:r>
      <w:r>
        <w:t xml:space="preserve">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pStyle w:val="Heading2"/>
      </w:pPr>
      <w:r>
        <w:t>501.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r>
        <w:rPr>
          <w:b/>
        </w:rPr>
        <w:t>POSSIBLE 2025:</w:t>
      </w:r>
      <w:r>
        <w:t xml:space="preserve"> Antibiotic Use in Livestock Production and Progress Made with Regulations in Europe and Africa: Implications for Illness Prevention and Health Promotion — https://doi.org/10.1007/978-981-97-0821-5_104-1</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pPr/>
      <w:r>
        <w:rPr>
          <w:b/>
        </w:rPr>
        <w:t>POSSIBLE 2024:</w:t>
      </w:r>
      <w:r>
        <w:t xml:space="preserve"> The urgency of hydrogen: environmental issues and the need for change — https://doi.org/10.55670/fpll.fusus.2.2.5</w:t>
      </w:r>
    </w:p>
    <w:p>
      <w:pPr/>
      <w:r>
        <w:rPr>
          <w:b/>
        </w:rPr>
        <w:t>Shared claim-specific concepts:</w:t>
      </w:r>
      <w:r>
        <w:t xml:space="preserve"> need, climate, decarbonization; EU scope not established. This is a provisional connection, not an outcome finding.</w:t>
      </w:r>
    </w:p>
    <w:p>
      <w:pPr>
        <w:pStyle w:val="SourceNote"/>
      </w:pPr>
      <w:r>
        <w:rPr>
          <w:b/>
        </w:rPr>
        <w:t>Available abstract (not full text):</w:t>
      </w:r>
      <w:r>
        <w:t xml:space="preserve">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pPr/>
      <w:r>
        <w:rPr>
          <w:b/>
        </w:rPr>
        <w:t>POSSIBLE 2024:</w:t>
      </w:r>
      <w:r>
        <w:t xml:space="preserve"> We urgently need data for equitable personalized medicine — https://doi.org/10.1146/knowable-011724-1</w:t>
      </w:r>
    </w:p>
    <w:p>
      <w:pPr/>
      <w:r>
        <w:rPr>
          <w:b/>
        </w:rPr>
        <w:t>Shared claim-specific concepts:</w:t>
      </w:r>
      <w:r>
        <w:t xml:space="preserve"> need, information, focusing; EU scope visible. This is a provisional connection, not an outcome finding.</w:t>
      </w:r>
    </w:p>
    <w:p>
      <w:pPr>
        <w:pStyle w:val="SourceNote"/>
      </w:pPr>
      <w:r>
        <w:rPr>
          <w:b/>
        </w:rPr>
        <w:t>Available abstract (not full text):</w:t>
      </w:r>
      <w:r>
        <w:t xml:space="preserve">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502.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Review on organ-on-chips for medicines safety assessment: A European regulatory perspective — https://doi.org/10.14573/altex.2502061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2025:</w:t>
      </w:r>
      <w:r>
        <w:t xml:space="preserve"> Capability Development in the European Medicines Regulatory Network—A European Learning Needs Analysis and Survey Study — https://doi.org/10.1002/cpt.70158</w:t>
      </w:r>
    </w:p>
    <w:p>
      <w:pPr/>
      <w:r>
        <w:rPr>
          <w:b/>
        </w:rPr>
        <w:t>Shared claim-specific concepts:</w:t>
      </w:r>
      <w:r>
        <w:t xml:space="preserve"> medicines, agency, technological, medicinal, products, challenges; EU scope visible. This is a provisional connection, not an outcome finding.</w:t>
      </w:r>
    </w:p>
    <w:p>
      <w:pPr>
        <w:pStyle w:val="SourceNote"/>
      </w:pPr>
      <w:r>
        <w:rPr>
          <w:b/>
        </w:rPr>
        <w:t>Available abstract (not full text):</w:t>
      </w:r>
      <w:r>
        <w:t xml:space="preserve">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pPr/>
      <w:r>
        <w:rPr>
          <w:b/>
        </w:rPr>
        <w:t>POSSIBLE 2025:</w:t>
      </w:r>
      <w:r>
        <w:t xml:space="preserve"> Review on organ-on-chips for medicines safety assessment: A European regulatory perspective_suppl1 — https://doi.org/10.14573/altex.2502061s1</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pPr/>
      <w:r>
        <w:rPr>
          <w:b/>
        </w:rPr>
        <w:t>POSSIBLE 2024:</w:t>
      </w:r>
      <w:r>
        <w:t xml:space="preserve"> The life cycle of vaccines evaluated by the European Medicines Agency — https://doi.org/10.1016/j.vaccine.2024.126186</w:t>
      </w:r>
    </w:p>
    <w:p>
      <w:pPr/>
      <w:r>
        <w:rPr>
          <w:b/>
        </w:rPr>
        <w:t>Shared claim-specific concepts:</w:t>
      </w:r>
      <w:r>
        <w:t xml:space="preserve"> medicines, agency, products, challenges, adoption; EU scope visible. This is a provisional connection, not an outcome finding.</w:t>
      </w:r>
    </w:p>
    <w:p>
      <w:pPr>
        <w:pStyle w:val="SourceNote"/>
      </w:pPr>
      <w:r>
        <w:rPr>
          <w:b/>
        </w:rPr>
        <w:t>Available abstract (not full text):</w:t>
      </w:r>
      <w:r>
        <w:t xml:space="preserve"> BACKGROUND: vaccines are complex products used in healthy populations. They should be carefully regulated, and benefits should clearly outweigh risks. OBJECTIVES: To describe the evidence used to support benefit-risk evaluations of vaccines centrally assessed by the European Medicines Agency (EMA), and to identify if real-world data (RWD) was used throughout the vaccine life cycle. METHODS: Cohort study of vaccines approved in the European Union. Inclusion criteria comprised having ATC code J07 and being centrally approved between 2012 and 2022. We collected data from regulatory documents, study protocols, and, when necessary, from scientific publications. Vaccines were followed from initial approval up to March 2023. RESULTS: We included 31 vaccines addressing 17 therapeutic areas. More than 390 studies were used in the process of initial marketing authorisation (MA) and monitoring, and 174 studies were listed in initial risk management plans. We also identified 93 studies in the EU PAS register. At MA, all vaccines had at least one pivotal trial and 27 vaccines had at least one supportive study. Most pivotal trials were randomized, double-blinded and active-controlled, with immunogenicity endpoints as primary outcome. RWD was used for extension of indications and monitoring of at least 4 vaccines, and the undertaking of RWE studies was foreseen in the RMP of at least 17 vacci</w:t>
      </w:r>
    </w:p>
    <w:p>
      <w:pPr/>
      <w:r>
        <w:rPr>
          <w:b/>
        </w:rPr>
        <w:t>POSSIBLE 2023:</w:t>
      </w:r>
      <w:r>
        <w:t xml:space="preserve"> Real world evidence: Perspectives from a European Society of Cardiology Cardiovascular Round Table with contribution from the European Medicines Agency — https://doi.org/10.1093/ehjqcco/qcad009</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Real world data (RWD) refers to healthcare information that is routinely collected in electronic healthcare records (EHR), hospital and pharmacy records, patient and disease registries, and health insurance databases. The collection and analysis of this vast amount of data is an important complement to that obtained from conventional randomised controlled trials (RCT). Real world data has been used for healthcare quality improvements, to conduct clinical trials, to support drug and device development, and to inform medical guidelines. The utility of RWD may be facilitated by common data models, which standardise format and content, and allow data from different health systems to be analysed together. The European Society of Cardiology (ESC) supports the use of RWD in collaboration with national cardiac societies, regulatory authorities, and industry to encourage continuous quality of care improvements at the hospital and country level, to conduct registry-based randomised clinical trials (R-RCT) and to facilitate safety surveillance of novel drugs and devices. The European Medicines Agency (EMA) is developing systems and processes to enable the use of RWD that can help in trial planning, defining clinical contexts, and enhancing outcome assessments. RWD can also contribute to the measurement of the impact of regulatory actions, such as contraindications or restriction of indica</w:t>
      </w:r>
    </w:p>
    <w:p>
      <w:pPr/>
      <w:r>
        <w:rPr>
          <w:b/>
        </w:rPr>
        <w:t>POSSIBLE 2023:</w:t>
      </w:r>
      <w:r>
        <w:t xml:space="preserve"> The European Medicines Agency assessment of mavacamten as treatment of symptomatic obstructive hypertrophic cardiomyopathy in adult patients — https://doi.org/10.1093/eurheartj/ehad429</w:t>
      </w:r>
    </w:p>
    <w:p>
      <w:pPr/>
      <w:r>
        <w:rPr>
          <w:b/>
        </w:rPr>
        <w:t>Shared claim-specific concepts:</w:t>
      </w:r>
      <w:r>
        <w:t xml:space="preserve"> context, medicines, agency, relevant, medicinal, products; EU scope visible. This is a provisional connection, not an outcome finding.</w:t>
      </w:r>
    </w:p>
    <w:p>
      <w:pPr>
        <w:pStyle w:val="SourceNote"/>
      </w:pPr>
      <w:r>
        <w:rPr>
          <w:b/>
        </w:rPr>
        <w:t>Available abstract (not full text):</w:t>
      </w:r>
      <w:r>
        <w:t xml:space="preserve"> Obstructive hypertrophic cardiomyopathy (oHCM) affects approximately 1.6 per 10 000 inhabitants of the European Union (EU).1 Currently, there are no approved disease-specific or sarcomere-targeted therapies for oHCM. On 30 September 2021, Bristol-Myers Squibb Pharma EEIG applied for an initial marketing authorisation via the European Medicines Agency (EMA) centralised procedure for mavacamten (Camzyos®) for the treatment of symptomatic (New York Heart Association, NYHA, class II-III) oHCM in adult patients. The review was conducted by EMA’s Committee for Medicinal Products for Human Use (CHMP), and a positive opinion was issued on 26 April, 2023, this being the first EU approval of a cardiac myosin inhibitor. Mavacamten is a modulator of beta-cardiac myosin that reversibly inhibits its binding to actin, diminishing sarcomere force output to reduce myocardial contractility and improve ventricular compliance. It is available in capsules containing 2.5, 5, 10, or 15 mg. Mavacamten is mainly metabolised by CYP2C19, and elimination half-life strongly depends on the CYP2C19 phenotype, ranging from 72 to 533 h. Cytochrome P450 CYP2C19 genotype should therefore be determined. Having two loss-of-function alleles (*2/*2, *2/*3, *3/*3) results in a Poor Metaboliser phenotype, which has a frequency of slightly over 2% in the European population and up to 18% in the Asian population.2 The r</w:t>
      </w:r>
    </w:p>
    <w:p>
      <w:pPr>
        <w:pStyle w:val="Heading2"/>
      </w:pPr>
      <w:r>
        <w:t>503.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2025:</w:t>
      </w:r>
      <w:r>
        <w:t xml:space="preserve"> Unravelling potential plant health threats for the European Union: application of horizon scanning methodology — https://doi.org/10.5194/we-25-189-2025</w:t>
      </w:r>
    </w:p>
    <w:p>
      <w:pPr/>
      <w:r>
        <w:rPr>
          <w:b/>
        </w:rPr>
        <w:t>Shared claim-specific concepts:</w:t>
      </w:r>
      <w:r>
        <w:t xml:space="preserve"> horizon, actions, areas, efsa, preparedness, challenges; EU scope visible. This is a provisional connection, not an outcome finding.</w:t>
      </w:r>
    </w:p>
    <w:p>
      <w:pPr>
        <w:pStyle w:val="SourceNote"/>
      </w:pPr>
      <w:r>
        <w:rPr>
          <w:b/>
        </w:rPr>
        <w:t>Available abstract (not full text):</w:t>
      </w:r>
      <w:r>
        <w:t xml:space="preserve">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pPr/>
      <w:r>
        <w:rPr>
          <w:b/>
        </w:rPr>
        <w:t>POSSIBLE 2025:</w:t>
      </w:r>
      <w:r>
        <w:t xml:space="preserve"> OP57 Introducing The New MedTech Innovation Scanning Techniques Framework: A Tool For Guiding Horizon Scanning Of MedTech Innovations — https://doi.org/10.1017/s0266462325101153</w:t>
      </w:r>
    </w:p>
    <w:p>
      <w:pPr/>
      <w:r>
        <w:rPr>
          <w:b/>
        </w:rPr>
        <w:t>Shared claim-specific concepts:</w:t>
      </w:r>
      <w:r>
        <w:t xml:space="preserve"> horizon, recommended, scanning, direction; EU scope visible. This is a provisional connection, not an outcome finding.</w:t>
      </w:r>
    </w:p>
    <w:p>
      <w:pPr>
        <w:pStyle w:val="SourceNote"/>
      </w:pPr>
      <w:r>
        <w:rPr>
          <w:b/>
        </w:rPr>
        <w:t>Available abstract (not full text):</w:t>
      </w:r>
      <w:r>
        <w:t xml:space="preserve"> Introduction Horizon scanning (HS) identifies future trends and weak signals, aiding timely healthcare decisions, but lacks a formal framework. The Innovation Observatory’s MedTech Horizon Scanning Techniques (MIST) framework integrates evidence synthesis, HS methods, and foresight approaches. MIST aligns scanning techniques with foresight stages and the technology development pipeline, offering a structured approach to detect emerging science and technology trends for healthcare advancements. Methods The MIST framework was developed iteratively, combining HS expertise with regulatory knowledge of medical devices. First, a MedTech development pathway was established with international HS agencies, providing a foundation. Second, the pathway was mapped against the regulatory milestones involved in medical technology development from ideation to post-marketing according to recent European legislation. Last, we overlaid the foresight “Three Horizons Model” with the development stages to produce a framework that combines different innovation stages with their regulatory requirements and maps sources of weak signal detection to the horizons where those sources are most likely to be relevant. Results Our MIST framework presents three horizons: emerging, transitional, and imminent. Each horizon maps to different technology readiness levels, life cycle stages, time periods, and regulat</w:t>
      </w:r>
    </w:p>
    <w:p>
      <w:pPr/>
      <w:r>
        <w:rPr>
          <w:b/>
        </w:rPr>
        <w:t>POSSIBLE 2025:</w:t>
      </w:r>
      <w:r>
        <w:t xml:space="preserve"> Invasive Alien Species Horizon Scanning in support of implementation of Regulation 1143/2014 — https://openalex.org/W7128121341</w:t>
      </w:r>
    </w:p>
    <w:p>
      <w:pPr/>
      <w:r>
        <w:rPr>
          <w:b/>
        </w:rPr>
        <w:t>Shared claim-specific concepts:</w:t>
      </w:r>
      <w:r>
        <w:t xml:space="preserve"> horizon, resulted, six, challenges, scanning, considered; EU scope visible. This is a provisional connection, not an outcome finding.</w:t>
      </w:r>
    </w:p>
    <w:p>
      <w:pPr>
        <w:pStyle w:val="SourceNote"/>
      </w:pPr>
      <w:r>
        <w:rPr>
          <w:b/>
        </w:rPr>
        <w:t>Available abstract (not full text):</w:t>
      </w:r>
      <w:r>
        <w:t xml:space="preserve"> At the core of Regulation (EU) 1143/2014 is a list of invasive alien species of Union concern. An EU-level horizon scanning for species that can be added to this list was undertaken, aiming to derive at least 100 species likely to arrive, establish, spread and have an impact on native biodiversity or ecosystem services over the next ten years. An updated methodology was put together, consisting of gathering species lists from global horizon scanning exercises and additional databases. These lists were refined, after which a rapid assessment of each species was undertaken, followed by consensus building to achieve a final list of prioritised species through an in-person workshop. This resulted in 165 species considered the most likely to enter or spread in the EU, with 57 of these presenting the highest threats to biodiversity. Possible challenges to listing species under the Regulation were identified and discussed, such as insufficient or uncertain data, management feasibility or resource constraints, and push back by different stakeholders. Finally, 49 genera and six families were identified as taxonomic groups where a high number of invasive species would call for additional policy measures to prevent their negative impact on European biodiversity.</w:t>
      </w:r>
    </w:p>
    <w:p>
      <w:pPr>
        <w:pStyle w:val="Heading2"/>
      </w:pPr>
      <w:r>
        <w:t>504.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2024:</w:t>
      </w:r>
      <w:r>
        <w:t xml:space="preserve"> Mesopelagic Fish Traits: Functions and Trade‐Offs — https://doi.org/10.1111/faf.12867</w:t>
      </w:r>
    </w:p>
    <w:p>
      <w:pPr/>
      <w:r>
        <w:rPr>
          <w:b/>
        </w:rPr>
        <w:t>Shared claim-specific concepts:</w:t>
      </w:r>
      <w:r>
        <w:t xml:space="preserve"> trade, offs, interactions, attention; EU scope not established. This is a provisional connection, not an outcome finding.</w:t>
      </w:r>
    </w:p>
    <w:p>
      <w:pPr>
        <w:pStyle w:val="SourceNote"/>
      </w:pPr>
      <w:r>
        <w:rPr>
          <w:b/>
        </w:rPr>
        <w:t>Available abstract (not full text):</w:t>
      </w:r>
      <w:r>
        <w:t xml:space="preserve"> ABSTRACT Fishes inhabiting the mesopelagic zone of the world's oceans are estimated to account for the majority of the world's fish biomass. They have recently attracted new attention because they are part of the biological carbon pump and have been reconsidered as a contribution to food security. Hence, there is an urgent need to understand how environmental conditions and species interactions shape their assemblages, and how they contribute to the functioning of marine ecosystems. Trait‐based approaches are valuable for addressing these types of questions. However, the biology and ecology of mesopelagic fishes are understudied compared to fishes in shallow and epipelagic waters. Here, we synthesise existing knowledge of traits of mesopelagic fishes and relate them to their role in survival, feeding and growth and reproduction, the key functions that contribute to fitness. Vertical migrations, specialised vision and the use of bioluminescence are among the most striking adaptations to the conditions in the mesopelagic realm. Many traits are interrelated as a result of trade‐offs, which may help to understand selection pressures. While morphological traits are straightforward to observe, major knowledge gaps exist for traits that require frequent sampling, assessment under experimental conditions or age determination. The unique adaptations of mesopelagic fishes need to be incl</w:t>
      </w:r>
    </w:p>
    <w:p>
      <w:pPr/>
      <w:r>
        <w:rPr>
          <w:b/>
        </w:rPr>
        <w:t>POSSIBLE 2024:</w:t>
      </w:r>
      <w:r>
        <w:t xml:space="preserve"> Cross‐border dimensions of Arctic climate change impacts and implications for Europe — https://doi.org/10.1002/wcc.905</w:t>
      </w:r>
    </w:p>
    <w:p>
      <w:pPr/>
      <w:r>
        <w:rPr>
          <w:b/>
        </w:rPr>
        <w:t>Shared claim-specific concepts:</w:t>
      </w:r>
      <w:r>
        <w:t xml:space="preserve"> trade, offs, between;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2023:</w:t>
      </w:r>
      <w:r>
        <w:t xml:space="preserve"> Beyond trade: The European Union - New Zealand Free Trade Agreement — https://doi.org/10.30722/anzjes.vol15.iss1.17363</w:t>
      </w:r>
    </w:p>
    <w:p>
      <w:pPr/>
      <w:r>
        <w:rPr>
          <w:b/>
        </w:rPr>
        <w:t>Shared claim-specific concepts:</w:t>
      </w:r>
      <w:r>
        <w:t xml:space="preserve"> evident, trade, agenda; EU scope visible. This is a provisional connection, not an outcome finding.</w:t>
      </w:r>
    </w:p>
    <w:p>
      <w:pPr>
        <w:pStyle w:val="SourceNote"/>
      </w:pPr>
      <w:r>
        <w:rPr>
          <w:b/>
        </w:rPr>
        <w:t>Available abstract (not full text):</w:t>
      </w:r>
      <w:r>
        <w:t xml:space="preserve"> The 2022 announcement of the European Union- New Zealand Free Trade Agreement was seminal for both sides. For New Zealand, the deal is projected to be worth up to an extra NZ$1.8 billion per annum by 2035. What is less evident is the motivation for securing the deal for Europe – New Zealand is only the EU’s 50th most important trading partner and accounts for 0.2% of its total trade. This article outlines three major benefits for the EU. Firstly, it symbolises that the EU’s neoliberal trading agenda is continuing in the face of perceived increased protectionism. Second, the deal includes a seminal clause of holding each partner to account in climate change responsibilities – a detail that should garner support from EU citizens. Finally, closer EU cooperation with New Zealand may add to the EU’s legitimacy in the Indo-Pacific.</w:t>
      </w:r>
    </w:p>
    <w:p>
      <w:pPr/>
      <w:r>
        <w:rPr>
          <w:b/>
        </w:rPr>
        <w:t>POSSIBLE 2023:</w:t>
      </w:r>
      <w:r>
        <w:t xml:space="preserve"> Is there a trade-off between productivity and employment? — https://doi.org/10.1787/99bede51-en</w:t>
      </w:r>
    </w:p>
    <w:p>
      <w:pPr/>
      <w:r>
        <w:rPr>
          <w:b/>
        </w:rPr>
        <w:t>Shared claim-specific concepts:</w:t>
      </w:r>
      <w:r>
        <w:t xml:space="preserve"> between, countries, progress; EU scope not established. This is a provisional connection, not an outcome finding.</w:t>
      </w:r>
    </w:p>
    <w:p>
      <w:pPr>
        <w:pStyle w:val="SourceNote"/>
      </w:pPr>
      <w:r>
        <w:rPr>
          <w:b/>
        </w:rPr>
        <w:t>Available abstract (not full text):</w:t>
      </w:r>
      <w:r>
        <w:t xml:space="preserve"> The impact of productivity on employment remains uncertain, particularly in light of growing concerns regarding potential negative effects of technological progress on labour demand. This report uses harmonised and comparable data from 13 countries spanning the last two decades to comprehensively analyse how productivity growth affects employment dynamics at various levels of aggregation. The study's findings highlight a positive correlation between productivity growth and employment as well as wage growth, both at the firm level and on a broader scale. This outcome arises from counteracting mechanisms and heterogeneous dynamics across different groups of firms. The findings have relevant policy implications: productivity is not just an isolated key economic objective, but well-designed and complementary policies can also help convert technological and organisational change into higher employment and wage growth.</w:t>
      </w:r>
    </w:p>
    <w:p>
      <w:pPr>
        <w:pStyle w:val="Heading2"/>
      </w:pPr>
      <w:r>
        <w:t>505.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2024:</w:t>
      </w:r>
      <w:r>
        <w:t xml:space="preserve"> Projection of the number of new lymphoma cases in the world — https://doi.org/10.1093/jjco/hyae147</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pPr/>
      <w:r>
        <w:rPr>
          <w:b/>
        </w:rPr>
        <w:t>POSSIBLE 2024:</w:t>
      </w:r>
      <w:r>
        <w:t xml:space="preserve"> Projection of the number of new cases of ovarian cancer in the world — https://doi.org/10.1093/jjco/hyad191</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estimated, number, cases, between;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Projection of the number of new brain and central nervous system cancer cases in the world — https://doi.org/10.1093/jjco/hyae165</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pPr/>
      <w:r>
        <w:rPr>
          <w:b/>
        </w:rPr>
        <w:t>POSSIBLE 2024:</w:t>
      </w:r>
      <w:r>
        <w:t xml:space="preserve"> Ammonia emission estimates using CrIS satellite observations over Europe — https://doi.org/10.5194/acp-24-10583-2024</w:t>
      </w:r>
    </w:p>
    <w:p>
      <w:pPr/>
      <w:r>
        <w:rPr>
          <w:b/>
        </w:rPr>
        <w:t>Shared claim-specific concepts:</w:t>
      </w:r>
      <w:r>
        <w:t xml:space="preserve"> number, use;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r>
        <w:rPr>
          <w:b/>
        </w:rPr>
        <w:t>POSSIBLE 2024:</w:t>
      </w:r>
      <w:r>
        <w:t xml:space="preserve"> Projection of the number of new cases of prostate cancer in the world — https://doi.org/10.1093/jjco/hyae030</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Projection of the number of new liver cancer cases in the world — https://doi.org/10.1093/jjco/hyad126</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liver and intrahepatic bile ducts cancer cases from 2020 to 2040 between Japan and other countries, we extracted information on reported projection of the number of new cancer cases from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shows the trend in the estimated numbers of liver cancer cases for males. In 2020, the estimated numbers of cases were highest in China (302 598; represented according to the right Y-axis of the graph of Asia because of extremely higher number than other countries) followed by Japan (29 854), the USA (29 713), Thailand (18 268), Egypt (18 145) and Republic Korea (10 926). In other countries, such as Europe and Oceania, the estimated numbers of cases were &lt;10 000 cases, especially low i</w:t>
      </w:r>
    </w:p>
    <w:p>
      <w:pPr/>
      <w:r>
        <w:rPr>
          <w:b/>
        </w:rPr>
        <w:t>POSSIBLE 2023:</w:t>
      </w:r>
      <w:r>
        <w:t xml:space="preserve"> Projection of the number of new cases of kidney and renal pelvis cancer in the world — https://doi.org/10.1093/jjco/hyad146</w:t>
      </w:r>
    </w:p>
    <w:p>
      <w:pPr/>
      <w:r>
        <w:rPr>
          <w:b/>
        </w:rPr>
        <w:t>Shared claim-specific concepts:</w:t>
      </w:r>
      <w:r>
        <w:t xml:space="preserve"> estimated, number, cases, until, constant, increase; EU scope visible. This is a provisional connection, not an outcome finding.</w:t>
      </w:r>
    </w:p>
    <w:p>
      <w:pPr>
        <w:pStyle w:val="SourceNote"/>
      </w:pPr>
      <w:r>
        <w:rPr>
          <w:b/>
        </w:rPr>
        <w:t>Available abstract (not full text):</w:t>
      </w:r>
      <w:r>
        <w:t xml:space="preserve"> In order to compare the estimated number of kidney and renal pelvis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predicted number of cases by 2040 relative to the number of cases in 2020 for each country. Estimated number of new kidney and renal pelvis cancer cases from 2020 to 2040 (Male). Figure 1 shows the trend in the estimated numbers of kidney and renal pelvis cancer cases for males. Notice that results for China (shown in the leftmost graph) and for the USA (shown in the second graph from the left) are to be interpreted with reference to the right Y-axis, by contrast with results for all other countries, given with reference to the left Y-axis of each graph. In 2020, the highest number of new ca</w:t>
      </w:r>
    </w:p>
    <w:p>
      <w:pPr/>
      <w:r>
        <w:rPr>
          <w:b/>
        </w:rPr>
        <w:t>POSSIBLE 2023:</w:t>
      </w:r>
      <w:r>
        <w:t xml:space="preserve"> Incidence of Syndromes Associated With Frontotemporal Lobar Degeneration in 9 European Countries — https://doi.org/10.1001/jamaneurol.2022.5128</w:t>
      </w:r>
    </w:p>
    <w:p>
      <w:pPr/>
      <w:r>
        <w:rPr>
          <w:b/>
        </w:rPr>
        <w:t>Shared claim-specific concepts:</w:t>
      </w:r>
      <w:r>
        <w:t xml:space="preserve"> estimated, number, cases, increase, overall, annual; EU scope visible. This is a provisional connection, not an outcome finding.</w:t>
      </w:r>
    </w:p>
    <w:p>
      <w:pPr>
        <w:pStyle w:val="SourceNote"/>
      </w:pPr>
      <w:r>
        <w:rPr>
          <w:b/>
        </w:rPr>
        <w:t>Available abstract (not full text):</w:t>
      </w:r>
      <w:r>
        <w:t xml:space="preserve"> Importance: Diagnostic incidence data for syndromes associated with frontotemporal lobar degeneration (FTLD) in multinational studies are urgent in light of upcoming therapeutic approaches. Objective: To assess the incidence of FTLD across Europe. Design, Setting, and Participants: The Frontotemporal Dementia Incidence European Research Study (FRONTIERS) was a retrospective cohort study conducted from June 1, 2018, to May 31, 2019, using a population-based registry from 13 tertiary FTLD research clinics from the UK, the Netherlands, Finland, Sweden, Spain, Bulgaria, Serbia, Germany, and Italy and including all new FTLD-associated cases during the study period, with a combined catchment population of 11 023 643 person-years. Included patients fulfilled criteria for the behavioral variant of frontotemporal dementia (BVFTD), the nonfluent variant or semantic variant of primary progressive aphasia (PPA), unspecified PPA, progressive supranuclear palsy, corticobasal syndrome, or frontotemporal dementia with amyotrophic lateral sclerosis (FTD-ALS). Data were analyzed from July 19 to December 7, 2021. Main Outcomes and Measures: Random-intercept Poisson models were used to obtain estimates of the European FTLD incidence rate accounting for geographic heterogeneity. Results: Based on 267 identified cases (mean [SD] patient age, 66.70 [9.02] years; 156 males [58.43%]), the estimated ann</w:t>
      </w:r>
    </w:p>
    <w:p>
      <w:pPr>
        <w:pStyle w:val="Heading2"/>
      </w:pPr>
      <w:r>
        <w:t>506.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2023:</w:t>
      </w:r>
      <w:r>
        <w:t xml:space="preserve"> Environmental and socio-economic effects of construction and demolition waste recycling in the European Union — https://doi.org/10.1016/j.scitotenv.2023.168295</w:t>
      </w:r>
    </w:p>
    <w:p>
      <w:pPr/>
      <w:r>
        <w:rPr>
          <w:b/>
        </w:rPr>
        <w:t>Shared claim-specific concepts:</w:t>
      </w:r>
      <w:r>
        <w:t xml:space="preserve"> assess, environmental, union; EU scope visible. This is a provisional connection, not an outcome finding.</w:t>
      </w:r>
    </w:p>
    <w:p>
      <w:pPr>
        <w:pStyle w:val="SourceNote"/>
      </w:pPr>
      <w:r>
        <w:rPr>
          <w:b/>
        </w:rPr>
        <w:t>Available abstract (not full text):</w:t>
      </w:r>
      <w:r>
        <w:t xml:space="preserve">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environmental, based, approach;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Assessing the socio-demographic representativeness of mobile phone application data — https://doi.org/10.1016/j.apgeog.2023.102997</w:t>
      </w:r>
    </w:p>
    <w:p>
      <w:pPr/>
      <w:r>
        <w:rPr>
          <w:b/>
        </w:rPr>
        <w:t>Shared claim-specific concepts:</w:t>
      </w:r>
      <w:r>
        <w:t xml:space="preserve"> multiple, novel, approach; EU scope not established. This is a provisional connection, not an outcome finding.</w:t>
      </w:r>
    </w:p>
    <w:p>
      <w:pPr>
        <w:pStyle w:val="SourceNote"/>
      </w:pPr>
      <w:r>
        <w:rPr>
          <w:b/>
        </w:rPr>
        <w:t>Available abstract (not full text):</w:t>
      </w:r>
      <w:r>
        <w:t xml:space="preserve">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here, based, approach, biomass;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based;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pStyle w:val="Heading2"/>
      </w:pPr>
      <w:r>
        <w:t>507.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2024:</w:t>
      </w:r>
      <w:r>
        <w:t xml:space="preserve"> When Replication Fails: What to Conclude and Not to Conclude? — https://doi.org/10.1177/25152459241268197</w:t>
      </w:r>
    </w:p>
    <w:p>
      <w:pPr/>
      <w:r>
        <w:rPr>
          <w:b/>
        </w:rPr>
        <w:t>Shared claim-specific concepts:</w:t>
      </w:r>
      <w:r>
        <w:t xml:space="preserve"> conclude, potential, implications; EU scope not established. This is a provisional connection, not an outcome finding.</w:t>
      </w:r>
    </w:p>
    <w:p>
      <w:pPr>
        <w:pStyle w:val="SourceNote"/>
      </w:pPr>
      <w:r>
        <w:rPr>
          <w:b/>
        </w:rPr>
        <w:t>Available abstract (not full text):</w:t>
      </w:r>
      <w:r>
        <w:t xml:space="preserve">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pPr/>
      <w:r>
        <w:rPr>
          <w:b/>
        </w:rPr>
        <w:t>POSSIBLE 2023:</w:t>
      </w:r>
      <w:r>
        <w:t xml:space="preserve"> Discussing ChatGPT in education: A literature review and bibliometric analysis — https://doi.org/10.1080/2331186x.2023.2243134</w:t>
      </w:r>
    </w:p>
    <w:p>
      <w:pPr/>
      <w:r>
        <w:rPr>
          <w:b/>
        </w:rPr>
        <w:t>Shared claim-specific concepts:</w:t>
      </w:r>
      <w:r>
        <w:t xml:space="preserve"> conclude, discussing, potential; EU scope not established. This is a provisional connection, not an outcome finding.</w:t>
      </w:r>
    </w:p>
    <w:p>
      <w:pPr>
        <w:pStyle w:val="SourceNote"/>
      </w:pPr>
      <w:r>
        <w:rPr>
          <w:b/>
        </w:rPr>
        <w:t>Available abstract (not full text):</w:t>
      </w:r>
      <w:r>
        <w:t xml:space="preserve">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pPr/>
      <w:r>
        <w:rPr>
          <w:b/>
        </w:rPr>
        <w:t>POSSIBLE 2023:</w:t>
      </w:r>
      <w:r>
        <w:t xml:space="preserve"> A Brief Overview of ChatGPT: The History, Status Quo and Potential Future Development — https://doi.org/10.1109/jas.2023.123618</w:t>
      </w:r>
    </w:p>
    <w:p>
      <w:pPr/>
      <w:r>
        <w:rPr>
          <w:b/>
        </w:rPr>
        <w:t>Shared claim-specific concepts:</w:t>
      </w:r>
      <w:r>
        <w:t xml:space="preserve"> conclude, potential; EU scope not established. This is a provisional connection, not an outcome finding.</w:t>
      </w:r>
    </w:p>
    <w:p>
      <w:pPr>
        <w:pStyle w:val="SourceNote"/>
      </w:pPr>
      <w:r>
        <w:rPr>
          <w:b/>
        </w:rPr>
        <w:t>Available abstract (not full text):</w:t>
      </w:r>
      <w:r>
        <w:t xml:space="preserve">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508.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transition, ghg,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reduction;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Feedbacks in district heating systems and transition policies: A systems analysis of net-zero district heating transitions in Europe — https://doi.org/10.1016/j.egyr.2024.11.067</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Net-zero district heating systems are considered a feasible heating alternative to replace individual natural gas boilers to mitigate emissions in European cities. However, achieving carbon-neutral cities in Europe is a complex affair due to interdependencies in energy transitions. Energy transitions are discussed as products of interdependencies between socio-technical elements within each context, including but not limited to institutions, society, culture, markets, policies, regulations, and technological disruptions/changes. These interdependencies have the potential to transcend beyond the boundaries of technologies, sectors, markets, policies, cities, and even countries which may result in feedback effects. The presence of feedback effects implies co-evolution: policy-making shapes energy system developments which, in turn, influences policy-making through a range of feedback effects. The objective of this study is to increase knowledge on the implications of feedback effects in energy systems and transition policies by highlighting how they can lead to unexpected systemic consequences, thereby causing inertia or acceleration during the switch out of individual natural gas boilers towards net-zero district heating systems. Understanding the root causes and mechanisms behind district heating transitions could support European policymakers in developing policies that can st</w:t>
      </w:r>
    </w:p>
    <w:p>
      <w:pPr/>
      <w:r>
        <w:rPr>
          <w:b/>
        </w:rPr>
        <w:t>POSSIBLE 2024:</w:t>
      </w:r>
      <w:r>
        <w:t xml:space="preserve"> Study and analysis of energy transition in European ports — https://openalex.org/W7131511882</w:t>
      </w:r>
    </w:p>
    <w:p>
      <w:pPr/>
      <w:r>
        <w:rPr>
          <w:b/>
        </w:rPr>
        <w:t>Shared claim-specific concepts:</w:t>
      </w:r>
      <w:r>
        <w:t xml:space="preserve"> transition; EU scope visible. This is a provisional connection, not an outcome finding.</w:t>
      </w:r>
    </w:p>
    <w:p>
      <w:pPr>
        <w:pStyle w:val="SourceNote"/>
      </w:pPr>
      <w:r>
        <w:rPr>
          <w:b/>
        </w:rPr>
        <w:t>Available abstract (not full text):</w:t>
      </w:r>
      <w:r>
        <w:t xml:space="preserve"> This study aims to analyze the possible alternatives to fossil fuels for obtaining energy and their respective production processes. It will explain the physical properties of fuels, the resources required for production and storage resources. The legal framework of the European and IMO regulation system will also be explained, detailing application dates, scope, and obligations for shipping companies and port operators. Subsequently, a methodology for establishing an energy transition plan will be explained, citing specific cases and examples. And finally, an analysis of an hypothetical case of a container terminal will be done to develop a set of solutions to reduce the carbon footprint in a profitable way.</w:t>
      </w:r>
    </w:p>
    <w:p>
      <w:pPr/>
      <w:r>
        <w:rPr>
          <w:b/>
        </w:rPr>
        <w:t>POSSIBLE 2023:</w:t>
      </w:r>
      <w:r>
        <w:t xml:space="preserve"> Long-term trends in human body size track regional variation in subsistence transitions and growth acceleration linked to dairying — https://doi.org/10.1073/pnas.2209482119</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Evidence for a reduction in stature between Mesolithic foragers and Neolithic farmers has been interpreted as reflective of declines in health, however, our current understanding of this trend fails to account for the complexity of cultural and dietary transitions or the possible causes of phenotypic change. The agricultural transition was extended in primary centers of domestication and abrupt in regions characterized by demic diffusion. In regions such as Northern Europe where foreign domesticates were difficult to establish, there is strong evidence for natural selection for lactase persistence in relation to dairying. We employ broad-scale analyses of diachronic variation in stature and body mass in the Levant, Europe, the Nile Valley, South Asia, and China, to test three hypotheses about the timing of subsistence shifts and human body size, that: 1) the adoption of agriculture led to a decrease in stature, 2) there were different trajectories in regions of in situ domestication or cultural diffusion of agriculture; and 3) increases in stature and body mass are observed in regions with evidence for selection for lactase persistence. Our results demonstrate that 1) decreases in stature preceded the origins of agriculture in some regions; 2) the Levant and China, regions of in situ domestication of species and an extended period of mixed foraging and agricultural subsistence,</w:t>
      </w:r>
    </w:p>
    <w:p>
      <w:pPr>
        <w:pStyle w:val="Heading2"/>
      </w:pPr>
      <w:r>
        <w:t>509.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2024:</w:t>
      </w:r>
      <w:r>
        <w:t xml:space="preserve"> Understanding and addressing shortfalls in European wild bee data — https://doi.org/10.1016/j.biocon.2024.110455</w:t>
      </w:r>
    </w:p>
    <w:p>
      <w:pPr/>
      <w:r>
        <w:rPr>
          <w:b/>
        </w:rPr>
        <w:t>Shared claim-specific concepts:</w:t>
      </w:r>
      <w:r>
        <w:t xml:space="preserve"> despite, national, long-term, still;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510.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511.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line, climate, two;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2024:</w:t>
      </w:r>
      <w:r>
        <w:t xml:space="preserve"> The uncertain world: The gift of development on the Mekong — https://doi.org/10.1017/s0026749x24000088</w:t>
      </w:r>
    </w:p>
    <w:p>
      <w:pPr/>
      <w:r>
        <w:rPr>
          <w:b/>
        </w:rPr>
        <w:t>Shared claim-specific concepts:</w:t>
      </w:r>
      <w:r>
        <w:t xml:space="preserve"> uncertain, two, other; EU scope not established. This is a provisional connection, not an outcome finding.</w:t>
      </w:r>
    </w:p>
    <w:p>
      <w:pPr>
        <w:pStyle w:val="SourceNote"/>
      </w:pPr>
      <w:r>
        <w:rPr>
          <w:b/>
        </w:rPr>
        <w:t>Available abstract (not full text):</w:t>
      </w:r>
      <w:r>
        <w:t xml:space="preserve">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pPr/>
      <w:r>
        <w:rPr>
          <w:b/>
        </w:rPr>
        <w:t>POSSIBLE 2024:</w:t>
      </w:r>
      <w:r>
        <w:t xml:space="preserve"> The adverse role of endocrine disrupting chemicals in the reproductive system — https://doi.org/10.3389/fendo.2023.1324993</w:t>
      </w:r>
    </w:p>
    <w:p>
      <w:pPr/>
      <w:r>
        <w:rPr>
          <w:b/>
        </w:rPr>
        <w:t>Shared claim-specific concepts:</w:t>
      </w:r>
      <w:r>
        <w:t xml:space="preserve"> role, potential, other; EU scope not established. This is a provisional connection, not an outcome finding.</w:t>
      </w:r>
    </w:p>
    <w:p>
      <w:pPr>
        <w:pStyle w:val="SourceNote"/>
      </w:pPr>
      <w:r>
        <w:rPr>
          <w:b/>
        </w:rPr>
        <w:t>Available abstract (not full text):</w:t>
      </w:r>
      <w:r>
        <w:t xml:space="preserve">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pPr/>
      <w:r>
        <w:rPr>
          <w:b/>
        </w:rPr>
        <w:t>POSSIBLE 2023:</w:t>
      </w:r>
      <w:r>
        <w:t xml:space="preserve"> Economics for an uncertain world — https://doi.org/10.1016/j.worlddev.2023.106426</w:t>
      </w:r>
    </w:p>
    <w:p>
      <w:pPr/>
      <w:r>
        <w:rPr>
          <w:b/>
        </w:rPr>
        <w:t>Shared claim-specific concepts:</w:t>
      </w:r>
      <w:r>
        <w:t xml:space="preserve"> uncertain, however, two; EU scope not established. This is a provisional connection, not an outcome finding.</w:t>
      </w:r>
    </w:p>
    <w:p>
      <w:pPr>
        <w:pStyle w:val="SourceNote"/>
      </w:pPr>
      <w:r>
        <w:rPr>
          <w:b/>
        </w:rPr>
        <w:t>Available abstract (not full text):</w:t>
      </w:r>
      <w:r>
        <w:t xml:space="preserve"> Uncertainty, where we do not know the likelihood of future events, dominates our world. This article examines how economics as a profession and discipline can address uncertainty. From Frank Knight to John Maynard Keynes to Friedrich von Hayek to George Shackle, economics has highlighted the importance of uncertain knowledge and distinguished this from calculable risk. In this article we show how such insights were lost through the rise of narrow neoclassical thinking and were excluded through the emergence of a dominant economics of control that rose to prominence during the twentieth century and especially in the neoliberal era. However, through a range of perspectives in economics that emphasise the importance of complexity, informality, positionality and narratives, uncertainty is once again being embraced within an increasingly heterodox economics. In many ways, this chimes with the work of Albert Hirschman who, starting from the mid-1960s, emphasised the importance of addressing uncertainty in development theory and practice. Through two examples on pastoral development and global financial governance, we highlight the continued relevance of Hirschman’s thinking on the importance of adaptation, flexibility and learning-by-doing as responses to uncertainty and for the development of reliable, robust approaches to development policy and practice. In conclusion, we argue tha</w:t>
      </w:r>
    </w:p>
    <w:p>
      <w:pPr/>
      <w:r>
        <w:rPr>
          <w:b/>
        </w:rPr>
        <w:t>POSSIBLE 2023:</w:t>
      </w:r>
      <w:r>
        <w:t xml:space="preserve"> Ethics of Socially Disruptive Technologies — https://doi.org/10.11647/obp.0366</w:t>
      </w:r>
    </w:p>
    <w:p>
      <w:pPr/>
      <w:r>
        <w:rPr>
          <w:b/>
        </w:rPr>
        <w:t>Shared claim-specific concepts:</w:t>
      </w:r>
      <w:r>
        <w:t xml:space="preserve"> disruptive, potential, climate; EU scope not established. This is a provisional connection, not an outcome finding.</w:t>
      </w:r>
    </w:p>
    <w:p>
      <w:pPr>
        <w:pStyle w:val="SourceNote"/>
      </w:pPr>
      <w:r>
        <w:rPr>
          <w:b/>
        </w:rPr>
        <w:t>Available abstract (not full text):</w:t>
      </w:r>
      <w:r>
        <w:t xml:space="preserve"> Technologies shape who we are, how we organize our societies and how we relate to nature. For example, social media challenges democracy; artificial intelligence raises the question of what is unique to humans; and the possibility to create artificial wombs may affect notions of motherhood and birth. Some have suggested that we address global warming by engineering the climate, but how does this impact our responsibility to future generations and our relation to nature? This book shows how technologies can be socially and conceptually disruptive and investigates how to come to terms with this disruptive potential.</w:t>
      </w:r>
    </w:p>
    <w:p>
      <w:pPr>
        <w:pStyle w:val="Heading2"/>
      </w:pPr>
      <w:r>
        <w:t>512.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2024:</w:t>
      </w:r>
      <w:r>
        <w:t xml:space="preserve"> Imperatives of Nuclear Energy in India's Clean Energy Transition — https://doi.org/10.11610/connections.23.3.03</w:t>
      </w:r>
    </w:p>
    <w:p>
      <w:pPr/>
      <w:r>
        <w:rPr>
          <w:b/>
        </w:rPr>
        <w:t>Shared claim-specific concepts:</w:t>
      </w:r>
      <w:r>
        <w:t xml:space="preserve"> nuclear, energy, low-carbon, electricity, source, increase; EU scope not established. This is a provisional connection, not an outcome finding.</w:t>
      </w:r>
    </w:p>
    <w:p>
      <w:pPr>
        <w:pStyle w:val="SourceNote"/>
      </w:pPr>
      <w:r>
        <w:rPr>
          <w:b/>
        </w:rPr>
        <w:t>Available abstract (not full text):</w:t>
      </w:r>
      <w:r>
        <w:t xml:space="preserve">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pPr/>
      <w:r>
        <w:rPr>
          <w:b/>
        </w:rPr>
        <w:t>POSSIBLE 2024:</w:t>
      </w:r>
      <w:r>
        <w:t xml:space="preserve"> Prospects of Nuclear Energy for Clean and Sustainable Energy Development in Rwanda — https://doi.org/10.11648/j.ns.20240904.11</w:t>
      </w:r>
    </w:p>
    <w:p>
      <w:pPr/>
      <w:r>
        <w:rPr>
          <w:b/>
        </w:rPr>
        <w:t>Shared claim-specific concepts:</w:t>
      </w:r>
      <w:r>
        <w:t xml:space="preserve"> nuclear, energy, electricity, source, current; EU scope not established. This is a provisional connection, not an outcome finding.</w:t>
      </w:r>
    </w:p>
    <w:p>
      <w:pPr>
        <w:pStyle w:val="SourceNote"/>
      </w:pPr>
      <w:r>
        <w:rPr>
          <w:b/>
        </w:rPr>
        <w:t>Available abstract (not full text):</w:t>
      </w:r>
      <w:r>
        <w:t xml:space="preserve">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pPr/>
      <w:r>
        <w:rPr>
          <w:b/>
        </w:rPr>
        <w:t>POSSIBLE 2024:</w:t>
      </w:r>
      <w:r>
        <w:t xml:space="preserve"> Sustainability of Nuclear Energy—A Critical Review from a UK Perspective — https://doi.org/10.3390/su162410952</w:t>
      </w:r>
    </w:p>
    <w:p>
      <w:pPr/>
      <w:r>
        <w:rPr>
          <w:b/>
        </w:rPr>
        <w:t>Shared claim-specific concepts:</w:t>
      </w:r>
      <w:r>
        <w:t xml:space="preserve"> nuclear, energy, low-carbon, electricity, source, overall; EU scope not established. This is a provisional connection, not an outcome finding.</w:t>
      </w:r>
    </w:p>
    <w:p>
      <w:pPr>
        <w:pStyle w:val="SourceNote"/>
      </w:pPr>
      <w:r>
        <w:rPr>
          <w:b/>
        </w:rPr>
        <w:t>Available abstract (not full text):</w:t>
      </w:r>
      <w:r>
        <w:t xml:space="preserve">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pPr/>
      <w:r>
        <w:rPr>
          <w:b/>
        </w:rPr>
        <w:t>POSSIBLE 2024:</w:t>
      </w:r>
      <w:r>
        <w:t xml:space="preserve"> Nexus between Nuclear Energy, Economic Growth, and Greenhouse Gas Emissions in India — https://doi.org/10.32479/ijeep.15347</w:t>
      </w:r>
    </w:p>
    <w:p>
      <w:pPr/>
      <w:r>
        <w:rPr>
          <w:b/>
        </w:rPr>
        <w:t>Shared claim-specific concepts:</w:t>
      </w:r>
      <w:r>
        <w:t xml:space="preserve"> nuclear, energy, increase, power; EU scope not established. This is a provisional connection, not an outcome finding.</w:t>
      </w:r>
    </w:p>
    <w:p>
      <w:pPr>
        <w:pStyle w:val="SourceNote"/>
      </w:pPr>
      <w:r>
        <w:rPr>
          <w:b/>
        </w:rPr>
        <w:t>Available abstract (not full text):</w:t>
      </w:r>
      <w:r>
        <w:t xml:space="preserve">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even, power, now;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A Comprehensive Review of Green Energy Technologies: Towards Sustainable Clean Energy Transition and Global Net-Zero Carbon Emissions — https://doi.org/10.3390/pr13010069</w:t>
      </w:r>
    </w:p>
    <w:p>
      <w:pPr/>
      <w:r>
        <w:rPr>
          <w:b/>
        </w:rPr>
        <w:t>Shared claim-specific concepts:</w:t>
      </w:r>
      <w:r>
        <w:t xml:space="preserve"> nuclear, energy, source, overall; EU scope not established. This is a provisional connection, not an outcome finding.</w:t>
      </w:r>
    </w:p>
    <w:p>
      <w:pPr>
        <w:pStyle w:val="SourceNote"/>
      </w:pPr>
      <w:r>
        <w:rPr>
          <w:b/>
        </w:rPr>
        <w:t>Available abstract (not full text):</w:t>
      </w:r>
      <w:r>
        <w:t xml:space="preserve">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pPr/>
      <w:r>
        <w:rPr>
          <w:b/>
        </w:rPr>
        <w:t>POSSIBLE 2024:</w:t>
      </w:r>
      <w:r>
        <w:t xml:space="preserve"> The Need for Diversification of the Nigerian Economy through a Low-Carbon Energy Mix Programme Using Nuclear Power — https://doi.org/10.37745/ijeer.13/vol12n25582</w:t>
      </w:r>
    </w:p>
    <w:p>
      <w:pPr/>
      <w:r>
        <w:rPr>
          <w:b/>
        </w:rPr>
        <w:t>Shared claim-specific concepts:</w:t>
      </w:r>
      <w:r>
        <w:t xml:space="preserve"> nuclear, energy, low-carbon, expected, power; EU scope not established. This is a provisional connection, not an outcome finding.</w:t>
      </w:r>
    </w:p>
    <w:p>
      <w:pPr>
        <w:pStyle w:val="SourceNote"/>
      </w:pPr>
      <w:r>
        <w:rPr>
          <w:b/>
        </w:rPr>
        <w:t>Available abstract (not full text):</w:t>
      </w:r>
      <w:r>
        <w:t xml:space="preserve"> Numerous structural issues, such as poor infrastructure, trade and non-tariff barriers, investment barriers, a lack of trust in the currency's worth, and restricted foreign exchange facilities, limit Nigeria's economic potential. Since the late 1960s, when the oil and gas industry replaced agriculture as the primary driver of expansion, there has been very little progress made in diversifying the economy and laying a stronger foundation for rapid, steady, and productive growth. Despite massive oil earnings, the nation remains among the World's poorest in terms of important development indicators. Prosperity and progress have not followed as expected. The economy continues to grow in an unpredictable manner, devoid of steady or constant growth, and is influenced by fluctuations in the price of oil and gas, despite a multitude of plans, frameworks for policy, and reforms. While incompetence, corruption, and inefficiency remain at the core of economic management, every plan, programme, vision, and change raises high aspirations but never achieve the desired impact. Nigeria's economic dependency on crude oil and other commodities makes economic diversification difficult. Nigeria's economy must diversify in order to support employment, economic growth and human development to meet up the country's fast expanding population needs. In order to have a life beyond oil and gas, there is </w:t>
      </w:r>
    </w:p>
    <w:p>
      <w:pPr/>
      <w:r>
        <w:rPr>
          <w:b/>
        </w:rPr>
        <w:t>POSSIBLE 2024:</w:t>
      </w:r>
      <w:r>
        <w:t xml:space="preserve"> Toward a Global History of the Nuclear Age — https://doi.org/10.5007/2175-7976.2024.e102709</w:t>
      </w:r>
    </w:p>
    <w:p>
      <w:pPr/>
      <w:r>
        <w:rPr>
          <w:b/>
        </w:rPr>
        <w:t>Shared claim-specific concepts:</w:t>
      </w:r>
      <w:r>
        <w:t xml:space="preserve"> nuclear, energy, major, power; EU scope not established. This is a provisional connection, not an outcome finding.</w:t>
      </w:r>
    </w:p>
    <w:p>
      <w:pPr>
        <w:pStyle w:val="SourceNote"/>
      </w:pPr>
      <w:r>
        <w:rPr>
          <w:b/>
        </w:rPr>
        <w:t>Available abstract (not full text):</w:t>
      </w:r>
      <w:r>
        <w:t xml:space="preserve"> The environmental history of the nuclear enterprise has grown increasingly important, not the least because of the strong conviction that an ongoing, and self-proclaimed “renaissance” in nuclear energy must be a major part of world energy scenarios in the battle against global warming and the need to abandon carbon-based energy production. This article suggests a number of ways to take advantage of the recently available primary sources by using a global approach to make sense of nuclear environmental history. It calls for looking at environmental impacts across a variety of ecosystems: desert, Arctic, tropical, limnological and oceanic. It insists on considering the entire nuclear enterprise from mining to enrichment to fission. It suggests focusing on interactions between the atom, nature, and the lives of mammals, fish and birds in the nuclear world. In the end, this analysis shows that the atom is not green, and that the argument that nuclear power is a solution to global warming ignores the troubled relationship between the natural environment and peaceful and military technologies.</w:t>
      </w:r>
    </w:p>
    <w:p>
      <w:pPr/>
      <w:r>
        <w:rPr>
          <w:b/>
        </w:rPr>
        <w:t>POSSIBLE 2023:</w:t>
      </w:r>
      <w:r>
        <w:t xml:space="preserve"> The Role of Nuclear Energy in Reducing Greenhouse Gas (GHG) Emissions and Energy Security: A Systematic Review — https://doi.org/10.1155/2023/8823507</w:t>
      </w:r>
    </w:p>
    <w:p>
      <w:pPr/>
      <w:r>
        <w:rPr>
          <w:b/>
        </w:rPr>
        <w:t>Shared claim-specific concepts:</w:t>
      </w:r>
      <w:r>
        <w:t xml:space="preserve"> nuclear, energy, low-carbon, source, increase; EU scope not established. This is a provisional connection, not an outcome finding.</w:t>
      </w:r>
    </w:p>
    <w:p>
      <w:pPr>
        <w:pStyle w:val="SourceNote"/>
      </w:pPr>
      <w:r>
        <w:rPr>
          <w:b/>
        </w:rPr>
        <w:t>Available abstract (not full text):</w:t>
      </w:r>
      <w:r>
        <w:t xml:space="preserve"> The energy sector accounts for about two-thirds of all human-related greenhouse gas (GHG) emissions due to the reliance on fossil-based fuels. This is a significant concern as it can have dire consequences on the survival of humankind and disrupt other natural processes. The research indicated that some mitigation measures to curb GHG emissions are to increase energy from low-carbon sources such as nuclear. However, due to the continuous adverse climate change impact, a comprehensive systematic review of research in this area must be conducted to inform policy practice and future studies. This study attempts to address this gap by mapping the global reflections on the potential of nuclear technology to mitigate GHG through a bibliometric review process. A total of 741 studies were retrieved from the Scopus database and a few from Google Scholar, spanning from 1962 to 2022, and analyzed using a science mapping tool—VOSviewer. The study confirmed that fossil fuels are a significant source of greenhouse gas emissions and contributor to greenhouse emissions. Those authors concluded that promoting clean and alternative energy sources to fossil fuels would help reduce carbon emissions. Although renewable energy has proven to be very efficient among pollution and climate change mitigation sources, nuclear energy is the most dependable option for meeting national and regional CO2 emiss</w:t>
      </w:r>
    </w:p>
    <w:p>
      <w:pPr/>
      <w:r>
        <w:rPr>
          <w:b/>
        </w:rPr>
        <w:t>POSSIBLE 2023:</w:t>
      </w:r>
      <w:r>
        <w:t xml:space="preserve"> Outlook on Industrial Requirements for Incorporating Nuclear Energy into Industrial Processes — https://doi.org/10.2172/2293480</w:t>
      </w:r>
    </w:p>
    <w:p>
      <w:pPr/>
      <w:r>
        <w:rPr>
          <w:b/>
        </w:rPr>
        <w:t>Shared claim-specific concepts:</w:t>
      </w:r>
      <w:r>
        <w:t xml:space="preserve"> nuclear, energy, electricity, power; EU scope not established. This is a provisional connection, not an outcome finding.</w:t>
      </w:r>
    </w:p>
    <w:p>
      <w:pPr>
        <w:pStyle w:val="SourceNote"/>
      </w:pPr>
      <w:r>
        <w:rPr>
          <w:b/>
        </w:rPr>
        <w:t>Available abstract (not full text):</w:t>
      </w:r>
      <w:r>
        <w:t xml:space="preserve"> The manufacturing of pulp and paper requires large amounts of low-pressure steam to digest and wash wood fibers for pulp and press and dry pulp into paper.Most of the low-pressure steam is generated from burning wood waste material; bark is burned in hog boilers, and lignin is boiled in the black liquor recovery boiler.In a typical integrated pulp and paper mill, 50-80% of the steam is produced from these sources, and additional steam is produced in a natural gas or fuel oil boiler.Steam is sent through turbines to lower the pressure and generate electricity for the plant.The other energy intense process in the plant is the lime kilns, which require high temperatures from natural gas combustion to convert compounds needed for the chemical recovery process.A nuclear power plant could replace steam and electricity generated from wood waste and natural gas allowing lignin and bark to be processed into bio-based chemicals or fuels.Ammonia is the second largest manufactured industrial chemical.The most widely used process to synthesize ammonia is the Haber-Bosch process with steam methane reforming being used to produce the hydrogen while an air separation unit is most often used to produce the nitrogen that is fixed by the hydrogen .THe Harber-Bosch process synthesizes ammonia under very high-pressure conditions.Both steam-methane reforming and high-pressure compression are energy </w:t>
      </w:r>
    </w:p>
    <w:p>
      <w:pPr>
        <w:pStyle w:val="Heading2"/>
      </w:pPr>
      <w:r>
        <w:t>513.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2024:</w:t>
      </w:r>
      <w:r>
        <w:t xml:space="preserve"> Industry Experts’ Perspectives on the Difficulties and Opportunities of the Integration of Bio-Based Insulation Materials in the European Construction Sector — https://doi.org/10.3390/su16177314</w:t>
      </w:r>
    </w:p>
    <w:p>
      <w:pPr/>
      <w:r>
        <w:rPr>
          <w:b/>
        </w:rPr>
        <w:t>Shared claim-specific concepts:</w:t>
      </w:r>
      <w:r>
        <w:t xml:space="preserve"> building, experts, perceptions, well, environmental; EU scope visible. This is a provisional connection, not an outcome finding.</w:t>
      </w:r>
    </w:p>
    <w:p>
      <w:pPr>
        <w:pStyle w:val="SourceNote"/>
      </w:pPr>
      <w:r>
        <w:rPr>
          <w:b/>
        </w:rPr>
        <w:t>Available abstract (not full text):</w:t>
      </w:r>
      <w:r>
        <w:t xml:space="preserve">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pPr/>
      <w:r>
        <w:rPr>
          <w:b/>
        </w:rPr>
        <w:t>POSSIBLE 2023:</w:t>
      </w:r>
      <w:r>
        <w:t xml:space="preserve"> Basic Elements and Characteristics in Building an Expert System — https://doi.org/10.55849/jnhl.v1i3.337</w:t>
      </w:r>
    </w:p>
    <w:p>
      <w:pPr/>
      <w:r>
        <w:rPr>
          <w:b/>
        </w:rPr>
        <w:t>Shared claim-specific concepts:</w:t>
      </w:r>
      <w:r>
        <w:t xml:space="preserve"> building, well, benefits; EU scope not established. This is a provisional connection, not an outcome finding.</w:t>
      </w:r>
    </w:p>
    <w:p>
      <w:pPr>
        <w:pStyle w:val="SourceNote"/>
      </w:pPr>
      <w:r>
        <w:rPr>
          <w:b/>
        </w:rPr>
        <w:t>Available abstract (not full text):</w:t>
      </w:r>
      <w:r>
        <w:t xml:space="preserve">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pStyle w:val="Heading2"/>
      </w:pPr>
      <w:r>
        <w:t>514.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r>
        <w:rPr>
          <w:b/>
        </w:rPr>
        <w:t>POSSIBLE 2023:</w:t>
      </w:r>
      <w:r>
        <w:t xml:space="preserve"> Dynamics of EU Central and Eastern European donors’ development cooperation — https://doi.org/10.12688/stomiedintrelat.17714.1</w:t>
      </w:r>
    </w:p>
    <w:p>
      <w:pPr/>
      <w:r>
        <w:rPr>
          <w:b/>
        </w:rPr>
        <w:t>Shared claim-specific concepts:</w:t>
      </w:r>
      <w:r>
        <w:t xml:space="preserve"> order, understand, applied, main; EU scope visible. This is a provisional connection, not an outcome finding.</w:t>
      </w:r>
    </w:p>
    <w:p>
      <w:pPr>
        <w:pStyle w:val="SourceNote"/>
      </w:pPr>
      <w:r>
        <w:rPr>
          <w:b/>
        </w:rPr>
        <w:t>Available abstract (not full text):</w:t>
      </w:r>
      <w:r>
        <w:t xml:space="preserve">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pPr/>
      <w:r>
        <w:rPr>
          <w:b/>
        </w:rPr>
        <w:t>POSSIBLE 2023:</w:t>
      </w:r>
      <w:r>
        <w:t xml:space="preserve"> What Can We Expect for the Development of Rural Areas in Europe?—Trends of the Last Decade and Their Opportunities for Rural Regeneration — https://doi.org/10.3390/su15065485</w:t>
      </w:r>
    </w:p>
    <w:p>
      <w:pPr/>
      <w:r>
        <w:rPr>
          <w:b/>
        </w:rPr>
        <w:t>Shared claim-specific concepts:</w:t>
      </w:r>
      <w:r>
        <w:t xml:space="preserve"> order, understand, transition; EU scope visible. This is a provisional connection, not an outcome finding.</w:t>
      </w:r>
    </w:p>
    <w:p>
      <w:pPr>
        <w:pStyle w:val="SourceNote"/>
      </w:pPr>
      <w:r>
        <w:rPr>
          <w:b/>
        </w:rPr>
        <w:t>Available abstract (not full text):</w:t>
      </w:r>
      <w:r>
        <w:t xml:space="preserve">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pPr/>
      <w:r>
        <w:rPr>
          <w:b/>
        </w:rPr>
        <w:t>POSSIBLE 2023:</w:t>
      </w:r>
      <w:r>
        <w:t xml:space="preserve"> The Governance of European Space Policy — https://doi.org/10.32625/kjei.2023.31.175</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pPr/>
      <w:r>
        <w:rPr>
          <w:b/>
        </w:rPr>
        <w:t>POSSIBLE 2023:</w:t>
      </w:r>
      <w:r>
        <w:t xml:space="preserve"> Innovations and development of artificial intelligence in Europe: some empirical evidences — https://doi.org/10.1108/ejmbe-03-2023-0085</w:t>
      </w:r>
    </w:p>
    <w:p>
      <w:pPr/>
      <w:r>
        <w:rPr>
          <w:b/>
        </w:rPr>
        <w:t>Shared claim-specific concepts:</w:t>
      </w:r>
      <w:r>
        <w:t xml:space="preserve"> approach, possible; EU scope visible. This is a provisional connection, not an outcome finding.</w:t>
      </w:r>
    </w:p>
    <w:p>
      <w:pPr>
        <w:pStyle w:val="SourceNote"/>
      </w:pPr>
      <w:r>
        <w:rPr>
          <w:b/>
        </w:rPr>
        <w:t>Available abstract (not full text):</w:t>
      </w:r>
      <w:r>
        <w:t xml:space="preserve">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pPr/>
      <w:r>
        <w:rPr>
          <w:b/>
        </w:rPr>
        <w:t>POSSIBLE 2023:</w:t>
      </w:r>
      <w:r>
        <w:t xml:space="preserve"> Urban Development and Transportation: Investigating Spatial Performance Indicators of 12 European Union Coastal Regions — https://doi.org/10.3390/land12091757</w:t>
      </w:r>
    </w:p>
    <w:p>
      <w:pPr/>
      <w:r>
        <w:rPr>
          <w:b/>
        </w:rPr>
        <w:t>Shared claim-specific concepts:</w:t>
      </w:r>
      <w:r>
        <w:t xml:space="preserve"> order, understand, about, developed, approach; EU scope visible. This is a provisional connection, not an outcome finding.</w:t>
      </w:r>
    </w:p>
    <w:p>
      <w:pPr>
        <w:pStyle w:val="SourceNote"/>
      </w:pPr>
      <w:r>
        <w:rPr>
          <w:b/>
        </w:rPr>
        <w:t>Available abstract (not full text):</w:t>
      </w:r>
      <w:r>
        <w:t xml:space="preserve"> Urbanization is one of the most dominant economic and social changes of the 20th century. This phenomenon brings about rapid urban development, which is inextricably linked to transport development. In order to understand this relationship, it is important to analyze the spatial spillover effects of the phenomenon in the urban environment. This study analyzes the spatial performance, in terms of urban development, of 12 European Union regions from five European countries with coastal areas by incorporating spatial data such as length of road network, population distribution, land uses, and other factors. Key performance indicators have been developed for evaluating the structural development model of the regions (e.g., dense or sprawl development). In addition, the incorporation of spatial spillover effects in the evaluation of the regions was conducted by the extended spatial data envelopment analysis (SDEA) method. The results of SDEA identified the best and worst-performing regions in terms of urban growth. Finally, this study implements a target-setting approach where under-performing regions can best perform. Based on the target-setting approach, local authorities can set realistic targets for improving the structural model that the regions are following.</w:t>
      </w:r>
    </w:p>
    <w:p>
      <w:pPr/>
      <w:r>
        <w:rPr>
          <w:b/>
        </w:rPr>
        <w:t>POSSIBLE 2023:</w:t>
      </w:r>
      <w:r>
        <w:t xml:space="preserve"> Unraveling the European Agricultural Policy Sustainable Development Trajectory — https://doi.org/10.3390/land12091749</w:t>
      </w:r>
    </w:p>
    <w:p>
      <w:pPr/>
      <w:r>
        <w:rPr>
          <w:b/>
        </w:rPr>
        <w:t>Shared claim-specific concepts:</w:t>
      </w:r>
      <w:r>
        <w:t xml:space="preserve"> about, balance, approach, main;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515.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Regulating the Press for Accuracy and Objectivity — https://doi.org/10.1093/oso/9780198858607.003.0005</w:t>
      </w:r>
    </w:p>
    <w:p>
      <w:pPr/>
      <w:r>
        <w:rPr>
          <w:b/>
        </w:rPr>
        <w:t>Shared claim-specific concepts:</w:t>
      </w:r>
      <w:r>
        <w:t xml:space="preserve"> same, time, presented; EU scope visible. This is a provisional connection, not an outcome finding.</w:t>
      </w:r>
    </w:p>
    <w:p>
      <w:pPr>
        <w:pStyle w:val="SourceNote"/>
      </w:pPr>
      <w:r>
        <w:rPr>
          <w:b/>
        </w:rPr>
        <w:t>Available abstract (not full text):</w:t>
      </w:r>
      <w:r>
        <w:t xml:space="preserve">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pPr/>
      <w:r>
        <w:rPr>
          <w:b/>
        </w:rPr>
        <w:t>POSSIBLE 2024:</w:t>
      </w:r>
      <w:r>
        <w:t xml:space="preserve"> Implementing Nutrient Recommendations for Breakfast in Europe through Dietetic Practice—The European Federation of Associations of Dietitians (EFAD) Breakfast Toolkit Survey — https://doi.org/10.3390/proceedings2023091238</w:t>
      </w:r>
    </w:p>
    <w:p>
      <w:pPr/>
      <w:r>
        <w:rPr>
          <w:b/>
        </w:rPr>
        <w:t>Shared claim-specific concepts:</w:t>
      </w:r>
      <w:r>
        <w:t xml:space="preserve"> same, time, objectives, food, needed, population; EU scope visible. This is a provisional connection, not an outcome finding.</w:t>
      </w:r>
    </w:p>
    <w:p>
      <w:pPr>
        <w:pStyle w:val="SourceNote"/>
      </w:pPr>
      <w:r>
        <w:rPr>
          <w:b/>
        </w:rPr>
        <w:t>Available abstract (not full text):</w:t>
      </w:r>
      <w:r>
        <w:t xml:space="preserve">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pPr/>
      <w:r>
        <w:rPr>
          <w:b/>
        </w:rPr>
        <w:t>POSSIBLE 2024:</w:t>
      </w:r>
      <w:r>
        <w:t xml:space="preserve"> Healthy air as an obligation of result in the whole European Union: definitely a matter of time — https://doi.org/10.4337/9781035300426.00013</w:t>
      </w:r>
    </w:p>
    <w:p>
      <w:pPr/>
      <w:r>
        <w:rPr>
          <w:b/>
        </w:rPr>
        <w:t>Shared claim-specific concepts:</w:t>
      </w:r>
      <w:r>
        <w:t xml:space="preserve"> same, time, result; EU scope visible. This is a provisional connection, not an outcome finding.</w:t>
      </w:r>
    </w:p>
    <w:p>
      <w:pPr>
        <w:pStyle w:val="SourceNote"/>
      </w:pPr>
      <w:r>
        <w:rPr>
          <w:b/>
        </w:rPr>
        <w:t>Available abstract (not full text):</w:t>
      </w:r>
      <w:r>
        <w:t xml:space="preserve">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pPr/>
      <w:r>
        <w:rPr>
          <w:b/>
        </w:rPr>
        <w:t>POSSIBLE 2023:</w:t>
      </w:r>
      <w:r>
        <w:t xml:space="preserve"> Differentiated European Integration and the Changing Type of Capitalism in Central Europe — https://doi.org/10.33067/se.2.2023.6</w:t>
      </w:r>
    </w:p>
    <w:p>
      <w:pPr/>
      <w:r>
        <w:rPr>
          <w:b/>
        </w:rPr>
        <w:t>Shared claim-specific concepts:</w:t>
      </w:r>
      <w:r>
        <w:t xml:space="preserve"> same, time, type; EU scope visible. This is a provisional connection, not an outcome finding.</w:t>
      </w:r>
    </w:p>
    <w:p>
      <w:pPr>
        <w:pStyle w:val="SourceNote"/>
      </w:pPr>
      <w:r>
        <w:rPr>
          <w:b/>
        </w:rPr>
        <w:t>Available abstract (not full text):</w:t>
      </w:r>
      <w:r>
        <w:t xml:space="preserve"> The objective of this paper is to analyse the double-layered diversiﬁcation of the European integration system represented by the countries of Central Europe (CE). Here exempliﬁed by the Visegrad Four (V4) states (Poland, Hungary, Slovakia, and Czechia), the region offers a unique laboratory of European differentiated integration (DI). The V4 positions itself on the outer-core of the European Union hemispheres. At the same time, the bloc itself is internally diversiﬁed in various, important aspects of integration (conﬂicting trajectories with Brussels, monetary integration, energy policy, relations with Russia, etc.). Unpacking this intra-V4 diversity will be accompanied by an exploration of the economic and institutional factors possibly affecting it. The political-economy perspective allows us to capture the determinants intersecting at the crossroads of economic and political dimensions. The authors will explore the selected building blocks of the system of differentiation inside the V4 group.</w:t>
      </w:r>
    </w:p>
    <w:p>
      <w:pPr>
        <w:pStyle w:val="Heading2"/>
      </w:pPr>
      <w:r>
        <w:t>516.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corresponding, regional, regions;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r>
        <w:rPr>
          <w:b/>
        </w:rPr>
        <w:t>POSSIBLE 2023:</w:t>
      </w:r>
      <w:r>
        <w:t xml:space="preserve"> ART in Europe, 2019: results generated from European registries by ESHRE — https://doi.org/10.1093/humrep/dead197</w:t>
      </w:r>
    </w:p>
    <w:p>
      <w:pPr/>
      <w:r>
        <w:rPr>
          <w:b/>
        </w:rPr>
        <w:t>Shared claim-specific concepts:</w:t>
      </w:r>
      <w:r>
        <w:t xml:space="preserve"> corresponding, findings, not; EU scope visible. This is a provisional connection, not an outcome finding.</w:t>
      </w:r>
    </w:p>
    <w:p>
      <w:pPr>
        <w:pStyle w:val="SourceNote"/>
      </w:pPr>
      <w:r>
        <w:rPr>
          <w:b/>
        </w:rPr>
        <w:t>Available abstract (not full text):</w:t>
      </w:r>
      <w:r>
        <w:t xml:space="preserve">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pStyle w:val="Heading2"/>
      </w:pPr>
      <w:r>
        <w:t>517.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presents, challenges, increasing, energy;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presents, challenges, increasing, union;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Challenges and best practices in sustainable urban tourism development in Central and Eastern Europe — https://doi.org/10.4337/9781803926742.00041</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pPr/>
      <w:r>
        <w:rPr>
          <w:b/>
        </w:rPr>
        <w:t>POSSIBLE 2023:</w:t>
      </w:r>
      <w:r>
        <w:t xml:space="preserve"> Challenges and opportunities of the European Critical Raw Materials Act — https://doi.org/10.1007/s13563-023-00394-y</w:t>
      </w:r>
    </w:p>
    <w:p>
      <w:pPr/>
      <w:r>
        <w:rPr>
          <w:b/>
        </w:rPr>
        <w:t>Shared claim-specific concepts:</w:t>
      </w:r>
      <w:r>
        <w:t xml:space="preserve"> challenges, increasing, energy, union, achieving; EU scope visible. This is a provisional connection, not an outcome finding.</w:t>
      </w:r>
    </w:p>
    <w:p>
      <w:pPr>
        <w:pStyle w:val="SourceNote"/>
      </w:pPr>
      <w:r>
        <w:rPr>
          <w:b/>
        </w:rPr>
        <w:t>Available abstract (not full text):</w:t>
      </w:r>
      <w:r>
        <w:t xml:space="preserve"> Abstract The Critical Raw Materials Act (CRMA) is an essential regulatory framework designed to address the pressing challenges faced by the European Union (EU) in the strategic sectors of decarbonization, digitalization, and aerospace and defense. It aims to tackle the lack of secure and sustainable access to critical raw materials (CRMs) by increasing anticipation and mitigation of supply risks, fostering domestic CRM potential, and promoting sustainable sourcing practices. Part of a broader “Green Industrial Plan” and aligned with the “Net-Zero Industry Act” (NZIA), the CRMA strives to position the EU as a leading hub for clean tech industries. The NZIA and CRMA packages respond to international trends of protecting clean energy technology and resources, akin to the US Inflation Reduction Act. Defining materials as “strategic” based on their relevance and expected demand for strategic technologies, the CRMA regulation establishes benchmarks for minimum shares of EU demand to be covered by domestically sourced and processed as well as recycled raw materials and aims at reducing dependencies on single third country suppliers in all steps of the supply chain. A communication complements the regulation by focusing on increasing CRM supply security and sustainability through circularity, standardization efforts, skill development, and strategic actions for research and innovation</w:t>
      </w:r>
    </w:p>
    <w:p>
      <w:pPr/>
      <w:r>
        <w:rPr>
          <w:b/>
        </w:rPr>
        <w:t>POSSIBLE 2023:</w:t>
      </w:r>
      <w:r>
        <w:t xml:space="preserve"> EUROPEAN PRACTICES OF RURAL GREEN TOURISM: CHALLENGES AND PROSPECTS — https://doi.org/10.30525/2256-0742/2023-9-5-275-282</w:t>
      </w:r>
    </w:p>
    <w:p>
      <w:pPr/>
      <w:r>
        <w:rPr>
          <w:b/>
        </w:rPr>
        <w:t>Shared claim-specific concepts:</w:t>
      </w:r>
      <w:r>
        <w:t xml:space="preserve"> presents, challenges, context; EU scope visible. This is a provisional connection, not an outcome finding.</w:t>
      </w:r>
    </w:p>
    <w:p>
      <w:pPr>
        <w:pStyle w:val="SourceNote"/>
      </w:pPr>
      <w:r>
        <w:rPr>
          <w:b/>
        </w:rPr>
        <w:t>Available abstract (not full text):</w:t>
      </w:r>
      <w:r>
        <w:t xml:space="preserve"> The relevance of researching rural green tourism in Europe is an important field that offers tourists the opportunity to enjoy nature and the countryside, interact with locals and participate in authentic rural life. Implementing environmentally sustainable green tourism practices will help conserve natural resources and reduce the environmental impact of tourism. Encouraging the development of local entrepreneurship and crafts can contribute to preserving the authenticity and economic development of rural areas. Rural green tourism can become a forum for cultural exchange between tourists and local people, promoting mutual understanding. A balanced approach that takes into account infrastructure needs, environmental sustainability, cultural aspects and the participation of local communities is key to the successful development of rural green tourism in Europe. The purpose of the study is to consider the theoretical and practical aspects of European practices of rural green tourism in the context of challenges, to analyse the prospects and opportunities for the development of rural green tourism. The research methodology of the topic includes the systemic method, which recognises the importance of studying the rural green tourism system in Europe, considering its elements and their interaction. The structural method aims at revealing the structure of the object, identifying the</w:t>
      </w:r>
    </w:p>
    <w:p>
      <w:pPr/>
      <w:r>
        <w:rPr>
          <w:b/>
        </w:rPr>
        <w:t>POSSIBLE 2023:</w:t>
      </w:r>
      <w:r>
        <w:t xml:space="preserve"> Climate Change in Europe — https://doi.org/10.1201/9781003404194-3</w:t>
      </w:r>
    </w:p>
    <w:p>
      <w:pPr/>
      <w:r>
        <w:rPr>
          <w:b/>
        </w:rPr>
        <w:t>Shared claim-specific concepts:</w:t>
      </w:r>
      <w:r>
        <w:t xml:space="preserve"> presents, challenges, union, achieving, climate, neutrality; EU scope visible. This is a provisional connection, not an outcome finding.</w:t>
      </w:r>
    </w:p>
    <w:p>
      <w:pPr>
        <w:pStyle w:val="SourceNote"/>
      </w:pPr>
      <w:r>
        <w:rPr>
          <w:b/>
        </w:rPr>
        <w:t>Available abstract (not full text):</w:t>
      </w:r>
      <w:r>
        <w:t xml:space="preserve"> This chapter presents an evaluation of the historical and projected impacts of climate change in Europe. The evaluation reveals that climate change manifests in various forms across all European regions, including warming temperatures, altered precipitation patterns, increased frequency and duration of heatwaves and droughts, and intensified coastal flooding events. Furthermore, several European nations – notably Germany, the United Kingdom, France, Italy, and Spain – have historically contributed significantly to global greenhouse gas (GHG) emissions. However, between 1990 and 2020, many of these countries successfully reduced their emissions; for instance, emissions from the European Union decreased by 31% during this period. Notably, a substantial portion of this reduction occurred during the COVID-19 pandemic. There is optimism that Europe may become the world&amp;s;s first carbon-neutral bloc by 2050 as European nations are currently implementing strategies and policies aimed at significantly reducing GHG emissions. Nevertheless, achieving climate neutrality by 2050 will depend on Europe&amp;s;s ability to address several critical challenges outlined in this chapter over the coming years.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presents, challenges, investments;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OPINIONS OF EUROPEAN MANAGERS ON THE CHALLENGES OF TEAM MANAGEMENT IN MULTICULTURAL WORK ENVIRONMENTS — https://doi.org/10.34739/zn.2023.61.01</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In contemporary companies, the knowledge and experience of both employees and managers significantly influence decision-making, operational effectiveness, and strategy implementation, especially in conditions of the continuously increasing role played by international cooperation. Multiculturalism is not only a common feature of companies which operate in the global market but also increasingly a key factor when it comes to people management. Although cultural diversity can bring many positive effects, it can also be a source of a range of problems. Thus it is so important for managers of culturally diverse teams to understand the essence of multiculturalism, to be able to manage cultural diversity skilfully, and to endorse values and adhere to principles which are highly relevant in multicultural work environments. The study presented in the article (individual in-depth interviews) was conducted among managers from six European countries. The main aim of the study was to identify challenges posed by multicultural work environments based on the opinions of managers who work with multicultural teams. The theoretical part of the article explains the concept of multiculturalism and presents multiculturalism in the context of management in contemporary work environments. The empirical part discusses the results of the interviews and the resulting conclusions. Undoubtedly, multicult</w:t>
      </w:r>
    </w:p>
    <w:p>
      <w:pPr>
        <w:pStyle w:val="Heading2"/>
      </w:pPr>
      <w:r>
        <w:t>518.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2024:</w:t>
      </w:r>
      <w:r>
        <w:t xml:space="preserve"> Cohort Differences in Physical Health and Disability in the United States and Europe — https://doi.org/10.1093/geronb/gbae113</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pPr/>
      <w:r>
        <w:rPr>
          <w:b/>
        </w:rPr>
        <w:t>POSSIBLE 2024:</w:t>
      </w:r>
      <w:r>
        <w:t xml:space="preserve"> Generational differences in physical health and disability in the United States and Europe — https://doi.org/10.1101/2024.01.16.24301347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pPr/>
      <w:r>
        <w:rPr>
          <w:b/>
        </w:rPr>
        <w:t>POSSIBLE 2023:</w:t>
      </w:r>
      <w:r>
        <w:t xml:space="preserve"> Burden of infectious disease studies in Europe and the United Kingdom: a review of methodological design choices — https://doi.org/10.1017/s0950268823000031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pStyle w:val="Heading2"/>
      </w:pPr>
      <w:r>
        <w:t>519.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2024:</w:t>
      </w:r>
      <w:r>
        <w:t xml:space="preserve"> Reducing pollution and economic sustainability policies from the use of renewable energy in European Union nations — https://doi.org/10.61435/ijred.2024.53205</w:t>
      </w:r>
    </w:p>
    <w:p>
      <w:pPr/>
      <w:r>
        <w:rPr>
          <w:b/>
        </w:rPr>
        <w:t>Shared claim-specific concepts:</w:t>
      </w:r>
      <w:r>
        <w:t xml:space="preserve"> much, pollution, energy, consumption; EU scope visible. This is a provisional connection, not an outcome finding.</w:t>
      </w:r>
    </w:p>
    <w:p>
      <w:pPr>
        <w:pStyle w:val="SourceNote"/>
      </w:pPr>
      <w:r>
        <w:rPr>
          <w:b/>
        </w:rPr>
        <w:t>Available abstract (not full text):</w:t>
      </w:r>
      <w:r>
        <w:t xml:space="preserve">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pPr/>
      <w:r>
        <w:rPr>
          <w:b/>
        </w:rPr>
        <w:t>POSSIBLE 2024:</w:t>
      </w:r>
      <w:r>
        <w:t xml:space="preserve"> Energy, Energy Subsidies and Economic Planning Gone Wild — https://doi.org/10.4324/9781003308225-14</w:t>
      </w:r>
    </w:p>
    <w:p>
      <w:pPr/>
      <w:r>
        <w:rPr>
          <w:b/>
        </w:rPr>
        <w:t>Shared claim-specific concepts:</w:t>
      </w:r>
      <w:r>
        <w:t xml:space="preserve"> much, pollution, energy, consumption, increase; EU scope visible. This is a provisional connection, not an outcome finding.</w:t>
      </w:r>
    </w:p>
    <w:p>
      <w:pPr>
        <w:pStyle w:val="SourceNote"/>
      </w:pPr>
      <w:r>
        <w:rPr>
          <w:b/>
        </w:rPr>
        <w:t>Available abstract (not full text):</w:t>
      </w:r>
      <w:r>
        <w:t xml:space="preserve">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pPr/>
      <w:r>
        <w:rPr>
          <w:b/>
        </w:rPr>
        <w:t>POSSIBLE 2023:</w:t>
      </w:r>
      <w:r>
        <w:t xml:space="preserve"> A comprehensive insight into Waste to Energy conversion strategies in India and its associated air pollution hazard — https://doi.org/10.1016/j.eti.2023.103017</w:t>
      </w:r>
    </w:p>
    <w:p>
      <w:pPr/>
      <w:r>
        <w:rPr>
          <w:b/>
        </w:rPr>
        <w:t>Shared claim-specific concepts:</w:t>
      </w:r>
      <w:r>
        <w:t xml:space="preserve"> much, pollution, energy, strategies; EU scope visible. This is a provisional connection, not an outcome finding.</w:t>
      </w:r>
    </w:p>
    <w:p>
      <w:pPr>
        <w:pStyle w:val="SourceNote"/>
      </w:pPr>
      <w:r>
        <w:rPr>
          <w:b/>
        </w:rPr>
        <w:t>Available abstract (not full text):</w:t>
      </w:r>
      <w:r>
        <w:t xml:space="preserve"> With the increasing demand for cheap energy sources, Waste-to-Energy (WtE) strategies are gaining importance across the world. In India, such strategies have a two-way benefit i.e., generating electricity using municipal solid waste and helping in solid waste management by reducing the need for landfill sites. In this review, the focus has been given to identifying and analysing toxicological problems related to major air pollutants emitted during the WtE conversion process. Depending upon the country and state, the nature of solid waste and emission standards vary which directly impacts air quality standards and steps required to reduce such emissions. In India, the percentage of wet solid waste is much higher than dry solid waste which significantly deters the economic and technical feasibility of WtE plants. The heating value of solid waste reduces significantly when improper waste segregation occurs which is detrimental from both the electricity generation and pollution viewpoint. These problems associated with solid waste management have been covered in detail in the manuscript. This review article also provides a comparative study of Indian WtE plants with their global specifically European counterparts. The adverse effect of pollutants emitted from WtE plants on human health has been discussed in the article along with the air pollution control methods to mitigate the pr</w:t>
      </w:r>
    </w:p>
    <w:p>
      <w:pPr/>
      <w:r>
        <w:rPr>
          <w:b/>
        </w:rPr>
        <w:t>POSSIBLE 2023:</w:t>
      </w:r>
      <w:r>
        <w:t xml:space="preserve"> Globalization and Pollution in Central and Eastern European EU Countries — https://doi.org/10.61225/rjrs.2023.03</w:t>
      </w:r>
    </w:p>
    <w:p>
      <w:pPr/>
      <w:r>
        <w:rPr>
          <w:b/>
        </w:rPr>
        <w:t>Shared claim-specific concepts:</w:t>
      </w:r>
      <w:r>
        <w:t xml:space="preserve"> pollution, energy, consumption; EU scope visible. This is a provisional connection, not an outcome finding.</w:t>
      </w:r>
    </w:p>
    <w:p>
      <w:pPr>
        <w:pStyle w:val="SourceNote"/>
      </w:pPr>
      <w:r>
        <w:rPr>
          <w:b/>
        </w:rPr>
        <w:t>Available abstract (not full text):</w:t>
      </w:r>
      <w:r>
        <w:t xml:space="preserve"> Pollution and globalization are current challenges for Central and Eastern Europe (CEE), especially in the context of negative effects of globalization on environment. The aim of this paper is to assess the impact of globalization index on CO2 emissions in the CEE countries that joined the EU in the period 2005-2021. The results based on a panel data approach with DOLS/FMOLS estimators confirm the hypothesis that globalization enhances pollution in this region, but a non-linear relationship was validated between CO2 emissions and globalization index. After reaching a maximum level, the CO2 emissions begin to decrease, while globalization enhances. On the other hand, economic freedom and electricity prices in household consumers had a positive impact on pollution. Renewable energy consumption has the capacity to reduce pollution, while higher electricity prices for non-household users discourage economic activities, which contribute to environmental protection. These empirical findings could support policy proposals to reduce pollution in this region.</w:t>
      </w:r>
    </w:p>
    <w:p>
      <w:pPr/>
      <w:r>
        <w:rPr>
          <w:b/>
        </w:rPr>
        <w:t>POSSIBLE 2023:</w:t>
      </w:r>
      <w:r>
        <w:t xml:space="preserve"> Impact of 2020 COVID-19 lockdowns on particulate air pollution across Europe — https://doi.org/10.5194/acp-23-10145-2023</w:t>
      </w:r>
    </w:p>
    <w:p>
      <w:pPr/>
      <w:r>
        <w:rPr>
          <w:b/>
        </w:rPr>
        <w:t>Shared claim-specific concepts:</w:t>
      </w:r>
      <w:r>
        <w:t xml:space="preserve"> pollution, expected, size; EU scope visible. This is a provisional connection, not an outcome finding.</w:t>
      </w:r>
    </w:p>
    <w:p>
      <w:pPr>
        <w:pStyle w:val="SourceNote"/>
      </w:pPr>
      <w:r>
        <w:rPr>
          <w:b/>
        </w:rPr>
        <w:t>Available abstract (not full text):</w:t>
      </w:r>
      <w:r>
        <w:t xml:space="preserve"> Abstract. To fight against the first wave of Coronavirus disease 2019 (COVID-19) in 2020, lockdown measures were implemented in most European countries. These lockdowns had well-documented effects on human mobility. We assessed the impact of the lockdown implementation and relaxation on air pollution by comparing daily particulate matter (PM), nitrogen dioxide (NO2), and ozone (O3) concentrations, as well as particle number size distributions (PNSD) and particle light absorption coefficients in-situ measurement data with values expected if no COVID-19 epidemic had occurred at 28 sites across Europe for the period 17 February – 31 May 2020. Expected PM, NO2 and O3 concentrations were calculated from the 2020 Copernicus Atmospheric Monitoring Service (CAMS) Ensemble forecasts, combined with 2019 CAMS Ensemble forecasts and measurement data. On average, lockdown implementations did not lead to a decrease in PM2.5 mass concentrations at urban sites, while relaxations resulted in a +26 ± 21% rebound. The impacts of lockdown implementation and relaxation on NO2 concentrations were more consistent (−29 ± 17 %, and +31 ± 30 %, respectively). The implementation of the lockdown measures also induced statistically significant increases in O3 concentrations at half of all sites (+13 % on average). An enhanced oxidizing capacity of the atmosphere could have boosted the production of seconda</w:t>
      </w:r>
    </w:p>
    <w:p>
      <w:pPr/>
      <w:r>
        <w:rPr>
          <w:b/>
        </w:rPr>
        <w:t>POSSIBLE 2023:</w:t>
      </w:r>
      <w:r>
        <w:t xml:space="preserve"> Assessing the environmental impacts of renewable energy sources: A case study on air pollution and carbon emissions in China — https://doi.org/10.1016/j.jenvman.2023.118525</w:t>
      </w:r>
    </w:p>
    <w:p>
      <w:pPr/>
      <w:r>
        <w:rPr>
          <w:b/>
        </w:rPr>
        <w:t>Shared claim-specific concepts:</w:t>
      </w:r>
      <w:r>
        <w:t xml:space="preserve"> pollution, energy, consumption, increase, strategies; EU scope not established. This is a provisional connection, not an outcome finding.</w:t>
      </w:r>
    </w:p>
    <w:p>
      <w:pPr>
        <w:pStyle w:val="SourceNote"/>
      </w:pPr>
      <w:r>
        <w:rPr>
          <w:b/>
        </w:rPr>
        <w:t>Available abstract (not full text):</w:t>
      </w:r>
      <w:r>
        <w:t xml:space="preserve"> This study investigates the impact of renewable and non-renewable energy sources on carbon emissions in the context of China's 14th Five-Year Plan (2021-2025). The plan emphasises a "Dual-control" strategy of simultaneously setting energy consumption limits and reducing energy intensity for GDP (gross domestic product) in order to meet the targets of the five-year plan. Using a comprehensive dataset of Chinese energy and macroeconomic information spanning from 1990 to 2022, we conduct a Granger causality analysis to explore the relationship between energy sources and the level of air pollution. Our findings reveal a unidirectional link, wherein renewable energy contributes to a reduction in air pollution, while non-renewable energy sources lead to an increase. Despite the government's investment in renewable energy, our results show that China's economy remains heavily reliant on traditional energy sources (e.g., fossil fuels). This research is the first systematic examination of the interplay between energy usage and carbon emissions in the Chinese context. Our findings provide valuable insights for policy and market strategies aimed at promoting carbon neutrality and driving technological advancements in both government and industries.</w:t>
      </w:r>
    </w:p>
    <w:p>
      <w:pPr/>
      <w:r>
        <w:rPr>
          <w:b/>
        </w:rPr>
        <w:t>POSSIBLE 2023:</w:t>
      </w:r>
      <w:r>
        <w:t xml:space="preserve"> Is there a pollution haven in European Union global value chain participation? — https://doi.org/10.1007/s10668-023-03563-9</w:t>
      </w:r>
    </w:p>
    <w:p>
      <w:pPr/>
      <w:r>
        <w:rPr>
          <w:b/>
        </w:rPr>
        <w:t>Shared claim-specific concepts:</w:t>
      </w:r>
      <w:r>
        <w:t xml:space="preserve"> pollution, energy, consumption; EU scope visible. This is a provisional connection, not an outcome finding.</w:t>
      </w:r>
    </w:p>
    <w:p>
      <w:pPr>
        <w:pStyle w:val="SourceNote"/>
      </w:pPr>
      <w:r>
        <w:rPr>
          <w:b/>
        </w:rPr>
        <w:t>Available abstract (not full text):</w:t>
      </w:r>
      <w:r>
        <w:t xml:space="preserve"> Abstract This paper aims to test the pollution haven hypothesis within the European Union (EU), especially among newcomer countries, through the participation in global value chains (GVCs). The study used a combination of multiregional input–output method and multilevel mixed econometric analysis to investigate the relationship between global value chain trade flows, foreign direct investment flows, energy consumption, and carbon emissions across countries, sectors, and time. The study tested both the “pollution haven” and “pollution halo” hypotheses and found a non-linear relationship between foreign capital flows and carbon emissions, which became less relevant after the economic integration process. The results suggest the existence of a pollution haven in Europe. Although Eastern economies still exhibit problematic issues in relation to pollution control, they have made significant progress in reducing their emissions intensity. The conclusions include some policy recommendations based on the main findings of the research.</w:t>
      </w:r>
    </w:p>
    <w:p>
      <w:pPr>
        <w:pStyle w:val="Heading2"/>
      </w:pPr>
      <w:r>
        <w:t>520.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2024:</w:t>
      </w:r>
      <w:r>
        <w:t xml:space="preserve"> Soil pollution in the European Union – An outlook — https://doi.org/10.1016/j.envsci.2024.103876</w:t>
      </w:r>
    </w:p>
    <w:p>
      <w:pPr/>
      <w:r>
        <w:rPr>
          <w:b/>
        </w:rPr>
        <w:t>Shared claim-specific concepts:</w:t>
      </w:r>
      <w:r>
        <w:t xml:space="preserve"> union, relevant; EU scope visible. This is a provisional connection, not an outcome finding.</w:t>
      </w:r>
    </w:p>
    <w:p>
      <w:pPr>
        <w:pStyle w:val="SourceNote"/>
      </w:pPr>
      <w:r>
        <w:rPr>
          <w:b/>
        </w:rPr>
        <w:t>Available abstract (not full text):</w:t>
      </w:r>
      <w:r>
        <w:t xml:space="preserve">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pPr/>
      <w:r>
        <w:rPr>
          <w:b/>
        </w:rPr>
        <w:t>POSSIBLE 2024:</w:t>
      </w:r>
      <w:r>
        <w:t xml:space="preserve"> Credit Claiming in the European Union — https://doi.org/10.1086/732970</w:t>
      </w:r>
    </w:p>
    <w:p>
      <w:pPr/>
      <w:r>
        <w:rPr>
          <w:b/>
        </w:rPr>
        <w:t>Shared claim-specific concepts:</w:t>
      </w:r>
      <w:r>
        <w:t xml:space="preserve"> union, frequently, strategies; EU scope visible. This is a provisional connection, not an outcome finding.</w:t>
      </w:r>
    </w:p>
    <w:p>
      <w:pPr>
        <w:pStyle w:val="SourceNote"/>
      </w:pPr>
      <w:r>
        <w:rPr>
          <w:b/>
        </w:rPr>
        <w:t>Available abstract (not full text):</w:t>
      </w:r>
      <w:r>
        <w:t xml:space="preserve">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pPr/>
      <w:r>
        <w:rPr>
          <w:b/>
        </w:rPr>
        <w:t>POSSIBLE 2023:</w:t>
      </w:r>
      <w:r>
        <w:t xml:space="preserve"> The European Union One Health 2022 Zoonoses Report — https://doi.org/10.2903/j.efsa.2023.8442</w:t>
      </w:r>
    </w:p>
    <w:p>
      <w:pPr/>
      <w:r>
        <w:rPr>
          <w:b/>
        </w:rPr>
        <w:t>Shared claim-specific concepts:</w:t>
      </w:r>
      <w:r>
        <w:t xml:space="preserve"> union, frequently, relevant, last;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Digitalisation and Economic Growth in the European Union — https://doi.org/10.3390/electronics12071718</w:t>
      </w:r>
    </w:p>
    <w:p>
      <w:pPr/>
      <w:r>
        <w:rPr>
          <w:b/>
        </w:rPr>
        <w:t>Shared claim-specific concepts:</w:t>
      </w:r>
      <w:r>
        <w:t xml:space="preserve"> union, taken;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521.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pStyle w:val="Heading2"/>
      </w:pPr>
      <w:r>
        <w:t>522.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pStyle w:val="Heading2"/>
      </w:pPr>
      <w:r>
        <w:t>523.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r>
        <w:rPr>
          <w:b/>
        </w:rPr>
        <w:t>POSSIBLE 2024:</w:t>
      </w:r>
      <w:r>
        <w:t xml:space="preserve"> Meeting Abstracts for the Society for Simulation in Europe 2024 — https://doi.org/10.1186/s41077-024-00287-2</w:t>
      </w:r>
    </w:p>
    <w:p>
      <w:pPr/>
      <w:r>
        <w:rPr>
          <w:b/>
        </w:rPr>
        <w:t>Shared claim-specific concepts:</w:t>
      </w:r>
      <w:r>
        <w:t xml:space="preserve"> society, both; EU scope visible. This is a provisional connection, not an outcome finding.</w:t>
      </w:r>
    </w:p>
    <w:p>
      <w:pPr>
        <w:pStyle w:val="SourceNote"/>
      </w:pPr>
      <w:r>
        <w:rPr>
          <w:b/>
        </w:rPr>
        <w:t>Available abstract (not full text):</w:t>
      </w:r>
      <w:r>
        <w:t xml:space="preserve">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pPr/>
      <w:r>
        <w:rPr>
          <w:b/>
        </w:rPr>
        <w:t>POSSIBLE 2024:</w:t>
      </w:r>
      <w:r>
        <w:t xml:space="preserve"> Assumptions and simplifications in discrete-event simulation modelling — https://doi.org/10.1080/17477778.2024.2407369</w:t>
      </w:r>
    </w:p>
    <w:p>
      <w:pPr/>
      <w:r>
        <w:rPr>
          <w:b/>
        </w:rPr>
        <w:t>Shared claim-specific concepts:</w:t>
      </w:r>
      <w:r>
        <w:t xml:space="preserve"> incorporating, assumptions; EU scope not established. This is a provisional connection, not an outcome finding.</w:t>
      </w:r>
    </w:p>
    <w:p>
      <w:pPr>
        <w:pStyle w:val="SourceNote"/>
      </w:pPr>
      <w:r>
        <w:rPr>
          <w:b/>
        </w:rPr>
        <w:t>Available abstract (not full text):</w:t>
      </w:r>
      <w:r>
        <w:t xml:space="preserve">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pPr/>
      <w:r>
        <w:rPr>
          <w:b/>
        </w:rPr>
        <w:t>POSSIBLE 2023:</w:t>
      </w:r>
      <w:r>
        <w:t xml:space="preserve"> Introduction: Assimilation, integration or transnationalism? An overview of theories of migrant incorporation — https://doi.org/10.1111/imig.13118</w:t>
      </w:r>
    </w:p>
    <w:p>
      <w:pPr/>
      <w:r>
        <w:rPr>
          <w:b/>
        </w:rPr>
        <w:t>Shared claim-specific concepts:</w:t>
      </w:r>
      <w:r>
        <w:t xml:space="preserve"> society, policies, both, societies, process; EU scope visible. This is a provisional connection, not an outcome finding.</w:t>
      </w:r>
    </w:p>
    <w:p>
      <w:pPr>
        <w:pStyle w:val="SourceNote"/>
      </w:pPr>
      <w:r>
        <w:rPr>
          <w:b/>
        </w:rPr>
        <w:t>Available abstract (not full text):</w:t>
      </w:r>
      <w:r>
        <w:t xml:space="preserve"> The incorporation of immigrants is one of the most important issues both in immigration research and for immigration societies. The question of how foreigners become members of a new society and are able to enjoy full access to social, economic and political rights has been as relevant for historical immigration processes like the 19th-century European immigration to the United States as it is for the recent Syrian refugee immigration to Europe or migrants from Latin America who are seeking to escape the violence and corruption in their home countries and are trying to cross the US southern border. To explain incorporation processes, two research paradigms have for a long time dominated scholarly and later also political debates. The first one, assimilation, was introduced as a scholarly concept at the end of the 19th century, but the article Racial Assimilation in Secondary Groups with Particular Reference to Negro by US sociologist Robert Park published in 1914 is widely considered the first seminal contribution on the topic. The ideas expressed by Park were further developed over the next decades, and in the 1980 s, the concept of assimilation crossed the Atlantic and was taken up by European sociologists. In Germany, in particular, US assimilation theory became the basis for one of the most important approaches, the integration concept by sociologist Hartmut Esser (1980, 20</w:t>
      </w:r>
    </w:p>
    <w:p>
      <w:pPr>
        <w:pStyle w:val="Heading2"/>
      </w:pPr>
      <w:r>
        <w:t>524.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r>
        <w:rPr>
          <w:b/>
        </w:rPr>
        <w:t>POSSIBLE 2023:</w:t>
      </w:r>
      <w:r>
        <w:t xml:space="preserve"> Costs and benefits of climate services for heat-health adaptation in Europe — https://doi.org/10.1093/eurpub/ckad160.371</w:t>
      </w:r>
    </w:p>
    <w:p>
      <w:pPr/>
      <w:r>
        <w:rPr>
          <w:b/>
        </w:rPr>
        <w:t>Shared claim-specific concepts:</w:t>
      </w:r>
      <w:r>
        <w:t xml:space="preserve"> background, climate, heat;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How future climate and tree distribution changes shape the biodiversity of macrofungi across Europe — https://doi.org/10.1111/ddi.13688</w:t>
      </w:r>
    </w:p>
    <w:p>
      <w:pPr/>
      <w:r>
        <w:rPr>
          <w:b/>
        </w:rPr>
        <w:t>Shared claim-specific concepts:</w:t>
      </w:r>
      <w:r>
        <w:t xml:space="preserve"> varying, climate, including; EU scope visible. This is a provisional connection, not an outcome finding.</w:t>
      </w:r>
    </w:p>
    <w:p>
      <w:pPr>
        <w:pStyle w:val="SourceNote"/>
      </w:pPr>
      <w:r>
        <w:rPr>
          <w:b/>
        </w:rPr>
        <w:t>Available abstract (not full text):</w:t>
      </w:r>
      <w:r>
        <w:t xml:space="preserve">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background, climate, july, warmer;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525.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2024:</w:t>
      </w:r>
      <w:r>
        <w:t xml:space="preserve"> Narrative Beginnings: Relations between First Full-Fledged Scenes and the Beginning of the Main Action — https://doi.org/10.1353/nar.2024.a916602</w:t>
      </w:r>
    </w:p>
    <w:p>
      <w:pPr/>
      <w:r>
        <w:rPr>
          <w:b/>
        </w:rPr>
        <w:t>Shared claim-specific concepts:</w:t>
      </w:r>
      <w:r>
        <w:t xml:space="preserve"> first, identify, main, alternative; EU scope not established. This is a provisional connection, not an outcome finding.</w:t>
      </w:r>
    </w:p>
    <w:p>
      <w:pPr>
        <w:pStyle w:val="SourceNote"/>
      </w:pPr>
      <w:r>
        <w:rPr>
          <w:b/>
        </w:rPr>
        <w:t>Available abstract (not full text):</w:t>
      </w:r>
      <w:r>
        <w:t xml:space="preserve">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pPr/>
      <w:r>
        <w:rPr>
          <w:b/>
        </w:rPr>
        <w:t>POSSIBLE 2024:</w:t>
      </w:r>
      <w:r>
        <w:t xml:space="preserve"> Population of Kalmykia: Main Geodemographic Trends of the First Quarter of the 21st Century — https://doi.org/10.15688/re.volsu.2024.4.15</w:t>
      </w:r>
    </w:p>
    <w:p>
      <w:pPr/>
      <w:r>
        <w:rPr>
          <w:b/>
        </w:rPr>
        <w:t>Shared claim-specific concepts:</w:t>
      </w:r>
      <w:r>
        <w:t xml:space="preserve"> first, identify, main, trends, region; EU scope not established. This is a provisional connection, not an outcome finding.</w:t>
      </w:r>
    </w:p>
    <w:p>
      <w:pPr>
        <w:pStyle w:val="SourceNote"/>
      </w:pPr>
      <w:r>
        <w:rPr>
          <w:b/>
        </w:rPr>
        <w:t>Available abstract (not full text):</w:t>
      </w:r>
      <w:r>
        <w:t xml:space="preserve">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pPr/>
      <w:r>
        <w:rPr>
          <w:b/>
        </w:rPr>
        <w:t>POSSIBLE 2023:</w:t>
      </w:r>
      <w:r>
        <w:t xml:space="preserve"> Identifying the Main Factors of Providing Primary Preventive Care Services to the Elderly in Iran — https://doi.org/10.32598/sija.2022.3180.3</w:t>
      </w:r>
    </w:p>
    <w:p>
      <w:pPr/>
      <w:r>
        <w:rPr>
          <w:b/>
        </w:rPr>
        <w:t>Shared claim-specific concepts:</w:t>
      </w:r>
      <w:r>
        <w:t xml:space="preserve"> first, identify, main, systems, face, terms; EU scope not established. This is a provisional connection, not an outcome finding.</w:t>
      </w:r>
    </w:p>
    <w:p>
      <w:pPr>
        <w:pStyle w:val="SourceNote"/>
      </w:pPr>
      <w:r>
        <w:rPr>
          <w:b/>
        </w:rPr>
        <w:t>Available abstract (not full text):</w:t>
      </w:r>
      <w:r>
        <w:t xml:space="preserve"> Objectives: The ageing of the population lead to various problems in terms of health care. An important issue related to the promotion of elderly health is preventive care. The health care systems make appropriate changes in the structure and process of providing these services to the patients. This study aims to identify the most important factors of providing primary preventive care services to the elderly in Iran. Methods &amp; Materials: In this descriptive-survey study, the variables were measured using a questionnaire and the causal relationships between them were identified. First, the factors affecting the provision of primary preventive care services to the elderly in selected countries including Iran were compared. Then, using the experiences of a panel of experts (n=12), an initial questionnaire was designed. To obtain consensus from the panel of experts, a Delphi process was carried out in three rounds. After determining the face and content validity of the questionnaire and assessing its reliability using Cronbach’s alpha coefficient, the questionnaire were completed by 176 experts. To measure the effect of the components on the main variable, the structural equation modeling (SEM) was used. Results: The model had 6 dimensions (planning, organizing, resource supply, monitoring, leadership, and preventive care). The factor load for the variable of planning was 0.68 (t=5</w:t>
      </w:r>
    </w:p>
    <w:p>
      <w:pPr/>
      <w:r>
        <w:rPr>
          <w:b/>
        </w:rPr>
        <w:t>POSSIBLE 2023:</w:t>
      </w:r>
      <w:r>
        <w:t xml:space="preserve"> Soil and vegetation water content identify the main terrestrial ecosystem changes — https://doi.org/10.1093/nsr/nwad026</w:t>
      </w:r>
    </w:p>
    <w:p>
      <w:pPr/>
      <w:r>
        <w:rPr>
          <w:b/>
        </w:rPr>
        <w:t>Shared claim-specific concepts:</w:t>
      </w:r>
      <w:r>
        <w:t xml:space="preserve"> identify, main, trends, driving, responses, water; EU scope not established. This is a provisional connection, not an outcome finding.</w:t>
      </w:r>
    </w:p>
    <w:p>
      <w:pPr>
        <w:pStyle w:val="SourceNote"/>
      </w:pPr>
      <w:r>
        <w:rPr>
          <w:b/>
        </w:rPr>
        <w:t>Available abstract (not full text):</w:t>
      </w:r>
      <w:r>
        <w:t xml:space="preserve"> Environmental change is a consequence of many interrelated factors. How vegetation responds to natural and human activity still needs to be well established, quantified and understood. Recent satellite missions providing hydrologic and ecological indicators enable better monitoring of Earth system changes, yet there is no automatic way to address this issue directly from observations. Here, we develop an observation-based methodology to capture evidence of changes in global terrestrial ecosystems and attribute these changes to natural or anthropogenic activity. We use the longest time record of global microwave L-band soil moisture and vegetation optical depth as satellite data and build spatially explicit maps of change in soil and vegetation water content and biomass reflecting large ecosystem changes during the last decade, 2010-20. Regions of prominent trends (from [Formula: see text] to 9% per year) are observed, especially in humid and semi-arid climates. We further combine such trends with land cover change maps, vegetation greenness and precipitation variability to assess their relationship with major documented ecosystem changes. Several regions emerge from our results. They cluster changes according to human activity drivers, including deforestation (Amazon, Central Africa) and wildfires (East Australia), artificial reforestation (South-East China), abandonment of far</w:t>
      </w:r>
    </w:p>
    <w:p>
      <w:pPr>
        <w:pStyle w:val="Heading2"/>
      </w:pPr>
      <w:r>
        <w:t>526.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r>
        <w:rPr>
          <w:b/>
        </w:rPr>
        <w:t>POSSIBLE 2023:</w:t>
      </w:r>
      <w:r>
        <w:t xml:space="preserve"> Modern paradigms and megatrends of industrialdevelopment — https://doi.org/10.15407/econindustry2023.01.005</w:t>
      </w:r>
    </w:p>
    <w:p>
      <w:pPr/>
      <w:r>
        <w:rPr>
          <w:b/>
        </w:rPr>
        <w:t>Shared claim-specific concepts:</w:t>
      </w:r>
      <w:r>
        <w:t xml:space="preserve"> megatrends, long-term, current, increasingly; EU scope not established. This is a provisional connection, not an outcome finding.</w:t>
      </w:r>
    </w:p>
    <w:p>
      <w:pPr>
        <w:pStyle w:val="SourceNote"/>
      </w:pPr>
      <w:r>
        <w:rPr>
          <w:b/>
        </w:rPr>
        <w:t>Available abstract (not full text):</w:t>
      </w:r>
      <w:r>
        <w:t xml:space="preserve">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pPr/>
      <w:r>
        <w:rPr>
          <w:b/>
        </w:rPr>
        <w:t>POSSIBLE 2023:</w:t>
      </w:r>
      <w:r>
        <w:t xml:space="preserve"> Drivers of German Economic Development in the Context of the Megatrend of Digitalization — https://doi.org/10.32983/2222-4459-2023-9-49-55</w:t>
      </w:r>
    </w:p>
    <w:p>
      <w:pPr/>
      <w:r>
        <w:rPr>
          <w:b/>
        </w:rPr>
        <w:t>Shared claim-specific concepts:</w:t>
      </w:r>
      <w:r>
        <w:t xml:space="preserve"> long-term, driving, forces; EU scope visible. This is a provisional connection, not an outcome finding.</w:t>
      </w:r>
    </w:p>
    <w:p>
      <w:pPr>
        <w:pStyle w:val="SourceNote"/>
      </w:pPr>
      <w:r>
        <w:rPr>
          <w:b/>
        </w:rPr>
        <w:t>Available abstract (not full text):</w:t>
      </w:r>
      <w:r>
        <w:t xml:space="preserve"> Digitalization is one of the key modern drivers of influence on the development of the economies of both individual countries and the world economy as a whole. Accordingly, the megatrend of digitalization determines both opportunities and challenges for national economies with the most significant focus on the largest economies of the countries to which the German economy belongs. The aim of the article is to analyze the features of the complex of actions of the part of the Federal Republic of Germany to support digitalization in the traditional sectors of the economy. The article discusses the features of transformation under the influence of digitalization in the traditional sectors of the German economy, which leads to significant changes in the driving forces of the economic model of the Federal Republic. It is noted that the German economy faces a number of short-term challenges, including the long-term consequences of the COVID-19 pandemic and the Russian-Ukrainian war. In particular, under the influence of exogenous factors, the inflation rate in Germany increased to 7.9% in 2022 from 3.1% in 2021. These crisis challenges have put a certain strain on various sectors of the German economy, creating new challenges for economic development. It is noted that the Federal Government of Germany applies an integrated approach aimed at stimulating both economic development at the</w:t>
      </w:r>
    </w:p>
    <w:p>
      <w:pPr/>
      <w:r>
        <w:rPr>
          <w:b/>
        </w:rPr>
        <w:t>POSSIBLE 2023:</w:t>
      </w:r>
      <w:r>
        <w:t xml:space="preserve"> The Role of Think Tanks in Megatrends Analysis and Future Research — https://doi.org/10.32388/p4hg2e.2</w:t>
      </w:r>
    </w:p>
    <w:p>
      <w:pPr/>
      <w:r>
        <w:rPr>
          <w:b/>
        </w:rPr>
        <w:t>Shared claim-specific concepts:</w:t>
      </w:r>
      <w:r>
        <w:t xml:space="preserve"> megatrends, driving, regions; EU scope not established. This is a provisional connection, not an outcome finding.</w:t>
      </w:r>
    </w:p>
    <w:p>
      <w:pPr>
        <w:pStyle w:val="SourceNote"/>
      </w:pPr>
      <w:r>
        <w:rPr>
          <w:b/>
        </w:rPr>
        <w:t>Available abstract (not full text):</w:t>
      </w:r>
      <w:r>
        <w:t xml:space="preserve"> This paper aims to explore the interconnection between megatrends analysis, future research, and the work of think tanks. Policymakers, business leaders, and asset managers have shown a growing interest in megatrends analysis and future research which is leading to increased visibility for some think tanks, including in the Global South. Based on our analysis of the role and evolving landscape of think tanks and our engagement with leaders of think tanks from different world regions, we argue that a growing number of think tanks are involved in driving megatrends discourses and make significant contributions to future research and strategic foresight though solid evidence in form of statistics are not available. This paper will try to analyse the question to which extent think tanks engage in discourses on megatrends and future research and if and how such discourses have a wider impact on the orientation of think tanks? We argue that the landscape of think tanks is very diverse, not just in terms of size or political orientation. They apply diverse strategies of knowledge dissemination and policy advice. Thus, it would not be advisable to test general hypotheses and draw far-reaching conclusions. However, we consider it worthwhile to have a closer look at think tanks from different countries and world regions in order to understand how their work relates to megatrends and futu</w:t>
      </w:r>
    </w:p>
    <w:p>
      <w:pPr>
        <w:pStyle w:val="Heading2"/>
      </w:pPr>
      <w:r>
        <w:t>527.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2025:</w:t>
      </w:r>
      <w:r>
        <w:t xml:space="preserve"> TOWARDS THE EU NET-ZERO: ENERGY PERFORMANCE CONTRACTINGIN THE EUROPEAN UNION POLICY AND REGULATORY FRAMEWORK — https://doi.org/10.46763/scgw25112g203c</w:t>
      </w:r>
    </w:p>
    <w:p>
      <w:pPr/>
      <w:r>
        <w:rPr>
          <w:b/>
        </w:rPr>
        <w:t>Shared claim-specific concepts:</w:t>
      </w:r>
      <w:r>
        <w:t xml:space="preserve"> revision, energy, performance, directive; EU scope visible. This is a provisional connection, not an outcome finding.</w:t>
      </w:r>
    </w:p>
    <w:p>
      <w:pPr>
        <w:pStyle w:val="SourceNote"/>
      </w:pPr>
      <w:r>
        <w:rPr>
          <w:b/>
        </w:rPr>
        <w:t>Available abstract (not full text):</w:t>
      </w:r>
      <w:r>
        <w:t xml:space="preserve">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pPr/>
      <w:r>
        <w:rPr>
          <w:b/>
        </w:rPr>
        <w:t>POSSIBLE 2024:</w:t>
      </w:r>
      <w:r>
        <w:t xml:space="preserve"> Towards harmonising energy performance certificate indicators in Europe — https://doi.org/10.1016/j.jobe.2024.110323</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2024:</w:t>
      </w:r>
      <w:r>
        <w:t xml:space="preserve"> Energy and environmental performance from field operation of commercial-scale SOFC systems — https://doi.org/10.1016/j.ijhydene.2024.08.332</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pPr/>
      <w:r>
        <w:rPr>
          <w:b/>
        </w:rPr>
        <w:t>POSSIBLE 2024:</w:t>
      </w:r>
      <w:r>
        <w:t xml:space="preserve"> Going beyond the Council as brake of EU energy policy: Analysing the internal process of the Council in the recast of the Energy Performance of Buildings Directive — https://doi.org/10.1016/j.enpol.2024.114388</w:t>
      </w:r>
    </w:p>
    <w:p>
      <w:pPr/>
      <w:r>
        <w:rPr>
          <w:b/>
        </w:rPr>
        <w:t>Shared claim-specific concepts:</w:t>
      </w:r>
      <w:r>
        <w:t xml:space="preserve"> energy, performance, directive; EU scope visible. This is a provisional connection, not an outcome finding.</w:t>
      </w:r>
    </w:p>
    <w:p>
      <w:pPr>
        <w:pStyle w:val="SourceNote"/>
      </w:pPr>
      <w:r>
        <w:rPr>
          <w:b/>
        </w:rPr>
        <w:t>Available abstract (not full text):</w:t>
      </w:r>
      <w:r>
        <w:t xml:space="preserve"> The Council is the voice of the member states' governments in the EU policymaking process and the institutional setting where member states can enforce their national interest. The literature on Council decision-making has previously mostly used expert interviews or voting patterns. Through a detailed examination of one specific legislative file in the recent ‘Fit for 55’ climate package in which subsidiarity and varying national conditions is central, this study focus on how disagreements between member states are resolved and how strategic word framing can aid in resolving political controversies in EU energy policy. This article analyses Council working group meeting notes and revisions of the recent recast of the Energy Performance of Buildings Directive, providing a unique look behind the curtains of negotiations between member states in the Council within a deliberative intergovernmental framework. A mix of quantitative and qualitative text analysis is applied to deliberations and legislative revisions. The findings show that a fragile consensus is reached despite disagreement through enabling of national flexibility in policy decisions, indicating that the Council determines the speed of European integration in the policy domain.</w:t>
      </w:r>
    </w:p>
    <w:p>
      <w:pPr/>
      <w:r>
        <w:rPr>
          <w:b/>
        </w:rPr>
        <w:t>POSSIBLE 2024:</w:t>
      </w:r>
      <w:r>
        <w:t xml:space="preserve"> Challenges and opportunities in European smart buildings energy management: A critical review — https://doi.org/10.1016/j.rser.2024.114472</w:t>
      </w:r>
    </w:p>
    <w:p>
      <w:pPr/>
      <w:r>
        <w:rPr>
          <w:b/>
        </w:rPr>
        <w:t>Shared claim-specific concepts:</w:t>
      </w:r>
      <w:r>
        <w:t xml:space="preserve"> energy, performance, building, stock; EU scope visible. This is a provisional connection, not an outcome finding.</w:t>
      </w:r>
    </w:p>
    <w:p>
      <w:pPr>
        <w:pStyle w:val="SourceNote"/>
      </w:pPr>
      <w:r>
        <w:rPr>
          <w:b/>
        </w:rPr>
        <w:t>Available abstract (not full text):</w:t>
      </w:r>
      <w:r>
        <w:t xml:space="preserve"> The substantial stock of European buildings, accounting for more than 40% of energy consumption, has prompted member states to establish a renovation standard with stringent performance criteria. As advancing into the era of digital transformation, the concept of smart buildings emerges as a solution to create sustainable, efficient, resilient, active, and comfortable living and working spaces. This is achieved through intelligent resource use optimization, including the smart management of energy production, storage and distribution systems. Smart buildings operate by harnessing monitoring data and leveraging artificial intelligence algorithms and big data techniques. The integration of monitoring data with contextual information, such as building information modelling, physics, or simulation models, enhances the intelligent management of resources. Moreover, the incorporation of metrics like the smart readiness indicator promotes the adoption of smart buildings. This study delves into the significance of these techniques, expanding on existing research in the field of smart buildings. It integrates concepts of data enrichment, smartness, and user-centric approaches. Key findings provide insights into future opportunities within the sector, emphasizing the need for user awareness strategies, the development of new smart algorithms, and services that incorporate contextual data</w:t>
      </w:r>
    </w:p>
    <w:p>
      <w:pPr/>
      <w:r>
        <w:rPr>
          <w:b/>
        </w:rPr>
        <w:t>POSSIBLE 2023:</w:t>
      </w:r>
      <w:r>
        <w:t xml:space="preserve"> Impact of climate change on the energy performance of building envelopes and implications on energy regulations across Europe — https://doi.org/10.1016/j.energy.2023.129886</w:t>
      </w:r>
    </w:p>
    <w:p>
      <w:pPr/>
      <w:r>
        <w:rPr>
          <w:b/>
        </w:rPr>
        <w:t>Shared claim-specific concepts:</w:t>
      </w:r>
      <w:r>
        <w:t xml:space="preserve"> revision, energy, performance, building; EU scope visible. This is a provisional connection, not an outcome finding.</w:t>
      </w:r>
    </w:p>
    <w:p>
      <w:pPr>
        <w:pStyle w:val="SourceNote"/>
      </w:pPr>
      <w:r>
        <w:rPr>
          <w:b/>
        </w:rPr>
        <w:t>Available abstract (not full text):</w:t>
      </w:r>
      <w:r>
        <w:t xml:space="preserve"> This paper delves into the potential impact of a changing climate on the energy performance of European buildings. Research aims to provide a comprehensive evaluation of current energy requirements focusing on the envelope, considering existing regulations in national policies. Energy simulations are conducted at 94 locations across the European Union to cover the climatic variability and Koppen climate classification. The research analyzes future climate scenarios for the years 2030, 2050, and 2070, using three different Representative Concentration Pathways (RCP 2.6, 4.5, 8.5). According to a comprehensive analysis of heating, cooling, and overall energy performance, climate plays a significant role in buildings' energy balance. In moderately cool climate countries, the demand for air conditioning is projected to decrease in the years ahead. Conversely, in countries with a warm climate, there is a projected increase in the overall energy demand. Consequently, a revision of current energy regulations should be a priority. Providing insights into the relation between building design, energy efficiency, and climate change, the research identifies policy adjustments to ensure buildings can effectively respond to changing climatic conditions. A holistic and dynamic approach can support building design accounting for long-term impacts of climate change to create resilient and energ</w:t>
      </w:r>
    </w:p>
    <w:p>
      <w:pPr/>
      <w:r>
        <w:rPr>
          <w:b/>
        </w:rPr>
        <w:t>POSSIBLE 2023:</w:t>
      </w:r>
      <w:r>
        <w:t xml:space="preserve"> Assessing Efficiency and Environmental Performance of a Nearly Zero-Energy University Building’s Energy System in Norway — https://doi.org/10.3390/buildings13010169</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Increasing awareness of climate issues in recent decades has led to new policies on buildings’ energy consumption and energy performance. The European Union (EU) directive 2010/31/EC, i.e., the energy performance of buildings directive (EPBD), is one of the measures initiated to achieve climate and energy goals by reducing energy use and greenhouse gas emissions in the building sector. The EPBD required all new buildings to be nearly zero-energy buildings (nZEBs) by 2021. Nearly zero-energy buildings (nZEBs) are buildings with a very-high-energy performance and nearly zero or low-energy requirements covered to a very significant extent by energy from renewable sources produced on-site or nearby. The utilisation of solar photovoltaic (PV) panels is a common approach for achieving the nZEB standard. The carbon footprint of PV panels is often not discussed as a parameter. This paper aimed to analyse the environmental performance of an existing nearly zero-energy university building in a Norwegian use case scenario. This analysis is performed by assessing annual electricity and heat consumption from both energetic and environmental perspectives. The energy required for the building during the studied period is then used to analyse the environmental and energy performance of the building. When it comes to the environmental assessment, the commercial software SimaPro was used. The pr</w:t>
      </w:r>
    </w:p>
    <w:p>
      <w:pPr/>
      <w:r>
        <w:rPr>
          <w:b/>
        </w:rPr>
        <w:t>POSSIBLE 2023:</w:t>
      </w:r>
      <w:r>
        <w:t xml:space="preserve"> Energy Economic Development in Europe — https://doi.org/10.3390/books978-3-0365-7112-6</w:t>
      </w:r>
    </w:p>
    <w:p>
      <w:pPr/>
      <w:r>
        <w:rPr>
          <w:b/>
        </w:rPr>
        <w:t>Shared claim-specific concepts:</w:t>
      </w:r>
      <w:r>
        <w:t xml:space="preserve"> energy, achieve;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Analysis of the energy performance strategies in a historical building used as a music school — https://doi.org/10.1016/j.dibe.2023.100195</w:t>
      </w:r>
    </w:p>
    <w:p>
      <w:pPr/>
      <w:r>
        <w:rPr>
          <w:b/>
        </w:rPr>
        <w:t>Shared claim-specific concepts:</w:t>
      </w:r>
      <w:r>
        <w:t xml:space="preserve"> energy, performance, building; EU scope not established. This is a provisional connection, not an outcome finding.</w:t>
      </w:r>
    </w:p>
    <w:p>
      <w:pPr>
        <w:pStyle w:val="SourceNote"/>
      </w:pPr>
      <w:r>
        <w:rPr>
          <w:b/>
        </w:rPr>
        <w:t>Available abstract (not full text):</w:t>
      </w:r>
      <w:r>
        <w:t xml:space="preserve"> Energy consumption in public education buildings depends on use and occupancy. To improve energy performance, energy audits are essential to identify specific solutions for each building. In this study, we conducted an energy audit of a historical building used as a public education centre. We collected gas and electricity bills and recorded indoor temperatures for over a year to determine heating and cooling set points and the schedules. Our analysis showed that 47.42% of the electricity bills were unused. To reduce energy demand and improve thermal comfort, we both developed and validated a Building Energy Modelling (BEM) approach using TRNSYS18 and weather data during year 2021. The BEM model allowed us to propose efficient measures to meet the Standard Passive requirements. Our results demonstrate the effectiveness of energy audits and BEM modelling in reducing energy consumption in public education buildings.</w:t>
      </w:r>
    </w:p>
    <w:p>
      <w:pPr>
        <w:pStyle w:val="Heading2"/>
      </w:pPr>
      <w:r>
        <w:t>528.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2024:</w:t>
      </w:r>
      <w:r>
        <w:t xml:space="preserve"> Soil Quality Index According to Diverse Land Use Systems Across the Europe — https://doi.org/10.1002/ldr.5438</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pPr/>
      <w:r>
        <w:rPr>
          <w:b/>
        </w:rPr>
        <w:t>POSSIBLE 2024:</w:t>
      </w:r>
      <w:r>
        <w:t xml:space="preserve"> A unifying modelling of multiple land degradation pathways in Europe — https://doi.org/10.1038/s41467-024-48252-x</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European Extreme Events Climate Index (E3CI) — https://doi.org/10.5194/egusphere-egu23-13344</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pPr/>
      <w:r>
        <w:rPr>
          <w:b/>
        </w:rPr>
        <w:t>POSSIBLE 2023:</w:t>
      </w:r>
      <w:r>
        <w:t xml:space="preserve"> Towards Inclusive Prosperity and Development in European Countries Using the Transitioning Performance Index — https://doi.org/10.5817/cz.muni.p280-0311-2023-23</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need to assess sustainable processes and states is a driving assumption for the paper, having as an objective to explore the assessment model of the Transitioning Performance Index by the European Union. The purpose is to analyze for 24 out of the EU-27 countries for the year 2020 using multivariate, the distribution of performance within the 37 indicators used for the estimation of the transitioning performance index. The results produced 24 principal components of which the first 8 accounted for 89 percent cumulative variation and 10 accounted for 93 percent. The 24 countries selected were further classified into 4 groups based on the PCA results and the observable correlations between the original variables and the PCA were also determined. The results showed that the main indicators and the new PCA could be used as policy and decision-making guidelines for individual countries to determine strengths, weaknesses and opportunities for inclusive and sustainable development initiatives and programmes.</w:t>
      </w:r>
    </w:p>
    <w:p>
      <w:pPr/>
      <w:r>
        <w:rPr>
          <w:b/>
        </w:rPr>
        <w:t>POSSIBLE 2023:</w:t>
      </w:r>
      <w:r>
        <w:t xml:space="preserve"> The Effect of Volatility Index on Turkish and European Stock Indices — https://doi.org/10.36880/c15.02767</w:t>
      </w:r>
    </w:p>
    <w:p>
      <w:pPr/>
      <w:r>
        <w:rPr>
          <w:b/>
        </w:rPr>
        <w:t>Shared claim-specific concepts:</w:t>
      </w:r>
      <w:r>
        <w:t xml:space="preserve"> use, index, also, effect; EU scope visible. This is a provisional connection, not an outcome finding.</w:t>
      </w:r>
    </w:p>
    <w:p>
      <w:pPr>
        <w:pStyle w:val="SourceNote"/>
      </w:pPr>
      <w:r>
        <w:rPr>
          <w:b/>
        </w:rPr>
        <w:t>Available abstract (not full text):</w:t>
      </w:r>
      <w:r>
        <w:t xml:space="preserve"> In times of high uncertainty, it is usual for investors to be cautious about the capital markets and turn to investment instruments that are considered a security blanket. This situation may adversely affect the capital markets and the real sector. In this context, it is aimed to investigate the effect of the Volatility Index (VIX), also known as Fear Index, on some European stock markets. In the study, five different models were created in which the independent variable is VIX and the dependent variables are FTSE 100, DAX, CAC 40, BIST 30 and BIST Participation 30. Including the BIST Participation 30 Index in the study; it is also desired to determine whether there is a difference in the context of the conventional index-Islamic Index. In the study, a weekly data set including 76 observations was used in the period of 12.11.2021-28.04.2023. Data were obtained from Refinitiv Eikon. The long-term relationship of the variables was examined with the Engle-Granger Cointegration Test. Cointegration relationships were determined between VIX and FTSE 100; it was specified that there is no cointegrated relationships between VIX and BIST 30, BIST Participation 30, DAX and CAC 40. Fully Modified Ordinary Least Squares (FMOLS) method was used to estimate the coefficients of the relationship between the variables whose cointegration relationship was determined. Consistent with the literatu</w:t>
      </w:r>
    </w:p>
    <w:p>
      <w:pPr/>
      <w:r>
        <w:rPr>
          <w:b/>
        </w:rPr>
        <w:t>POSSIBLE 2023:</w:t>
      </w:r>
      <w:r>
        <w:t xml:space="preserve"> Assessment of fire weather index calculations in Europe — https://doi.org/10.5194/egusphere-egu23-12233</w:t>
      </w:r>
    </w:p>
    <w:p>
      <w:pPr/>
      <w:r>
        <w:rPr>
          <w:b/>
        </w:rPr>
        <w:t>Shared claim-specific concepts:</w:t>
      </w:r>
      <w:r>
        <w:t xml:space="preserve"> use, index, also, useful; EU scope visible. This is a provisional connection, not an outcome finding.</w:t>
      </w:r>
    </w:p>
    <w:p>
      <w:pPr>
        <w:pStyle w:val="SourceNote"/>
      </w:pPr>
      <w:r>
        <w:rPr>
          <w:b/>
        </w:rPr>
        <w:t>Available abstract (not full text):</w:t>
      </w:r>
      <w:r>
        <w:t xml:space="preserve"> Wildfires caused by extreme weather conditions e.g high temperatures and drought have been increasing both in frequency and magnitude in the recent years. Due to the changing climate also regions with few recorded forest fires in the past are likely to be more frequently affected by wildfires. These wildfires have many social, economic, and environmental impacts. The EU funded SAFERS project, Structured Approaches for Forest Fire Emergencies in Resilient Societies, is creating an open and integrated platform featuring a forest fire decision support system in order to support societies becoming more resilient when acting against forests fires. The platform will, among other information, provide weather forecasts and forest fire indices to assess the risk of forest fires. Using the Canadian Forest Fire Weather Index (FWI) system [Van Wagner, 1974], fuel moisture (FFMC, DMC, DC) and fire behaviour indices (ISI, BUI, FWI) can be calculated using solely meteorological parameters (temperature, relative humidity, wind speed, and 24-hour precipitation). The Canadian FWI has been proved useful for forest fire risk assessment in different regions and has been adapted by multiple meteorological agencies worldwide. In our study, we use high resolution deterministic weather forecasts, as well as medium-range and extended-range weather forecasts provided by the European Centre for Medium-Ran</w:t>
      </w:r>
    </w:p>
    <w:p>
      <w:pPr>
        <w:pStyle w:val="Heading2"/>
      </w:pPr>
      <w:r>
        <w:t>529.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2024:</w:t>
      </w:r>
      <w:r>
        <w:t xml:space="preserve"> Mechanical thrombectomy practices in Europe: Insights from a survey of European neuroradiologists from the ESMINT — https://doi.org/10.1177/23969873241286000</w:t>
      </w:r>
    </w:p>
    <w:p>
      <w:pPr/>
      <w:r>
        <w:rPr>
          <w:b/>
        </w:rPr>
        <w:t>Shared claim-specific concepts:</w:t>
      </w:r>
      <w:r>
        <w:t xml:space="preserve"> two, surveys, data, between, training, other; EU scope visible. This is a provisional connection, not an outcome finding.</w:t>
      </w:r>
    </w:p>
    <w:p>
      <w:pPr>
        <w:pStyle w:val="SourceNote"/>
      </w:pPr>
      <w:r>
        <w:rPr>
          <w:b/>
        </w:rPr>
        <w:t>Available abstract (not full text):</w:t>
      </w:r>
      <w:r>
        <w:t xml:space="preserve">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pPr/>
      <w:r>
        <w:rPr>
          <w:b/>
        </w:rPr>
        <w:t>POSSIBLE 2024:</w:t>
      </w:r>
      <w:r>
        <w:t xml:space="preserve"> Current practices in clinical gait analysis in Europe: A comprehensive survey-based study from the European society for movement analysis in adults and children (ESMAC) standard initiative — https://doi.org/10.1016/j.gaitpost.2024.04.014</w:t>
      </w:r>
    </w:p>
    <w:p>
      <w:pPr/>
      <w:r>
        <w:rPr>
          <w:b/>
        </w:rPr>
        <w:t>Shared claim-specific concepts:</w:t>
      </w:r>
      <w:r>
        <w:t xml:space="preserve"> there, collaboration, data, between, training; EU scope visible. This is a provisional connection, not an outcome finding.</w:t>
      </w:r>
    </w:p>
    <w:p>
      <w:pPr>
        <w:pStyle w:val="SourceNote"/>
      </w:pPr>
      <w:r>
        <w:rPr>
          <w:b/>
        </w:rPr>
        <w:t>Available abstract (not full text):</w:t>
      </w:r>
      <w:r>
        <w:t xml:space="preserve">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pPr/>
      <w:r>
        <w:rPr>
          <w:b/>
        </w:rPr>
        <w:t>POSSIBLE 2023:</w:t>
      </w:r>
      <w:r>
        <w:t xml:space="preserve"> Subspecialisation in radiology in Europe, a survey of the accreditation council of imaging — https://doi.org/10.1186/s13244-023-01481-y</w:t>
      </w:r>
    </w:p>
    <w:p>
      <w:pPr/>
      <w:r>
        <w:rPr>
          <w:b/>
        </w:rPr>
        <w:t>Shared claim-specific concepts:</w:t>
      </w:r>
      <w:r>
        <w:t xml:space="preserve"> two, there, offer, training, insight; EU scope visible. This is a provisional connection, not an outcome finding.</w:t>
      </w:r>
    </w:p>
    <w:p>
      <w:pPr>
        <w:pStyle w:val="SourceNote"/>
      </w:pPr>
      <w:r>
        <w:rPr>
          <w:b/>
        </w:rPr>
        <w:t>Available abstract (not full text):</w:t>
      </w:r>
      <w:r>
        <w:t xml:space="preserve">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pPr/>
      <w:r>
        <w:rPr>
          <w:b/>
        </w:rPr>
        <w:t>POSSIBLE 2023:</w:t>
      </w:r>
      <w:r>
        <w:t xml:space="preserve"> Landslide monitoring techniques in the Geological Surveys of Europe — https://doi.org/10.1007/s10346-022-02007-1</w:t>
      </w:r>
    </w:p>
    <w:p>
      <w:pPr/>
      <w:r>
        <w:rPr>
          <w:b/>
        </w:rPr>
        <w:t>Shared claim-specific concepts:</w:t>
      </w:r>
      <w:r>
        <w:t xml:space="preserve"> surveys, indicate, data, between, each; EU scope visible. This is a provisional connection, not an outcome finding.</w:t>
      </w:r>
    </w:p>
    <w:p>
      <w:pPr>
        <w:pStyle w:val="SourceNote"/>
      </w:pPr>
      <w:r>
        <w:rPr>
          <w:b/>
        </w:rPr>
        <w:t>Available abstract (not full text):</w:t>
      </w:r>
      <w:r>
        <w:t xml:space="preserve">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pPr/>
      <w:r>
        <w:rPr>
          <w:b/>
        </w:rPr>
        <w:t>POSSIBLE 2023:</w:t>
      </w:r>
      <w:r>
        <w:t xml:space="preserve"> Soft Drink Intake in Europe—A Review of Data from Nationally Representative Food Consumption Surveys — https://doi.org/10.3390/nu15061368</w:t>
      </w:r>
    </w:p>
    <w:p>
      <w:pPr/>
      <w:r>
        <w:rPr>
          <w:b/>
        </w:rPr>
        <w:t>Shared claim-specific concepts:</w:t>
      </w:r>
      <w:r>
        <w:t xml:space="preserve"> surveys, data, insight; EU scope visible. This is a provisional connection, not an outcome finding.</w:t>
      </w:r>
    </w:p>
    <w:p>
      <w:pPr>
        <w:pStyle w:val="SourceNote"/>
      </w:pPr>
      <w:r>
        <w:rPr>
          <w:b/>
        </w:rPr>
        <w:t>Available abstract (not full text):</w:t>
      </w:r>
      <w:r>
        <w:t xml:space="preserve"> Public health interest in reducing the intake of sugar-sweetened soft drinks has resulted in various guidelines and initiatives related to their consumption, together with an increase in availability and sales of low and no-sugars versions. The aim of this review was to gain insight regarding individual-level amounts and types of soft drinks consumed across the lifecycle as reported in nationally representative surveys in Europe. The review highlighted significant gaps and challenges regarding the availability of recent country-specific soft drink consumption data including heterogeneity in categorisations used in reporting soft drinks. Nonetheless, crude estimates of mean intake (across countries) indicated that total soft drinks and soft drinks with sugars was highest in adolescents and lowest in infants/toddlers and older adults. For infants/toddlers, crude mean intakes of soft drinks with reduced/no sugars were higher than soft drinks with sugars. The review also found that consumption of total soft drinks is decreasing with a shift to consumption of soft drinks with reduced/no sugars in replacement of sugars-containing soft drinks. This review provides valuable insight into what data are currently available on soft drink consumption in Europe with heterogeneity in categorisations, terminology, and definitions of soft drinks observed.</w:t>
      </w:r>
    </w:p>
    <w:p>
      <w:pPr/>
      <w:r>
        <w:rPr>
          <w:b/>
        </w:rPr>
        <w:t>POSSIBLE 2023:</w:t>
      </w:r>
      <w:r>
        <w:t xml:space="preserve"> 15 years overview of European zoonotic surveys in wild boar and red deer: A systematic review — https://doi.org/10.1016/j.onehlt.2023.100519</w:t>
      </w:r>
    </w:p>
    <w:p>
      <w:pPr/>
      <w:r>
        <w:rPr>
          <w:b/>
        </w:rPr>
        <w:t>Shared claim-specific concepts:</w:t>
      </w:r>
      <w:r>
        <w:t xml:space="preserve"> surveys, there, other; EU scope visible. This is a provisional connection, not an outcome finding.</w:t>
      </w:r>
    </w:p>
    <w:p>
      <w:pPr>
        <w:pStyle w:val="SourceNote"/>
      </w:pPr>
      <w:r>
        <w:rPr>
          <w:b/>
        </w:rPr>
        <w:t>Available abstract (not full text):</w:t>
      </w:r>
      <w:r>
        <w:t xml:space="preserve"> Wild boar (Sus scrofa) and red deer (Cervus elaphus) are the main large game species hunted in Europe. They can also be a source of zoonotic infections for cohabiting humans. The purpose of this systematic review was to examine the spatiotemporal tendencies and sanitary profiles of surveys on zoonotic diseases of wild boars and red deer in Europe in 15 years (2006–2020). Through the search strategy “((sus scrofa OR wild boar OR cervus elaphus OR red deer) AND (zoonosis OR zoonot* OR infectious disease))” in Pubmed and ScienceDirect databases, 1419 articles were assessed in February of 2021. Pursuing the inclusion criteria: species of interest – wild boar and red deer, established zoonosis and presence of natural infection and the exclusion filters: European study, specified a timeline (2006–2020), printed in English and with open-access. To conduct this systematic review, 194 European surveys issued in indexed journals were included after revising all abstracts and eliminating 323 unrepeated articles. Geographically, dissimilarity in the pattern of distribution of surveys was uttered. In the short term, the pattern of the number of publications about zoonotic diseases in wild boars and red deer oscillates, but with an increasing tendency over 15 years under study. When examining the sanitary profile of the eligible surveys, the focus is mostly on zoonoses such as Hepatitis E vi</w:t>
      </w:r>
    </w:p>
    <w:p>
      <w:pPr>
        <w:pStyle w:val="Heading2"/>
      </w:pPr>
      <w:r>
        <w:t>530.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r>
        <w:rPr>
          <w:b/>
        </w:rPr>
        <w:t>POSSIBLE 2024:</w:t>
      </w:r>
      <w:r>
        <w:t xml:space="preserve"> Approaches to a New Regional Energy Security Model in the Perspective of the European Transition to Green Energy — https://doi.org/10.3390/economies12030061</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pPr/>
      <w:r>
        <w:rPr>
          <w:b/>
        </w:rPr>
        <w:t>POSSIBLE 2024:</w:t>
      </w:r>
      <w:r>
        <w:t xml:space="preserve"> Current European Energy Architecture — https://openalex.org/W7110603362</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r>
        <w:rPr>
          <w:b/>
        </w:rPr>
        <w:t>POSSIBLE 2023:</w:t>
      </w:r>
      <w:r>
        <w:t xml:space="preserve"> A Comparison of American, Canadian, and European Home Energy Performance in Heating Dominated – Moist Climates Based on Building Codes — https://doi.org/10.7275/4925868</w:t>
      </w:r>
    </w:p>
    <w:p>
      <w:pPr/>
      <w:r>
        <w:rPr>
          <w:b/>
        </w:rPr>
        <w:t>Shared claim-specific concepts:</w:t>
      </w:r>
      <w:r>
        <w:t xml:space="preserve"> quantify, energy, climate, objectives; EU scope visible. This is a provisional connection, not an outcome finding.</w:t>
      </w:r>
    </w:p>
    <w:p>
      <w:pPr>
        <w:pStyle w:val="SourceNote"/>
      </w:pPr>
      <w:r>
        <w:rPr>
          <w:b/>
        </w:rPr>
        <w:t>Available abstract (not full text):</w:t>
      </w:r>
      <w:r>
        <w:t xml:space="preserve">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pPr/>
      <w:r>
        <w:rPr>
          <w:b/>
        </w:rPr>
        <w:t>POSSIBLE 2023:</w:t>
      </w:r>
      <w:r>
        <w:t xml:space="preserve"> Quantification of the energy flexibility of residential building clusters: Impact of long-term refurbishment strategies of the italian building stock — https://doi.org/10.1016/j.enbuild.2023.113416</w:t>
      </w:r>
    </w:p>
    <w:p>
      <w:pPr/>
      <w:r>
        <w:rPr>
          <w:b/>
        </w:rPr>
        <w:t>Shared claim-specific concepts:</w:t>
      </w:r>
      <w:r>
        <w:t xml:space="preserve"> objective, quantify, energy, objectives, reach; EU scope visible. This is a provisional connection, not an outcome finding.</w:t>
      </w:r>
    </w:p>
    <w:p>
      <w:pPr>
        <w:pStyle w:val="SourceNote"/>
      </w:pPr>
      <w:r>
        <w:rPr>
          <w:b/>
        </w:rPr>
        <w:t>Available abstract (not full text):</w:t>
      </w:r>
      <w:r>
        <w:t xml:space="preserve">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pPr/>
      <w:r>
        <w:rPr>
          <w:b/>
        </w:rPr>
        <w:t>POSSIBLE 2023:</w:t>
      </w:r>
      <w:r>
        <w:t xml:space="preserve"> Using urban building energy modeling to quantify the energy performance of residential buildings under climate change — https://doi.org/10.1007/s12273-023-1032-2</w:t>
      </w:r>
    </w:p>
    <w:p>
      <w:pPr/>
      <w:r>
        <w:rPr>
          <w:b/>
        </w:rPr>
        <w:t>Shared claim-specific concepts:</w:t>
      </w:r>
      <w:r>
        <w:t xml:space="preserve"> quantify, energy, climate; EU scope not established. This is a provisional connection, not an outcome finding.</w:t>
      </w:r>
    </w:p>
    <w:p>
      <w:pPr>
        <w:pStyle w:val="SourceNote"/>
      </w:pPr>
      <w:r>
        <w:rPr>
          <w:b/>
        </w:rPr>
        <w:t>Available abstract (not full text):</w:t>
      </w:r>
      <w:r>
        <w:t xml:space="preserve"> Unavailable</w:t>
      </w:r>
    </w:p>
    <w:p>
      <w:pPr>
        <w:pStyle w:val="Heading2"/>
      </w:pPr>
      <w:r>
        <w:t>531.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2023:</w:t>
      </w:r>
      <w:r>
        <w:t xml:space="preserve"> Introduction to the ESPAUR Webinar and Report 2021–2022: Key Findings and Stakeholder Engagement — https://doi.org/10.3390/msf2022015018</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pStyle w:val="Heading2"/>
      </w:pPr>
      <w:r>
        <w:t>532.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2024:</w:t>
      </w:r>
      <w:r>
        <w:t xml:space="preserve"> A unifying modelling of multiple land degradation pathways in Europe — https://doi.org/10.1038/s41467-024-48252-x</w:t>
      </w:r>
    </w:p>
    <w:p>
      <w:pPr/>
      <w:r>
        <w:rPr>
          <w:b/>
        </w:rPr>
        <w:t>Shared claim-specific concepts:</w:t>
      </w:r>
      <w:r>
        <w:t xml:space="preserve"> modelling, three, mitigation;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2022:</w:t>
      </w:r>
      <w:r>
        <w:t xml:space="preserve"> Update of model for wild ruminant abundance based on occurrence and first models based on hunting yield at European scale — https://doi.org/10.2903/sp.efsa.2022.en-7174</w:t>
      </w:r>
    </w:p>
    <w:p>
      <w:pPr/>
      <w:r>
        <w:rPr>
          <w:b/>
        </w:rPr>
        <w:t>Shared claim-specific concepts:</w:t>
      </w:r>
      <w:r>
        <w:t xml:space="preserve"> unique, modelling, framework, target; EU scope visible. This is a provisional connection, not an outcome finding.</w:t>
      </w:r>
    </w:p>
    <w:p>
      <w:pPr>
        <w:pStyle w:val="SourceNote"/>
      </w:pPr>
      <w:r>
        <w:rPr>
          <w:b/>
        </w:rPr>
        <w:t>Available abstract (not full text):</w:t>
      </w:r>
      <w:r>
        <w:t xml:space="preserve">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co2, emissions, transport, infrastructure;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r>
        <w:rPr>
          <w:b/>
        </w:rPr>
        <w:t>POSSIBLE 2022:</w:t>
      </w:r>
      <w:r>
        <w:t xml:space="preserve"> New models for wild ungulates occurrence and hunting yield abundance at European scale — https://doi.org/10.2903/sp.efsa.2022.en-7631</w:t>
      </w:r>
    </w:p>
    <w:p>
      <w:pPr/>
      <w:r>
        <w:rPr>
          <w:b/>
        </w:rPr>
        <w:t>Shared claim-specific concepts:</w:t>
      </w:r>
      <w:r>
        <w:t xml:space="preserve"> modelling, framework, three, available; EU scope visible. This is a provisional connection, not an outcome finding.</w:t>
      </w:r>
    </w:p>
    <w:p>
      <w:pPr>
        <w:pStyle w:val="SourceNote"/>
      </w:pPr>
      <w:r>
        <w:rPr>
          <w:b/>
        </w:rPr>
        <w:t>Available abstract (not full text):</w:t>
      </w:r>
      <w:r>
        <w:t xml:space="preserve">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pPr/>
      <w:r>
        <w:rPr>
          <w:b/>
        </w:rPr>
        <w:t>POSSIBLE 2022:</w:t>
      </w:r>
      <w:r>
        <w:t xml:space="preserve"> A modelling framework to design an evacuation support system for healthcare infrastructures in response to major flood events — https://doi.org/10.1016/j.pdisas.2022.100218</w:t>
      </w:r>
    </w:p>
    <w:p>
      <w:pPr/>
      <w:r>
        <w:rPr>
          <w:b/>
        </w:rPr>
        <w:t>Shared claim-specific concepts:</w:t>
      </w:r>
      <w:r>
        <w:t xml:space="preserve"> modelling, framework, climate; EU scope not established. This is a provisional connection, not an outcome finding.</w:t>
      </w:r>
    </w:p>
    <w:p>
      <w:pPr>
        <w:pStyle w:val="SourceNote"/>
      </w:pPr>
      <w:r>
        <w:rPr>
          <w:b/>
        </w:rPr>
        <w:t>Available abstract (not full text):</w:t>
      </w:r>
      <w:r>
        <w:t xml:space="preserve"> Extreme weather events such as floods are predicted to become increasingly common and severe as the climate changes. Effectively functioning hospitals are critical to a community's resilience to the adverse health impacts of such events. Yet many hospitals have not been designed with extreme weather risks in mind and are built in flood-prone areas, raising concerns about their ability to support community healthcare needs when they eventuate. While considerable research has been conducted on developing disaster responses to maintain healthcare services in the face of floods, there is a paucity of research on hospital evacuating planning. Addressing this critical gap in research, this paper explores current state-of-the-art hospital evacuation transportation models to identify key factors for developing more effective evacuation planning for future flooding risks. A new modelling framework is proposed, which addresses the limitations of existing hospital evacuation models and proposes factors that should be incorporated into future models to enhance community resilience to growing flood risks due to climate change.</w:t>
      </w:r>
    </w:p>
    <w:p>
      <w:pPr>
        <w:pStyle w:val="Heading2"/>
      </w:pPr>
      <w:r>
        <w:t>533.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2024:</w:t>
      </w:r>
      <w:r>
        <w:t xml:space="preserve"> European Youth Work Developments and Challenges—A Meta-Synthesis — https://doi.org/10.3390/youth4030075</w:t>
      </w:r>
    </w:p>
    <w:p>
      <w:pPr/>
      <w:r>
        <w:rPr>
          <w:b/>
        </w:rPr>
        <w:t>Shared claim-specific concepts:</w:t>
      </w:r>
      <w:r>
        <w:t xml:space="preserve"> challenges, developments, national, activity; EU scope visible. This is a provisional connection, not an outcome finding.</w:t>
      </w:r>
    </w:p>
    <w:p>
      <w:pPr>
        <w:pStyle w:val="SourceNote"/>
      </w:pPr>
      <w:r>
        <w:rPr>
          <w:b/>
        </w:rPr>
        <w:t>Available abstract (not full text):</w:t>
      </w:r>
      <w:r>
        <w:t xml:space="preserve">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pPr/>
      <w:r>
        <w:rPr>
          <w:b/>
        </w:rPr>
        <w:t>POSSIBLE 2024:</w:t>
      </w:r>
      <w:r>
        <w:t xml:space="preserve"> DEVELOPMENTS AND CHALLENGES REGARDING THE EUROPEAN CAPITAL MARKETS INTEGRATION PROJECT — https://doi.org/10.55654/jfs.2024.9.16.13</w:t>
      </w:r>
    </w:p>
    <w:p>
      <w:pPr/>
      <w:r>
        <w:rPr>
          <w:b/>
        </w:rPr>
        <w:t>Shared claim-specific concepts:</w:t>
      </w:r>
      <w:r>
        <w:t xml:space="preserve"> challenges, developments, progress, national; EU scope visible. This is a provisional connection, not an outcome finding.</w:t>
      </w:r>
    </w:p>
    <w:p>
      <w:pPr>
        <w:pStyle w:val="SourceNote"/>
      </w:pPr>
      <w:r>
        <w:rPr>
          <w:b/>
        </w:rPr>
        <w:t>Available abstract (not full text):</w:t>
      </w:r>
      <w:r>
        <w:t xml:space="preserve">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pPr/>
      <w:r>
        <w:rPr>
          <w:b/>
        </w:rPr>
        <w:t>POSSIBLE 2024:</w:t>
      </w:r>
      <w:r>
        <w:t xml:space="preserve"> The challenger advantage – how challenger parties disrupt mainstream party dominance in the European Parliament — https://doi.org/10.1080/13501763.2024.2391510</w:t>
      </w:r>
    </w:p>
    <w:p>
      <w:pPr/>
      <w:r>
        <w:rPr>
          <w:b/>
        </w:rPr>
        <w:t>Shared claim-specific concepts:</w:t>
      </w:r>
      <w:r>
        <w:t xml:space="preserve"> developments, responses; EU scope visible. This is a provisional connection, not an outcome finding.</w:t>
      </w:r>
    </w:p>
    <w:p>
      <w:pPr>
        <w:pStyle w:val="SourceNote"/>
      </w:pPr>
      <w:r>
        <w:rPr>
          <w:b/>
        </w:rPr>
        <w:t>Available abstract (not full text):</w:t>
      </w:r>
      <w:r>
        <w:t xml:space="preserve">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pPr/>
      <w:r>
        <w:rPr>
          <w:b/>
        </w:rPr>
        <w:t>POSSIBLE 2022:</w:t>
      </w:r>
      <w:r>
        <w:t xml:space="preserve"> The challenges to labour mobility at the European level — https://doi.org/10.4324/9781003298649-3</w:t>
      </w:r>
    </w:p>
    <w:p>
      <w:pPr/>
      <w:r>
        <w:rPr>
          <w:b/>
        </w:rPr>
        <w:t>Shared claim-specific concepts:</w:t>
      </w:r>
      <w:r>
        <w:t xml:space="preserve"> challenges, strongly, national; EU scope visible. This is a provisional connection, not an outcome finding.</w:t>
      </w:r>
    </w:p>
    <w:p>
      <w:pPr>
        <w:pStyle w:val="SourceNote"/>
      </w:pPr>
      <w:r>
        <w:rPr>
          <w:b/>
        </w:rPr>
        <w:t>Available abstract (not full text):</w:t>
      </w:r>
      <w:r>
        <w:t xml:space="preserve"> The issue of worker mobility is intrinsically tied to the European Union, whose project is to create a single European market. This is seen as the central concept that will bring Member States and European citizens closer together and create “de facto solidarities” underpinned by legal relations that should be able to prevent any further military conflict in Europe. The underlying economic approach to establishing a European Community explains why the European market must extend to all economic agents, including workers. Since the early 1950s, European institutions have had the objective of promoting the economic and social benefits of worker mobility, which implies encouraging mobility and removing obstacles to it. The development of the European Union in its social and political dimensions, initially not very concerned by the market, involves confronting the economic, institutional, socio-political, and legal challenges related to worker mobility. Among the areas that fall within the EU’s supporting competences – such as sport – worker mobility is particularly relevant, mainly because national issues remain strongly present, but also because significant mobility issues have not yet been regulated within a transnational European institutional framework. These mobility issues include standard contracts for salaried professional athletes, numbers of locally trained players in pr</w:t>
      </w:r>
    </w:p>
    <w:p>
      <w:pPr>
        <w:pStyle w:val="Heading2"/>
      </w:pPr>
      <w:r>
        <w:t>534.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pStyle w:val="Heading2"/>
      </w:pPr>
      <w:r>
        <w:t>535.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r>
        <w:rPr>
          <w:b/>
        </w:rPr>
        <w:t>POSSIBLE 2022:</w:t>
      </w:r>
      <w:r>
        <w:t xml:space="preserve"> European Security — https://doi.org/10.5771/9783748936459</w:t>
      </w:r>
    </w:p>
    <w:p>
      <w:pPr/>
      <w:r>
        <w:rPr>
          <w:b/>
        </w:rPr>
        <w:t>Shared claim-specific concepts:</w:t>
      </w:r>
      <w:r>
        <w:t xml:space="preserve"> presents, series, order; EU scope visible. This is a provisional connection, not an outcome finding.</w:t>
      </w:r>
    </w:p>
    <w:p>
      <w:pPr>
        <w:pStyle w:val="SourceNote"/>
      </w:pPr>
      <w:r>
        <w:rPr>
          <w:b/>
        </w:rPr>
        <w:t>Available abstract (not full text):</w:t>
      </w:r>
      <w:r>
        <w:t xml:space="preserve">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pPr/>
      <w:r>
        <w:rPr>
          <w:b/>
        </w:rPr>
        <w:t>POSSIBLE 2022:</w:t>
      </w:r>
      <w:r>
        <w:t xml:space="preserve"> Greening Europe — https://openalex.org/W7137726371</w:t>
      </w:r>
    </w:p>
    <w:p>
      <w:pPr/>
      <w:r>
        <w:rPr>
          <w:b/>
        </w:rPr>
        <w:t>Shared claim-specific concepts:</w:t>
      </w:r>
      <w:r>
        <w:t xml:space="preserve"> presents, series; EU scope visible. This is a provisional connection, not an outcome finding.</w:t>
      </w:r>
    </w:p>
    <w:p>
      <w:pPr>
        <w:pStyle w:val="SourceNote"/>
      </w:pPr>
      <w:r>
        <w:rPr>
          <w:b/>
        </w:rPr>
        <w:t>Available abstract (not full text):</w:t>
      </w:r>
      <w:r>
        <w:t xml:space="preserve">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pPr/>
      <w:r>
        <w:rPr>
          <w:b/>
        </w:rPr>
        <w:t>POSSIBLE 2022:</w:t>
      </w:r>
      <w:r>
        <w:t xml:space="preserve"> European journal of science archives conferences series — https://doi.org/10.5281/zenodo.6481391</w:t>
      </w:r>
    </w:p>
    <w:p>
      <w:pPr/>
      <w:r>
        <w:rPr>
          <w:b/>
        </w:rPr>
        <w:t>Shared claim-specific concepts:</w:t>
      </w:r>
      <w:r>
        <w:t xml:space="preserve"> series, provide, order, used; EU scope visible. This is a provisional connection, not an outcome finding.</w:t>
      </w:r>
    </w:p>
    <w:p>
      <w:pPr>
        <w:pStyle w:val="SourceNote"/>
      </w:pPr>
      <w:r>
        <w:rPr>
          <w:b/>
        </w:rPr>
        <w:t>Available abstract (not full text):</w:t>
      </w:r>
      <w:r>
        <w:t xml:space="preserve">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536.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Analysis of solar and wind energy utilisation in Europe and Africa — https://doi.org/10.70132/z8468559752</w:t>
      </w:r>
    </w:p>
    <w:p>
      <w:pPr/>
      <w:r>
        <w:rPr>
          <w:b/>
        </w:rPr>
        <w:t>Shared claim-specific concepts:</w:t>
      </w:r>
      <w:r>
        <w:t xml:space="preserve"> findings, highlight, achieving, policies, climate;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Green Finance, Innovation, and Financial Markets: Shaping Industrial Resilience in China and Europe — https://doi.org/10.55991/j.rjef.94187</w:t>
      </w:r>
    </w:p>
    <w:p>
      <w:pPr/>
      <w:r>
        <w:rPr>
          <w:b/>
        </w:rPr>
        <w:t>Shared claim-specific concepts:</w:t>
      </w:r>
      <w:r>
        <w:t xml:space="preserve"> findings, highlight, achieving, also, support, green; EU scope visible. This is a provisional connection, not an outcome finding.</w:t>
      </w:r>
    </w:p>
    <w:p>
      <w:pPr>
        <w:pStyle w:val="SourceNote"/>
      </w:pPr>
      <w:r>
        <w:rPr>
          <w:b/>
        </w:rPr>
        <w:t>Available abstract (not full text):</w:t>
      </w:r>
      <w:r>
        <w:t xml:space="preserve">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pPr/>
      <w:r>
        <w:rPr>
          <w:b/>
        </w:rPr>
        <w:t>POSSIBLE 2025:</w:t>
      </w:r>
      <w:r>
        <w:t xml:space="preserve"> From pastures to plates: The thorny path to achieving deforestation-free cattle from Brazil to European consumers — https://doi.org/10.1016/j.ecolecon.2025.108524</w:t>
      </w:r>
    </w:p>
    <w:p>
      <w:pPr/>
      <w:r>
        <w:rPr>
          <w:b/>
        </w:rPr>
        <w:t>Shared claim-specific concepts:</w:t>
      </w:r>
      <w:r>
        <w:t xml:space="preserve"> findings, highlight, achieving, require, not; EU scope visible. This is a provisional connection, not an outcome finding.</w:t>
      </w:r>
    </w:p>
    <w:p>
      <w:pPr>
        <w:pStyle w:val="SourceNote"/>
      </w:pPr>
      <w:r>
        <w:rPr>
          <w:b/>
        </w:rPr>
        <w:t>Available abstract (not full text):</w:t>
      </w:r>
      <w:r>
        <w:t xml:space="preserve">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pPr/>
      <w:r>
        <w:rPr>
          <w:b/>
        </w:rPr>
        <w:t>POSSIBLE 2024:</w:t>
      </w:r>
      <w:r>
        <w:t xml:space="preserve"> Safety, Belonging and Success in Education for Refugees in Europe: A Systematic Review — https://doi.org/10.1111/ejed.12852</w:t>
      </w:r>
    </w:p>
    <w:p>
      <w:pPr/>
      <w:r>
        <w:rPr>
          <w:b/>
        </w:rPr>
        <w:t>Shared claim-specific concepts:</w:t>
      </w:r>
      <w:r>
        <w:t xml:space="preserve"> findings, highlight, achieving, also; EU scope visible. This is a provisional connection, not an outcome finding.</w:t>
      </w:r>
    </w:p>
    <w:p>
      <w:pPr>
        <w:pStyle w:val="SourceNote"/>
      </w:pPr>
      <w:r>
        <w:rPr>
          <w:b/>
        </w:rPr>
        <w:t>Available abstract (not full text):</w:t>
      </w:r>
      <w:r>
        <w:t xml:space="preserve"> ABSTRACT This systematic review aims to explore refugees' educational access, experiences and outcomes in Europe since 2015. The review follows a systematic process of reviewing and synthesising texts compiled in the Hub for Education for Refugees in Europe (HERE) Knowledge Base to fill gaps in knowledge about the educational trajectories of learners of refugee and forced migrant backgrounds who have arrived in Europe. The review includes studies that focus on all forms of educational provision and services for refugees and forced migrants in Europe: formal, non‐formal and informal. The review also takes a meta‐ethnographic approach to data analysis and synthesis. Key findings highlight the interconnectedness of safety, belonging and success in education for learners with refugee and forced migrant backgrounds and the necessity of economic redistribution, cultural recognition and political participation for achieving these goals.</w:t>
      </w:r>
    </w:p>
    <w:p>
      <w:pPr/>
      <w:r>
        <w:rPr>
          <w:b/>
        </w:rPr>
        <w:t>POSSIBLE 2024:</w:t>
      </w:r>
      <w:r>
        <w:t xml:space="preserve"> European roadmaps to achieving 2030 renewable energy targets — https://doi.org/10.1016/j.jup.2024.101729</w:t>
      </w:r>
    </w:p>
    <w:p>
      <w:pPr/>
      <w:r>
        <w:rPr>
          <w:b/>
        </w:rPr>
        <w:t>Shared claim-specific concepts:</w:t>
      </w:r>
      <w:r>
        <w:t xml:space="preserve"> achieving, policies, climate;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2024:</w:t>
      </w:r>
      <w:r>
        <w:t xml:space="preserve"> The Role of the Informal Economy in Achieving the Sustainable Development Goals in Europe — https://doi.org/10.24818/ea/2024/s18/1108</w:t>
      </w:r>
    </w:p>
    <w:p>
      <w:pPr/>
      <w:r>
        <w:rPr>
          <w:b/>
        </w:rPr>
        <w:t>Shared claim-specific concepts:</w:t>
      </w:r>
      <w:r>
        <w:t xml:space="preserve"> findings, achieving, policies; EU scope visible. This is a provisional connection, not an outcome finding.</w:t>
      </w:r>
    </w:p>
    <w:p>
      <w:pPr>
        <w:pStyle w:val="SourceNote"/>
      </w:pPr>
      <w:r>
        <w:rPr>
          <w:b/>
        </w:rPr>
        <w:t>Available abstract (not full text):</w:t>
      </w:r>
      <w:r>
        <w:t xml:space="preserve"> This study investigated the relationship between the informal economy and sustainable development, focussing on how the shadow economy influenced the achievement of the 17 Sustainable Development Goals (SDGs) formulated in the 2030 Agenda in Europe.The research used data extracted from the Eurostat and Schneider (2022) and analysed sustainable development performance in 36 European countries in the years 2010 and 2022.The methodology involved applying partial least squares (PLS) regression to construct a synthetic indicator of sustainable development, considering two scenarios: one that excluded and another that included the size of the informal economy.The results highlighted that while the informal economy contributed to immediate poverty alleviation and short-term economic resilience, it created challenges for long-term sustainability in areas such as formal employment, social inclusion, and environmental regulation.The findings highlighted the need for stronger policies to integrate the informal sector into the formal framework, thus improving overall sustainability.The study made an original contribution by addressing the dual role of the informal economy in sustainable development, offering new perspectives for formulating more effective policies in the context of the 2030 Agenda.</w:t>
      </w:r>
    </w:p>
    <w:p>
      <w:pPr/>
      <w:r>
        <w:rPr>
          <w:b/>
        </w:rPr>
        <w:t>POSSIBLE 2024:</w:t>
      </w:r>
      <w:r>
        <w:t xml:space="preserve"> Can Urban Retrofitting Achieve a Positive Energy Balance? a Case Study of Four European Positive Energy Districts — https://doi.org/10.1109/i-coste63786.2024.11024809</w:t>
      </w:r>
    </w:p>
    <w:p>
      <w:pPr/>
      <w:r>
        <w:rPr>
          <w:b/>
        </w:rPr>
        <w:t>Shared claim-specific concepts:</w:t>
      </w:r>
      <w:r>
        <w:t xml:space="preserve"> findings, achieving, installations; EU scope visible. This is a provisional connection, not an outcome finding.</w:t>
      </w:r>
    </w:p>
    <w:p>
      <w:pPr>
        <w:pStyle w:val="SourceNote"/>
      </w:pPr>
      <w:r>
        <w:rPr>
          <w:b/>
        </w:rPr>
        <w:t>Available abstract (not full text):</w:t>
      </w:r>
      <w:r>
        <w:t xml:space="preserve"> Urban retrofitting has emerged as a key strategy in the transition towards sustainable cities, with Positive Energy Districts (PEDs) serving as a model for achieving energy-positive urban environments. This paper explores the potential for urban retrofitting to achieve a positive energy balance through a case study of four existing districts in European Municipalities: Settimo Torinese (Italy), Großschönau (Austria), Amsterdam (Netherlands), and Resita (Romania). The analysis leverages energy balance simulations, considering various retrofitting scenarios, including building insulation, photovoltaic (PV) installations, and the adoption of flexible grid usage. The findings indicate that while achieving a PED is challenging, it is attainable through a combination of aggressive retrofitting measures, renewable energy integration, and smart energy management. The study highlights the importance of context-specific strategies, as climatic and urban characteristics significantly influence the outcomes. It aims to add to the ongoing discourse on sustainable urban development by providing empirical insights into the pathways and challenges of achieving PEDs through urban retrofitting.</w:t>
      </w:r>
    </w:p>
    <w:p>
      <w:pPr>
        <w:pStyle w:val="Heading2"/>
      </w:pPr>
      <w:r>
        <w:t>537.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2023:</w:t>
      </w:r>
      <w:r>
        <w:t xml:space="preserve"> Ecological and environmental factors affecting the risk of tick-borne encephalitis in Europe, 2017 to 2021 — https://doi.org/10.2807/1560-7917.es.2023.28.42.2300121</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pPr/>
      <w:r>
        <w:rPr>
          <w:b/>
        </w:rPr>
        <w:t>POSSIBLE 2022:</w:t>
      </w:r>
      <w:r>
        <w:t xml:space="preserve"> Finding the ecological farmer: A farmer typology to understand ecological practice adoption within Europe — https://doi.org/10.1016/j.crsust.2022.100125</w:t>
      </w:r>
    </w:p>
    <w:p>
      <w:pPr/>
      <w:r>
        <w:rPr>
          <w:b/>
        </w:rPr>
        <w:t>Shared claim-specific concepts:</w:t>
      </w:r>
      <w:r>
        <w:t xml:space="preserve"> two, ecological, transition, based; EU scope visible. This is a provisional connection, not an outcome finding.</w:t>
      </w:r>
    </w:p>
    <w:p>
      <w:pPr>
        <w:pStyle w:val="SourceNote"/>
      </w:pPr>
      <w:r>
        <w:rPr>
          <w:b/>
        </w:rPr>
        <w:t>Available abstract (not full text):</w:t>
      </w:r>
      <w:r>
        <w:t xml:space="preserve">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pStyle w:val="Heading2"/>
      </w:pPr>
      <w:r>
        <w:t>538.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2022:</w:t>
      </w:r>
      <w:r>
        <w:t xml:space="preserve"> Future area expansion outweighs increasing drought risk for soybean in Europe — https://doi.org/10.1111/gcb.16562</w:t>
      </w:r>
    </w:p>
    <w:p>
      <w:pPr/>
      <w:r>
        <w:rPr>
          <w:b/>
        </w:rPr>
        <w:t>Shared claim-specific concepts:</w:t>
      </w:r>
      <w:r>
        <w:t xml:space="preserve"> further, imports, climate;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Different Effect of Inward Foreign Direct Investment, Outward Foreign Direct Investment, Imports, and Exports on Greenhouse Gas Emission across 24 European Union Countries — https://doi.org/10.54691/bcpbm.v34i.3186</w:t>
      </w:r>
    </w:p>
    <w:p>
      <w:pPr/>
      <w:r>
        <w:rPr>
          <w:b/>
        </w:rPr>
        <w:t>Shared claim-specific concepts:</w:t>
      </w:r>
      <w:r>
        <w:t xml:space="preserve"> further, imports, lower, reduce, positive; EU scope visible. This is a provisional connection, not an outcome finding.</w:t>
      </w:r>
    </w:p>
    <w:p>
      <w:pPr>
        <w:pStyle w:val="SourceNote"/>
      </w:pPr>
      <w:r>
        <w:rPr>
          <w:b/>
        </w:rPr>
        <w:t>Available abstract (not full text):</w:t>
      </w:r>
      <w:r>
        <w:t xml:space="preserve">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539.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r>
        <w:rPr>
          <w:b/>
        </w:rPr>
        <w:t>POSSIBLE 2022:</w:t>
      </w:r>
      <w:r>
        <w:t xml:space="preserve"> The role of Latvia's maritime spatial planning in promoting the European Green Deal — https://doi.org/10.7163/eu21.2022.42.4</w:t>
      </w:r>
    </w:p>
    <w:p>
      <w:pPr/>
      <w:r>
        <w:rPr>
          <w:b/>
        </w:rPr>
        <w:t>Shared claim-specific concepts:</w:t>
      </w:r>
      <w:r>
        <w:t xml:space="preserve"> maritime, insight, deal; EU scope visible. This is a provisional connection, not an outcome finding.</w:t>
      </w:r>
    </w:p>
    <w:p>
      <w:pPr>
        <w:pStyle w:val="SourceNote"/>
      </w:pPr>
      <w:r>
        <w:rPr>
          <w:b/>
        </w:rPr>
        <w:t>Available abstract (not full text):</w:t>
      </w:r>
      <w:r>
        <w:t xml:space="preserve">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540.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r>
        <w:rPr>
          <w:b/>
        </w:rPr>
        <w:t>POSSIBLE 2023:</w:t>
      </w:r>
      <w:r>
        <w:t xml:space="preserve"> A phenomenological inquiry of building and living in European Earthship homes — https://doi.org/10.1680/jinam.23.00028</w:t>
      </w:r>
    </w:p>
    <w:p>
      <w:pPr/>
      <w:r>
        <w:rPr>
          <w:b/>
        </w:rPr>
        <w:t>Shared claim-specific concepts:</w:t>
      </w:r>
      <w:r>
        <w:t xml:space="preserve"> aim, alternative, shift; EU scope visible. This is a provisional connection, not an outcome finding.</w:t>
      </w:r>
    </w:p>
    <w:p>
      <w:pPr>
        <w:pStyle w:val="SourceNote"/>
      </w:pPr>
      <w:r>
        <w:rPr>
          <w:b/>
        </w:rPr>
        <w:t>Available abstract (not full text):</w:t>
      </w:r>
      <w:r>
        <w:t xml:space="preserve">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four, developed;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2022:</w:t>
      </w:r>
      <w:r>
        <w:t xml:space="preserve"> Alternative Institutional Strategies for Constructing Monetary Theories — https://doi.org/10.31063/altereconomics/2022.19-2.4</w:t>
      </w:r>
    </w:p>
    <w:p>
      <w:pPr/>
      <w:r>
        <w:rPr>
          <w:b/>
        </w:rPr>
        <w:t>Shared claim-specific concepts:</w:t>
      </w:r>
      <w:r>
        <w:t xml:space="preserve"> alternative, important, framework; EU scope not established. This is a provisional connection, not an outcome finding.</w:t>
      </w:r>
    </w:p>
    <w:p>
      <w:pPr>
        <w:pStyle w:val="SourceNote"/>
      </w:pPr>
      <w:r>
        <w:rPr>
          <w:b/>
        </w:rPr>
        <w:t>Available abstract (not full text):</w:t>
      </w:r>
      <w:r>
        <w:t xml:space="preserve">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pPr/>
      <w:r>
        <w:rPr>
          <w:b/>
        </w:rPr>
        <w:t>POSSIBLE 2022:</w:t>
      </w:r>
      <w:r>
        <w:t xml:space="preserve"> Screening of Cooling Technologies in Europe: Alternatives to Vapour Compression and Possible Market Developments — https://doi.org/10.3390/su14052971</w:t>
      </w:r>
    </w:p>
    <w:p>
      <w:pPr/>
      <w:r>
        <w:rPr>
          <w:b/>
        </w:rPr>
        <w:t>Shared claim-specific concepts:</w:t>
      </w:r>
      <w:r>
        <w:t xml:space="preserve"> aim, alternative; EU scope visible. This is a provisional connection, not an outcome finding.</w:t>
      </w:r>
    </w:p>
    <w:p>
      <w:pPr>
        <w:pStyle w:val="SourceNote"/>
      </w:pPr>
      <w:r>
        <w:rPr>
          <w:b/>
        </w:rPr>
        <w:t>Available abstract (not full text):</w:t>
      </w:r>
      <w:r>
        <w:t xml:space="preserve">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541.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2025:</w:t>
      </w:r>
      <w:r>
        <w:t xml:space="preserve"> Three-dimensional third medium contact model for hyperelastic contact and pneumatically actuated systems — https://doi.org/10.48550/arxiv.2512.03181</w:t>
      </w:r>
    </w:p>
    <w:p>
      <w:pPr/>
      <w:r>
        <w:rPr>
          <w:b/>
        </w:rPr>
        <w:t>Shared claim-specific concepts:</w:t>
      </w:r>
      <w:r>
        <w:t xml:space="preserve"> third, highlight, need; EU scope not established. This is a provisional connection, not an outcome finding.</w:t>
      </w:r>
    </w:p>
    <w:p>
      <w:pPr>
        <w:pStyle w:val="SourceNote"/>
      </w:pPr>
      <w:r>
        <w:rPr>
          <w:b/>
        </w:rPr>
        <w:t>Available abstract (not full text):</w:t>
      </w:r>
      <w:r>
        <w:t xml:space="preserve">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pPr/>
      <w:r>
        <w:rPr>
          <w:b/>
        </w:rPr>
        <w:t>POSSIBLE 2025:</w:t>
      </w:r>
      <w:r>
        <w:t xml:space="preserve"> Global Nomads: Identity and Belonging in Third Culture Kids and Adult Third Culture Kids — https://openalex.org/W7119396443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pPr/>
      <w:r>
        <w:rPr>
          <w:b/>
        </w:rPr>
        <w:t>POSSIBLE 2024:</w:t>
      </w:r>
      <w:r>
        <w:t xml:space="preserve"> Three-step Collocation Method for Solution of Third Derivative Initial Value Problem — https://doi.org/10.62054/ijdm/0101.03</w:t>
      </w:r>
    </w:p>
    <w:p>
      <w:pPr/>
      <w:r>
        <w:rPr>
          <w:b/>
        </w:rPr>
        <w:t>Shared claim-specific concepts:</w:t>
      </w:r>
      <w:r>
        <w:t xml:space="preserve"> third, highlight, three, value; EU scope not established. This is a provisional connection, not an outcome finding.</w:t>
      </w:r>
    </w:p>
    <w:p>
      <w:pPr>
        <w:pStyle w:val="SourceNote"/>
      </w:pPr>
      <w:r>
        <w:rPr>
          <w:b/>
        </w:rPr>
        <w:t>Available abstract (not full text):</w:t>
      </w:r>
      <w:r>
        <w:t xml:space="preserve">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pPr/>
      <w:r>
        <w:rPr>
          <w:b/>
        </w:rPr>
        <w:t>POSSIBLE 2022:</w:t>
      </w:r>
      <w:r>
        <w:t xml:space="preserve"> Liquid-Phase Peptide Synthesis (LPPS): A Third Wave for the Preparation of Peptides — https://doi.org/10.1021/acs.chemrev.2c00132</w:t>
      </w:r>
    </w:p>
    <w:p>
      <w:pPr/>
      <w:r>
        <w:rPr>
          <w:b/>
        </w:rPr>
        <w:t>Shared claim-specific concepts:</w:t>
      </w:r>
      <w:r>
        <w:t xml:space="preserve"> third, three, made; EU scope not established. This is a provisional connection, not an outcome finding.</w:t>
      </w:r>
    </w:p>
    <w:p>
      <w:pPr>
        <w:pStyle w:val="SourceNote"/>
      </w:pPr>
      <w:r>
        <w:rPr>
          <w:b/>
        </w:rPr>
        <w:t>Available abstract (not full text):</w:t>
      </w:r>
      <w:r>
        <w:t xml:space="preserve"> Since the last century, peptides have gained wide acceptance as drugs, with almost 100 already in the market and a large number in the pipeline. In this context, peptide synthesis has grown massively as a stringent field for pharmaceuticals around the globe. Three methodologies, namely, classical solution peptide synthesis (CSPS), solid-phase peptide synthesis (SPPS), and liquid-phase peptide synthesis (LPPS), have made significant contributions to the field. This review provides a comprehensive and integrated vision of LPPS as the third wave for peptide synthesis. LPPS combines the advantages of CSPS and SPPS, where peptide elongation is carried out in solution and the growing peptide chain is supported on a soluble tag, which confers characteristic properties. LPPS protocols allow the large-scale production of peptides and reduce the use of excess reagents and solvents, thus meeting the principles of green chemistry. In this review, tags associated with LPPS are broadly discussed under the following headings: polydisperse polyethylene glycol (PEG), membrane-enhanced peptide synthesis (MEPS), fluorous technology, ionic liquids (ILs), PolyCarbon, hydrophobic polymers, and group-assisted purification (GAP). It also highlights the signature accomplishments of LPPS tags and the limitations of the same.</w:t>
      </w:r>
    </w:p>
    <w:p>
      <w:pPr>
        <w:pStyle w:val="Heading2"/>
      </w:pPr>
      <w:r>
        <w:t>542.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2025:</w:t>
      </w:r>
      <w:r>
        <w:t xml:space="preserve"> "Ukrainian zhurnal ": 200 years since the day of publication — https://doi.org/10.36273/2076-9555.2024.12(341).41-45</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2025:</w:t>
      </w:r>
      <w:r>
        <w:t xml:space="preserve"> "Ukrainian zhurnal ": 200 years since the day of publication — https://doi.org/10.36273/2076-9555.2024.11(340).51-52</w:t>
      </w:r>
    </w:p>
    <w:p>
      <w:pPr/>
      <w:r>
        <w:rPr>
          <w:b/>
        </w:rPr>
        <w:t>Shared claim-specific concepts:</w:t>
      </w:r>
      <w:r>
        <w:t xml:space="preserve"> purpose, publication, detailed, country; EU scope not established. This is a provisional connection, not an outcome finding.</w:t>
      </w:r>
    </w:p>
    <w:p>
      <w:pPr>
        <w:pStyle w:val="SourceNote"/>
      </w:pPr>
      <w:r>
        <w:rPr>
          <w:b/>
        </w:rPr>
        <w:t>Available abstract (not full text):</w:t>
      </w:r>
      <w:r>
        <w:t xml:space="preserve">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pPr/>
      <w:r>
        <w:rPr>
          <w:b/>
        </w:rPr>
        <w:t>POSSIBLE 2024:</w:t>
      </w:r>
      <w:r>
        <w:t xml:space="preserve"> IS THE PUBLICATION LEGAL/LAW/JUDICIAL? — https://doi.org/10.23939/sjs2024.02.001</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pPr/>
      <w:r>
        <w:rPr>
          <w:b/>
        </w:rPr>
        <w:t>POSSIBLE 2024:</w:t>
      </w:r>
      <w:r>
        <w:t xml:space="preserve"> Exploring the Chat GPT's Impact and Prospects for Business Research Purposes — https://doi.org/10.1109/inocon60754.2024.10511483</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pPr/>
      <w:r>
        <w:rPr>
          <w:b/>
        </w:rPr>
        <w:t>POSSIBLE 2023:</w:t>
      </w:r>
      <w:r>
        <w:t xml:space="preserve"> DEPENDENCE OF PUBLICATION ACTIVITY IN OCCUPATIONAL HEALTH ON THE TYPE OF SCIENTIFIC PAPERS — https://doi.org/10.31089/978-5-6042929-1-4-2023-1-285-290</w:t>
      </w:r>
    </w:p>
    <w:p>
      <w:pPr/>
      <w:r>
        <w:rPr>
          <w:b/>
        </w:rPr>
        <w:t>Shared claim-specific concepts:</w:t>
      </w:r>
      <w:r>
        <w:t xml:space="preserve"> purpose, publication, detailed, terms; EU scope not established. This is a provisional connection, not an outcome finding.</w:t>
      </w:r>
    </w:p>
    <w:p>
      <w:pPr>
        <w:pStyle w:val="SourceNote"/>
      </w:pPr>
      <w:r>
        <w:rPr>
          <w:b/>
        </w:rPr>
        <w:t>Available abstract (not full text):</w:t>
      </w:r>
      <w:r>
        <w:t xml:space="preserve">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pPr/>
      <w:r>
        <w:rPr>
          <w:b/>
        </w:rPr>
        <w:t>POSSIBLE 2023:</w:t>
      </w:r>
      <w:r>
        <w:t xml:space="preserve"> INTRODUCING ENGLISH FOR RESEARCH PUBLICATION PURPOSES By JohnFlowerdew and PejmanHabibieRoutledge. ISBN 978‐0367330583. Price USD 39.16 (paperback), 136.00 (hardcover). 150 pages. — https://doi.org/10.1002/tesj.715</w:t>
      </w:r>
    </w:p>
    <w:p>
      <w:pPr/>
      <w:r>
        <w:rPr>
          <w:b/>
        </w:rPr>
        <w:t>Shared claim-specific concepts:</w:t>
      </w:r>
      <w:r>
        <w:t xml:space="preserve"> publication, detailed, stage, well; EU scope not established. This is a provisional connection, not an outcome finding.</w:t>
      </w:r>
    </w:p>
    <w:p>
      <w:pPr>
        <w:pStyle w:val="SourceNote"/>
      </w:pPr>
      <w:r>
        <w:rPr>
          <w:b/>
        </w:rPr>
        <w:t>Available abstract (not full text):</w:t>
      </w:r>
      <w:r>
        <w:t xml:space="preserve">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pPr/>
      <w:r>
        <w:rPr>
          <w:b/>
        </w:rPr>
        <w:t>POSSIBLE 2022:</w:t>
      </w:r>
      <w:r>
        <w:t xml:space="preserve"> Transformation of GRAFCET Into GAL for Verification Purposes Based on a Detailed Meta-Model — https://doi.org/10.1109/access.2022.3225736</w:t>
      </w:r>
    </w:p>
    <w:p>
      <w:pPr/>
      <w:r>
        <w:rPr>
          <w:b/>
        </w:rPr>
        <w:t>Shared claim-specific concepts:</w:t>
      </w:r>
      <w:r>
        <w:t xml:space="preserve"> detailed, terms; EU scope not established. This is a provisional connection, not an outcome finding.</w:t>
      </w:r>
    </w:p>
    <w:p>
      <w:pPr>
        <w:pStyle w:val="SourceNote"/>
      </w:pPr>
      <w:r>
        <w:rPr>
          <w:b/>
        </w:rPr>
        <w:t>Available abstract (not full text):</w:t>
      </w:r>
      <w:r>
        <w:t xml:space="preserve"> The graphical modeling language GRAFCET is used as a formal specification language in industrial control design. To use these formal specifications for model-driven development of control code it is beneficial to ensure their syntactical and semantic correctness. Therefore in this paper, a detailed meta-model for GRAFCET is presented, which takes so-called terms into account, i.e. logical and arithmetic expressions in conditions and assignments. The meta-model and additionally proposed invariants allow to create syntactically correct GRAFCET instances. Based on this, a translation of GRAFCET to Guarded Action Language (GAL) is presented. The resulting transition system in GAL forms the basis for a semantic analysis of the GRAFCET instances by means of model checking in future research. Finally, the models are then employed for automatic code generation in Structured Text.</w:t>
      </w:r>
    </w:p>
    <w:p>
      <w:pPr/>
      <w:r>
        <w:rPr>
          <w:b/>
        </w:rPr>
        <w:t>POSSIBLE 2022:</w:t>
      </w:r>
      <w:r>
        <w:t xml:space="preserve"> Purpose, outcome, and methodology in computer-assisted language learning publications: A systematic review — https://doi.org/10.29140/jaltcall.v18n2.603</w:t>
      </w:r>
    </w:p>
    <w:p>
      <w:pPr/>
      <w:r>
        <w:rPr>
          <w:b/>
        </w:rPr>
        <w:t>Shared claim-specific concepts:</w:t>
      </w:r>
      <w:r>
        <w:t xml:space="preserve"> purpose, national; EU scope not established. This is a provisional connection, not an outcome finding.</w:t>
      </w:r>
    </w:p>
    <w:p>
      <w:pPr>
        <w:pStyle w:val="SourceNote"/>
      </w:pPr>
      <w:r>
        <w:rPr>
          <w:b/>
        </w:rPr>
        <w:t>Available abstract (not full text):</w:t>
      </w:r>
      <w:r>
        <w:t xml:space="preserve"> Although CALL is still an emerging area of study in many countries, several studies have shown the significant contribution of these countries to the development of CALL worldwide, among which Iran is no exception. Contrary to the vast number of review studies on how this interdisciplinary area of study has been developed at the international level, there are very few studies presenting the development of CALL at the national level, especially in the highly contributing countries. Accordingly, the present study is an attempt to systematically review the trend of CALL in Iran focusing on research purpose, outcome, and methodology. The two major databases of WoS and Scopus were searched from 2007 to 2020. Following the exclusion and inclusion criteria, 229 studies were selected for the present systematic review. The research purpose and outcome of the studies were analyzed according to four classifications of linguistic, affective, cognitive/ metacognitive, and technology domains. The findings indicated a large number of studies in linguistic and affective domains with a positive effect of technology. Furthermore, a few studies have been conducted with a focus on the cognitive/ metacognitive and technology aspects. The analysis of the research methodology of the publications revealed a lack of sufficient data about participants, research setting, and duration of the treatment/tas</w:t>
      </w:r>
    </w:p>
    <w:p>
      <w:pPr/>
      <w:r>
        <w:rPr>
          <w:b/>
        </w:rPr>
        <w:t>POSSIBLE 2022:</w:t>
      </w:r>
      <w:r>
        <w:t xml:space="preserve"> Publication Policy of the National Research Data Infrastructure for Personal Health Data (NFDI4Health) and the NFDI4Health Task Force COVID-19 — https://doi.org/10.4126/frl01-006431467</w:t>
      </w:r>
    </w:p>
    <w:p>
      <w:pPr/>
      <w:r>
        <w:rPr>
          <w:b/>
        </w:rPr>
        <w:t>Shared claim-specific concepts:</w:t>
      </w:r>
      <w:r>
        <w:t xml:space="preserve"> publication, detailed, well, national; EU scope not established. This is a provisional connection, not an outcome finding.</w:t>
      </w:r>
    </w:p>
    <w:p>
      <w:pPr>
        <w:pStyle w:val="SourceNote"/>
      </w:pPr>
      <w:r>
        <w:rPr>
          <w:b/>
        </w:rPr>
        <w:t>Available abstract (not full text):</w:t>
      </w:r>
      <w:r>
        <w:t xml:space="preserve"> One of the purposes of the NFDI4Health is to make data collected in health-related studies FAIR. The first step towards this is the publication of comprehensive information about the context and accessibility of the data (metadata set). In addition, study documents contain further detailed information needed for the correct interpretation of the collected data and should therefore be published as well.\n\nThe Publication Policy describes the requirements for the publication of research data from health-related studies in the NFDI4Health Study Hub. Researchers or research groups wanting to make their studies discoverable and corresponding research data FAIR should fulfil these requirements.</w:t>
      </w:r>
    </w:p>
    <w:p>
      <w:pPr>
        <w:pStyle w:val="Heading2"/>
      </w:pPr>
      <w:r>
        <w:t>543.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2023:</w:t>
      </w:r>
      <w:r>
        <w:t xml:space="preserve"> Web based research in sexual medicine: a position statement of the European Society for Sexual Medicine — https://doi.org/10.1093/sexmed/qfad032</w:t>
      </w:r>
    </w:p>
    <w:p>
      <w:pPr/>
      <w:r>
        <w:rPr>
          <w:b/>
        </w:rPr>
        <w:t>Shared claim-specific concepts:</w:t>
      </w:r>
      <w:r>
        <w:t xml:space="preserve"> possible, statements, identified, researchers, challenges; EU scope visible. This is a provisional connection, not an outcome finding.</w:t>
      </w:r>
    </w:p>
    <w:p>
      <w:pPr>
        <w:pStyle w:val="SourceNote"/>
      </w:pPr>
      <w:r>
        <w:rPr>
          <w:b/>
        </w:rPr>
        <w:t>Available abstract (not full text):</w:t>
      </w:r>
      <w:r>
        <w:t xml:space="preserve">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pPr/>
      <w:r>
        <w:rPr>
          <w:b/>
        </w:rPr>
        <w:t>POSSIBLE 2023:</w:t>
      </w:r>
      <w:r>
        <w:t xml:space="preserve"> Frequent questions and responses on the 2022 lipoprotein(a) consensus statement of the European Atherosclerosis Society — https://doi.org/10.1016/j.atherosclerosis.2023.04.012</w:t>
      </w:r>
    </w:p>
    <w:p>
      <w:pPr/>
      <w:r>
        <w:rPr>
          <w:b/>
        </w:rPr>
        <w:t>Shared claim-specific concepts:</w:t>
      </w:r>
      <w:r>
        <w:t xml:space="preserve"> used, questions, asked; EU scope visible. This is a provisional connection, not an outcome finding.</w:t>
      </w:r>
    </w:p>
    <w:p>
      <w:pPr>
        <w:pStyle w:val="SourceNote"/>
      </w:pPr>
      <w:r>
        <w:rPr>
          <w:b/>
        </w:rPr>
        <w:t>Available abstract (not full text):</w:t>
      </w:r>
      <w:r>
        <w:t xml:space="preserve">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pPr/>
      <w:r>
        <w:rPr>
          <w:b/>
        </w:rPr>
        <w:t>POSSIBLE 2022:</w:t>
      </w:r>
      <w:r>
        <w:t xml:space="preserve"> Has the STARD statement improved the quality of reporting of diagnostic accuracy studies published in European Radiology? — https://doi.org/10.1007/s00330-022-09008-7</w:t>
      </w:r>
    </w:p>
    <w:p>
      <w:pPr/>
      <w:r>
        <w:rPr>
          <w:b/>
        </w:rPr>
        <w:t>Shared claim-specific concepts:</w:t>
      </w:r>
      <w:r>
        <w:t xml:space="preserve"> used, possible, identified; EU scope visible. This is a provisional connection, not an outcome finding.</w:t>
      </w:r>
    </w:p>
    <w:p>
      <w:pPr>
        <w:pStyle w:val="SourceNote"/>
      </w:pPr>
      <w:r>
        <w:rPr>
          <w:b/>
        </w:rPr>
        <w:t>Available abstract (not full text):</w:t>
      </w:r>
      <w:r>
        <w:t xml:space="preserve"> OBJECTIVES: To investigate whether encouraging authors to follow the Standards for Reporting Diagnostic Accuracy (STARD) guidelines improves the quality of reporting of diagnostic accuracy studies. METHODS: In mid-2017, European Radiology started encouraging its authors to follow the STARD guidelines. Our MEDLINE search identified 114 diagnostic accuracy studies published in European Radiology in 2015 and 2019. The quality of reporting was evaluated by two independent reviewers using the revised STARD statement. Item 11 was excluded because a meaningful decision about adherence was not possible. Student's t test for independent samples was used to analyze differences in the mean number of reported STARD items between studies published in 2015 and in 2019. In addition, we calculated differences related to the study design, data collection, and citation rate. RESULTS: The mean total number of reported STARD items for all 114 diagnostic accuracy studies analyzed was 15.9 ± 2.6 (54.8%) of 29 items (range 9.5-22.5). The quality of reporting of diagnostic accuracy studies was significantly better in 2019 (mean ± standard deviation (SD), 16.3 ± 2.7) than in 2015 (mean ± SD, 15.1 ± 2.3; p &lt; 0.02). No significant differences in the reported STARD items were identified in relation to study design (p = 0.13), data collection (p = 0.87), and citation rate (p = 0.09). CONCLUSION: The qualit</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statements, environmental, challenges;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pStyle w:val="Heading2"/>
      </w:pPr>
      <w:r>
        <w:t>544.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greenhouse, gas, emissions;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2022:</w:t>
      </w:r>
      <w:r>
        <w:t xml:space="preserve"> Framing Climate Policy Ambition in the European Parliament — https://doi.org/10.17645/pag.v10i3.5479</w:t>
      </w:r>
    </w:p>
    <w:p>
      <w:pPr/>
      <w:r>
        <w:rPr>
          <w:b/>
        </w:rPr>
        <w:t>Shared claim-specific concepts:</w:t>
      </w:r>
      <w:r>
        <w:t xml:space="preserve"> union, ambition, aims; EU scope visible. This is a provisional connection, not an outcome finding.</w:t>
      </w:r>
    </w:p>
    <w:p>
      <w:pPr>
        <w:pStyle w:val="SourceNote"/>
      </w:pPr>
      <w:r>
        <w:rPr>
          <w:b/>
        </w:rPr>
        <w:t>Available abstract (not full text):</w:t>
      </w:r>
      <w:r>
        <w:t xml:space="preserve"> The European Union’s climate policy is considered quite ambitious. This has led to a growing interest among political scientists investigating the European Parliament’s ability to negotiate such ambitious climate legislation. These studies generally focus on the voting behaviour of members of the European Parliament, which allows us to know more about their positions when it comes to accepting or rejecting legislative acts. However, we know surprisingly little about how they debate and justify their positions in Parliament. In these debates, members of the European Parliament not only identify the problem (i.e., climate change and its adverse effects) but also discuss potential solutions (i.e., their willingness or ambition to fight and adapt to climate change). In addition, plenary debates are ideal for making representative claims based on citizens’ interests on climate action. Therefore, this article aims to understand how climate policy ambitions are debated in the European Parliament and whose interests are represented. We propose a new manual coding scheme for climate policy ambitions in parliamentary debate and employ it in climate policy debates in the ninth European Parliament (2019–present). In doing so, this article makes a methodological contribution to operationalising climate policy ambition from a parliamentary representation and legitimation perspective. We find</w:t>
      </w:r>
    </w:p>
    <w:p>
      <w:pPr/>
      <w:r>
        <w:rPr>
          <w:b/>
        </w:rPr>
        <w:t>POSSIBLE 2022:</w:t>
      </w:r>
      <w:r>
        <w:t xml:space="preserve"> Sustainable Health and Wellbeing in the European Union — https://doi.org/10.3389/fpubh.2022.851061</w:t>
      </w:r>
    </w:p>
    <w:p>
      <w:pPr/>
      <w:r>
        <w:rPr>
          <w:b/>
        </w:rPr>
        <w:t>Shared claim-specific concepts:</w:t>
      </w:r>
      <w:r>
        <w:t xml:space="preserve"> union, first, monitor; EU scope visible. This is a provisional connection, not an outcome finding.</w:t>
      </w:r>
    </w:p>
    <w:p>
      <w:pPr>
        <w:pStyle w:val="SourceNote"/>
      </w:pPr>
      <w:r>
        <w:rPr>
          <w:b/>
        </w:rPr>
        <w:t>Available abstract (not full text):</w:t>
      </w:r>
      <w:r>
        <w:t xml:space="preserve"> Background Altogether, 17 Sustainable Development Goals (SDGs) are an urgent call for action to end poverty, protect the planet, and ensure prosperity for all. Goal 3 is crucial in terms of good health and wellbeing. The main aim of this study is to analyze and evaluate differences among indicators of SDG 3: Sustainable health and wellbeing in the EU countries. Methods The status and development of the EU Member States regarding their successes or failures in terms of Goal 3 were subjected to analysis. Altogether, 11 indicators were used to rank the EU countries using the TOPSIS and ranking methods. The ranks were assigned to the countries in two periods. The first period is related to the time from 2010 till 2014, and the second period from 2015 till 2019. Results The EU countries achieved a positive development in 10 of 11 indicators that monitor the achievement of the EU in terms of Goal 3. The only variable that changed negatively was the obesity rate. Positivity was observed in the decline of the standardized preventable and treatable mortality, which declined from 317.3 in the first period to 295 in the second period; the drop of the population weighted annual mean concentration of fine particulate PM2.5, from 16.4 to 13.6 μg/m3, and also in the increase of the share of people with good or very good perceived health, which was combined with a decrease of the self-reported</w:t>
      </w:r>
    </w:p>
    <w:p>
      <w:pPr/>
      <w:r>
        <w:rPr>
          <w:b/>
        </w:rPr>
        <w:t>POSSIBLE 2022:</w:t>
      </w:r>
      <w:r>
        <w:t xml:space="preserve"> Gender Mainstreaming the European Union Energy Transition — https://doi.org/10.3390/en15218087</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union, emissions, transport, assess, method;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2022:</w:t>
      </w:r>
      <w:r>
        <w:t xml:space="preserve"> The Achievements of Climate Change and Energy Policy in the European Union — https://doi.org/10.3390/en15145128</w:t>
      </w:r>
    </w:p>
    <w:p>
      <w:pPr/>
      <w:r>
        <w:rPr>
          <w:b/>
        </w:rPr>
        <w:t>Shared claim-specific concepts:</w:t>
      </w:r>
      <w:r>
        <w:t xml:space="preserve"> union, assess, method; EU scope visible. This is a provisional connection, not an outcome finding.</w:t>
      </w:r>
    </w:p>
    <w:p>
      <w:pPr>
        <w:pStyle w:val="SourceNote"/>
      </w:pPr>
      <w:r>
        <w:rPr>
          <w:b/>
        </w:rPr>
        <w:t>Available abstract (not full text):</w:t>
      </w:r>
      <w:r>
        <w:t xml:space="preserve"> The European transition to green economy is based on long-term strategies. The Europe 2020 Strategy was launched in 2010 in order to promote smart, sustainable, and inclusive growth in the region. Later, the ambitions regarding this strategy were followed by the Green Deal and Sustainable Development Goals. Now, the effort of countries towards the green economy is even more relevant than ever because of the context of today’s global energy crisis and economic uncertainty due to many challenges such as the COVID-19 pandemic or Russia invasion of Ukraine. This paper seeks to assess the countries’ achievements in seeking climate change and energy targets of the Europe 2020 Strategy by applying the innovative multi-criteria decision-making (MCDM) technique. The kernel-based comprehensive assessment (KerCA) method was applied for the calculations of the progress achieved and countries’ rankings. It allows to evaluate countries’ achievements and compare them using the mathematical models. The analysis of the national target implementation in the countries allows to determine the compliance of countries with their commitments and liability towards other countries and the European Union (EU). An analysis of the implementation of the strategy can serve as a guide to further develop climate change and energy policy in the region. Furthermore, the added value of the article is systematic </w:t>
      </w:r>
    </w:p>
    <w:p>
      <w:pPr>
        <w:pStyle w:val="Heading2"/>
      </w:pPr>
      <w:r>
        <w:t>545.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2024:</w:t>
      </w:r>
      <w:r>
        <w:t xml:space="preserve"> Tracking Candidemia Trends and Antifungal Resistance Patterns across Europe: An In-Depth Analysis of Surveillance Systems and Surveillance Studies — https://doi.org/10.3390/jof10100685</w:t>
      </w:r>
    </w:p>
    <w:p>
      <w:pPr/>
      <w:r>
        <w:rPr>
          <w:b/>
        </w:rPr>
        <w:t>Shared claim-specific concepts:</w:t>
      </w:r>
      <w:r>
        <w:t xml:space="preserve"> methods, in-depth, system, trends; EU scope visible. This is a provisional connection, not an outcome finding.</w:t>
      </w:r>
    </w:p>
    <w:p>
      <w:pPr>
        <w:pStyle w:val="SourceNote"/>
      </w:pPr>
      <w:r>
        <w:rPr>
          <w:b/>
        </w:rPr>
        <w:t>Available abstract (not full text):</w:t>
      </w:r>
      <w:r>
        <w:t xml:space="preserve">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pStyle w:val="Heading2"/>
      </w:pPr>
      <w:r>
        <w:t>546.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2023:</w:t>
      </w:r>
      <w:r>
        <w:t xml:space="preserve"> Systematic analysis of PMV and SET* in an imagined normal environment — https://doi.org/10.1201/9781003410843-27</w:t>
      </w:r>
    </w:p>
    <w:p>
      <w:pPr/>
      <w:r>
        <w:rPr>
          <w:b/>
        </w:rPr>
        <w:t>Shared claim-specific concepts:</w:t>
      </w:r>
      <w:r>
        <w:t xml:space="preserve"> set, different, between, increase; EU scope not established. This is a provisional connection, not an outcome finding.</w:t>
      </w:r>
    </w:p>
    <w:p>
      <w:pPr>
        <w:pStyle w:val="SourceNote"/>
      </w:pPr>
      <w:r>
        <w:rPr>
          <w:b/>
        </w:rPr>
        <w:t>Available abstract (not full text):</w:t>
      </w:r>
      <w:r>
        <w:t xml:space="preserve"> The Predicted Mean Vote (PMV) and Standard Effective Temperature (SET*) are widely used models in international standards to quantify thermal comfort. Nonetheless, literature is scarce on the quantification of the interrelationship between these two models, demanding a systematic study. Therefore, in this study, the interrelationship between PMV and SET* in an assumed normal environment is investigated. For this purpose, a large set of data samples was generated by considering various thermal variables at different levels within certain threshold limits and employed in the designated model formulation of PMV and SET*. The mathematical models were established to quantify the interrelationship between PMV and SET* for various clothing insulation (I cl ). In addition, frequency distributions of PMV and SET* based on established models were evaluated, which showed that the relevant relationship between the proposed models was substantially based on computation outputs rather than computation/heat variables. The parametric analyses showed that these models were significantly and synergistically influenced by different heat variables, and their selection may play an important role in defining thermal comfort using these two models. The results of both models were influenced by air velocity (V) at the lower operating temperature (T op ) and relative humidity (φ) at the higher Top in t</w:t>
      </w:r>
    </w:p>
    <w:p>
      <w:pPr/>
      <w:r>
        <w:rPr>
          <w:b/>
        </w:rPr>
        <w:t>POSSIBLE 2022:</w:t>
      </w:r>
      <w:r>
        <w:t xml:space="preserve"> Transcriptome Profiling Based on Larvae at Different Time Points After Hatching Provides a Core Set of Gene Resource for Understanding the Metabolic Mechanisms of the Brood-Care Behavior in Octopus ocellatus — https://doi.org/10.3389/fphys.2021.762681</w:t>
      </w:r>
    </w:p>
    <w:p>
      <w:pPr/>
      <w:r>
        <w:rPr>
          <w:b/>
        </w:rPr>
        <w:t>Shared claim-specific concepts:</w:t>
      </w:r>
      <w:r>
        <w:t xml:space="preserve"> provide, set, different, between; EU scope not established. This is a provisional connection, not an outcome finding.</w:t>
      </w:r>
    </w:p>
    <w:p>
      <w:pPr>
        <w:pStyle w:val="SourceNote"/>
      </w:pPr>
      <w:r>
        <w:rPr>
          <w:b/>
        </w:rPr>
        <w:t>Available abstract (not full text):</w:t>
      </w:r>
      <w:r>
        <w:t xml:space="preserve"> The metabolic processes of organisms are very complex. Each process is crucial and affects the growth, development, and reproduction of organisms. Metabolism-related mechanisms inOctopus ocellatusbehaviors have not been widely studied. Brood-care is a common behavior in most organisms, which can improve the survival rate and constitution of larvae.Octopus ocellatuscarried out this behavior, but it was rarely noticed by researchers before. In our study, 3,486 differentially expressed genes (DEGs) were identified based on transcriptome analysis ofO. ocellatus. We identify metabolism-related DEGs using GO and KEGG enrichment analyses. Then, we construct protein–protein interaction networks to search the functional relationships between metabolism-related DEGs. Finally, we identified 10 hub genes related to multiple gene functions or involved in multiple signal pathways and verified them using quantitative real-time polymerase chain reaction (qRT-PCR). Protein–protein interaction networks were first used to study the effects of brood-care behavior on metabolism in the process of growing ofO. ocellatuslarvae, and the results provide us valuable genetic resources for understanding the metabolic processes of invertebrate larvae. The data lay a foundation for further study the brood-care behavior and metabolic mechanisms of invertebrates.</w:t>
      </w:r>
    </w:p>
    <w:p>
      <w:pPr/>
      <w:r>
        <w:rPr>
          <w:b/>
        </w:rPr>
        <w:t>POSSIBLE 2022:</w:t>
      </w:r>
      <w:r>
        <w:t xml:space="preserve"> Why is manufacturing not more sustainable? The effects of different sustainability practices on sustainability outcomes and competitive advantage — https://doi.org/10.1016/j.jclepro.2022.130392</w:t>
      </w:r>
    </w:p>
    <w:p>
      <w:pPr/>
      <w:r>
        <w:rPr>
          <w:b/>
        </w:rPr>
        <w:t>Shared claim-specific concepts:</w:t>
      </w:r>
      <w:r>
        <w:t xml:space="preserve"> different, differential, between, over; EU scope not established. This is a provisional connection, not an outcome finding.</w:t>
      </w:r>
    </w:p>
    <w:p>
      <w:pPr>
        <w:pStyle w:val="SourceNote"/>
      </w:pPr>
      <w:r>
        <w:rPr>
          <w:b/>
        </w:rPr>
        <w:t>Available abstract (not full text):</w:t>
      </w:r>
      <w:r>
        <w:t xml:space="preserve"> Over the last decades, there has been growing worldwide concern for the notable contribution of manufacturing activities to environmental damages. In this context, there is an open debate regarding the incentives of companies to move from mere compliance strategies towards voluntary adoption of environmental responsibility strategies, simultaneously considering economic, environmental and social objectives. This paper aims to analyse the effect of different sets of sustainability practices on sustainability outcomes and the competitive advantage of manufacturing firms. The study distinguishes between internal, external monitoring and external collaborative sustainability practices and considers their effect on regulatory, environmental and manufacturing sustainability outcomes in order to identify their contribution to the competitive advantage of firms. Drawing on natural resource-based view theory, social exchange theory and transaction cost theory, and recent evidence in the field, the study tests several hypotheses using data from the fourth round of the High-Performance Management (HPM) project. Through structural equation modelling with partial least square methodology (PLS-SEM), this study shows the existence of differential effects of sustainability practices on sustainability outcomes and competitive advantage using a sample of 263 manufacturing plants located in 15 co</w:t>
      </w:r>
    </w:p>
    <w:p>
      <w:pPr>
        <w:pStyle w:val="Heading2"/>
      </w:pPr>
      <w:r>
        <w:t>547.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2024:</w:t>
      </w:r>
      <w:r>
        <w:t xml:space="preserve"> European historical consciousness and the “culture of memory” as a reflection of “Pan-European” values — https://doi.org/10.31857/s1026945224090176</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pPr/>
      <w:r>
        <w:rPr>
          <w:b/>
        </w:rPr>
        <w:t>POSSIBLE 2024:</w:t>
      </w:r>
      <w:r>
        <w:t xml:space="preserve"> Institutional efficiency in the context of Ukraine’s prospects of European integration. Article 1. Institutional effectiveness in the EU countries — https://doi.org/10.15407/etet2024.01.028</w:t>
      </w:r>
    </w:p>
    <w:p>
      <w:pPr/>
      <w:r>
        <w:rPr>
          <w:b/>
        </w:rPr>
        <w:t>Shared claim-specific concepts:</w:t>
      </w:r>
      <w:r>
        <w:t xml:space="preserve"> article, author, presents, increase, over; EU scope visible. This is a provisional connection, not an outcome finding.</w:t>
      </w:r>
    </w:p>
    <w:p>
      <w:pPr>
        <w:pStyle w:val="SourceNote"/>
      </w:pPr>
      <w:r>
        <w:rPr>
          <w:b/>
        </w:rPr>
        <w:t>Available abstract (not full text):</w:t>
      </w:r>
      <w:r>
        <w:t xml:space="preserve">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pPr/>
      <w:r>
        <w:rPr>
          <w:b/>
        </w:rPr>
        <w:t>POSSIBLE 2024:</w:t>
      </w:r>
      <w:r>
        <w:t xml:space="preserve"> The role of African countries in the diversification of European supply chains from the perspective of the European Union — https://doi.org/10.31338/1641-2478pe.4.24.7</w:t>
      </w:r>
    </w:p>
    <w:p>
      <w:pPr/>
      <w:r>
        <w:rPr>
          <w:b/>
        </w:rPr>
        <w:t>Shared claim-specific concepts:</w:t>
      </w:r>
      <w:r>
        <w:t xml:space="preserve"> article, author, presents, union, role; EU scope visible. This is a provisional connection, not an outcome finding.</w:t>
      </w:r>
    </w:p>
    <w:p>
      <w:pPr>
        <w:pStyle w:val="SourceNote"/>
      </w:pPr>
      <w:r>
        <w:rPr>
          <w:b/>
        </w:rPr>
        <w:t>Available abstract (not full text):</w:t>
      </w:r>
      <w:r>
        <w:t xml:space="preserve">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pPr/>
      <w:r>
        <w:rPr>
          <w:b/>
        </w:rPr>
        <w:t>POSSIBLE 2024:</w:t>
      </w:r>
      <w:r>
        <w:t xml:space="preserve"> THE LEVERAGING OF DIGITAL DIPLOMACY TO FURTHER THE EUROPEAN UNION'S DIPLOMATIC AGENDA — https://openalex.org/W7215527868</w:t>
      </w:r>
    </w:p>
    <w:p>
      <w:pPr/>
      <w:r>
        <w:rPr>
          <w:b/>
        </w:rPr>
        <w:t>Shared claim-specific concepts:</w:t>
      </w:r>
      <w:r>
        <w:t xml:space="preserve"> article, presents, support, union, role; EU scope visible. This is a provisional connection, not an outcome finding.</w:t>
      </w:r>
    </w:p>
    <w:p>
      <w:pPr>
        <w:pStyle w:val="SourceNote"/>
      </w:pPr>
      <w:r>
        <w:rPr>
          <w:b/>
        </w:rPr>
        <w:t>Available abstract (not full text):</w:t>
      </w:r>
      <w:r>
        <w:t xml:space="preserve"> This article examines the role of digital diplomacy in advancing the diplomatic goals of the European Union. The authors analyze the impact of digital technologies on diplomatic processes and discuss the benefits, challenges, and opportunities that digital diplomacy presents for the European Union. The article considers examples of the use of digital tools and platforms, such as social media, email, and websites, to support communication, advocacy, and the management of the European Union's image. It also highlights the privacy, security, and ethical challenges associated with digital diplomacy. In conclusion, the authors emphasize the importance of integrating digital tools and strategies into the diplomatic work of the European Union to effectively achieve its diplomatic objectives in the modern digital world.</w:t>
      </w:r>
    </w:p>
    <w:p>
      <w:pPr/>
      <w:r>
        <w:rPr>
          <w:b/>
        </w:rPr>
        <w:t>POSSIBLE 2024:</w:t>
      </w:r>
      <w:r>
        <w:t xml:space="preserve"> Between Europe and Asia: Establishment of the Russian Legal System — https://doi.org/10.18572/1812-3805-2024-7-19-23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The article presents results of studies of the historical choice factor in the process of establishment of the Russian legal system from the standpoint of influence of European and Asian legal traditions on evolution of Russian law. The author brings forward some methodological approaches to solution of research tasks solved in this sphere of historical jurisprudence.</w:t>
      </w:r>
    </w:p>
    <w:p>
      <w:pPr/>
      <w:r>
        <w:rPr>
          <w:b/>
        </w:rPr>
        <w:t>POSSIBLE 2023:</w:t>
      </w:r>
      <w:r>
        <w:t xml:space="preserve"> Evolution of the European Union’s policy for development of rural communities in the context of the European Green Deal strategy implementation — https://doi.org/10.31338/1641-2478pe.3.23.3</w:t>
      </w:r>
    </w:p>
    <w:p>
      <w:pPr/>
      <w:r>
        <w:rPr>
          <w:b/>
        </w:rPr>
        <w:t>Shared claim-specific concepts:</w:t>
      </w:r>
      <w:r>
        <w:t xml:space="preserve"> article, author, presents, support, union; EU scope visible. This is a provisional connection, not an outcome finding.</w:t>
      </w:r>
    </w:p>
    <w:p>
      <w:pPr>
        <w:pStyle w:val="SourceNote"/>
      </w:pPr>
      <w:r>
        <w:rPr>
          <w:b/>
        </w:rPr>
        <w:t>Available abstract (not full text):</w:t>
      </w:r>
      <w:r>
        <w:t xml:space="preserve"> This article refers to development support instruments for rural communities in the European Union (EU). The author presents the systemic and strategic determinants of creation and delivery of the EU rural community policy, as well as the origins and evolution of the Union policy in the abovementioned scope. The analysis is focused on the specific institutional and financial solutions which promote sustainable development of rural communities. The article demonstrates that multi-level and multi-agent nature of the development management system in the EU affects the implementation of a neo-endogenous policy towards rural communities in the EU. The text also presents developments in the implementation of EU policy for rural communities after 2021 in the context of the implementation of the European Green Deal (EGD) strategy.</w:t>
      </w:r>
    </w:p>
    <w:p>
      <w:pPr/>
      <w:r>
        <w:rPr>
          <w:b/>
        </w:rPr>
        <w:t>POSSIBLE 2023:</w:t>
      </w:r>
      <w:r>
        <w:t xml:space="preserve"> Causes of the Russian-Ukrainian Conflict and its Impact on Security in Europe — https://doi.org/10.2478/kbo-2023-0004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548.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r>
        <w:rPr>
          <w:b/>
        </w:rPr>
        <w:t>POSSIBLE 2022:</w:t>
      </w:r>
      <w:r>
        <w:t xml:space="preserve"> The Regional Development Trap in Europe — https://doi.org/10.1080/00130095.2022.2080655</w:t>
      </w:r>
    </w:p>
    <w:p>
      <w:pPr/>
      <w:r>
        <w:rPr>
          <w:b/>
        </w:rPr>
        <w:t>Shared claim-specific concepts:</w:t>
      </w:r>
      <w:r>
        <w:t xml:space="preserve"> shed, light, concept;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After the four-year transition period: Is the European Union's Medical Device Regulation of 2017 likely to achieve its main goals? — https://doi.org/10.1016/j.healthpol.2022.09.012</w:t>
      </w:r>
    </w:p>
    <w:p>
      <w:pPr/>
      <w:r>
        <w:rPr>
          <w:b/>
        </w:rPr>
        <w:t>Shared claim-specific concepts:</w:t>
      </w:r>
      <w:r>
        <w:t xml:space="preserve"> main, achieve, reasons, why; EU scope visible. This is a provisional connection, not an outcome finding.</w:t>
      </w:r>
    </w:p>
    <w:p>
      <w:pPr>
        <w:pStyle w:val="SourceNote"/>
      </w:pPr>
      <w:r>
        <w:rPr>
          <w:b/>
        </w:rPr>
        <w:t>Available abstract (not full text):</w:t>
      </w:r>
      <w:r>
        <w:t xml:space="preserve"> Following a series of major scandals over the past two decades, the medical device industry is now undergoing a major regulatory change: the implementation of the European Union Medical Device Regulation (MDR) of 2017. After a transitional period of four years, the MDR became fully binding in May 2021. Although the medium- and long-term impacts of the MDR are still unclear, a range of scholars, health care professionals, and industry representatives have begun to publish early evidence and publicize their views on how the new regulation may impact free trade and patient safety. Even a cursory view of their output reveals hypotheses and opinions that could hardly be more divergent. The reasons for this disagreement are unclear and may extend beyond the different interests of the various stakeholder groups. To find out why this might be the case, we examine the MDR and seek to improve scholarly understanding of this most extensive regulation of medical devices since the early 1990s. We offer policymakers suggestions to help them improve future regulation. Based on theoretical considerations, we conclude that while the MDR is highly likely to strengthen the internal market of the EU, its impact on patient safety will remain unclear as long as there are no comprehensive studies on this topic that are based on empirical data.</w:t>
      </w:r>
    </w:p>
    <w:p>
      <w:pPr>
        <w:pStyle w:val="Heading2"/>
      </w:pPr>
      <w:r>
        <w:t>549.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r>
        <w:rPr>
          <w:b/>
        </w:rPr>
        <w:t>POSSIBLE 2023:</w:t>
      </w:r>
      <w:r>
        <w:t xml:space="preserve"> Representative government in south Germany and the myth of the Sonderweg — https://doi.org/10.31235/osf.io/tcwzs</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pPr/>
      <w:r>
        <w:rPr>
          <w:b/>
        </w:rPr>
        <w:t>POSSIBLE 2022:</w:t>
      </w:r>
      <w:r>
        <w:t xml:space="preserve"> National Recovery and Resilience Plan: Germany — https://doi.org/10.6092/issn.1561-8048/15651</w:t>
      </w:r>
    </w:p>
    <w:p>
      <w:pPr/>
      <w:r>
        <w:rPr>
          <w:b/>
        </w:rPr>
        <w:t>Shared claim-specific concepts:</w:t>
      </w:r>
      <w:r>
        <w:t xml:space="preserve"> german, government, electricity, germany; EU scope visible. This is a provisional connection, not an outcome finding.</w:t>
      </w:r>
    </w:p>
    <w:p>
      <w:pPr>
        <w:pStyle w:val="SourceNote"/>
      </w:pPr>
      <w:r>
        <w:rPr>
          <w:b/>
        </w:rPr>
        <w:t>Available abstract (not full text):</w:t>
      </w:r>
      <w:r>
        <w:t xml:space="preserve">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pPr/>
      <w:r>
        <w:rPr>
          <w:b/>
        </w:rPr>
        <w:t>POSSIBLE 2022:</w:t>
      </w:r>
      <w:r>
        <w:t xml:space="preserve"> The politics of government reorganization in Western Europe — https://doi.org/10.1111/gove.12670</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pStyle w:val="Heading2"/>
      </w:pPr>
      <w:r>
        <w:t>550.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2022:</w:t>
      </w:r>
      <w:r>
        <w:t xml:space="preserve"> Worst Cases and Reality — https://doi.org/10.1353/apr.2022.0008</w:t>
      </w:r>
    </w:p>
    <w:p>
      <w:pPr/>
      <w:r>
        <w:rPr>
          <w:b/>
        </w:rPr>
        <w:t>Shared claim-specific concepts:</w:t>
      </w:r>
      <w:r>
        <w:t xml:space="preserve"> worst, case, increase, based, four; EU scope visible. This is a provisional connection, not an outcome finding.</w:t>
      </w:r>
    </w:p>
    <w:p>
      <w:pPr>
        <w:pStyle w:val="SourceNote"/>
      </w:pPr>
      <w:r>
        <w:rPr>
          <w:b/>
        </w:rPr>
        <w:t>Available abstract (not full text):</w:t>
      </w:r>
      <w:r>
        <w:t xml:space="preserve">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pStyle w:val="Heading2"/>
      </w:pPr>
      <w:r>
        <w:t>551.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r>
        <w:rPr>
          <w:b/>
        </w:rPr>
        <w:t>POSSIBLE 2023:</w:t>
      </w:r>
      <w:r>
        <w:t xml:space="preserve"> Correcting Subseasonal Forecast Errors with an Explainable ANN to Understand Misrepresented Sources of Predictability of European Summer Temperatures — https://doi.org/10.1175/aies-d-22-0047.1</w:t>
      </w:r>
    </w:p>
    <w:p>
      <w:pPr/>
      <w:r>
        <w:rPr>
          <w:b/>
        </w:rPr>
        <w:t>Shared claim-specific concepts:</w:t>
      </w:r>
      <w:r>
        <w:t xml:space="preserve"> predicted, following, sources, conditions, reasons, need; EU scope visible. This is a provisional connection, not an outcome finding.</w:t>
      </w:r>
    </w:p>
    <w:p>
      <w:pPr>
        <w:pStyle w:val="SourceNote"/>
      </w:pPr>
      <w:r>
        <w:rPr>
          <w:b/>
        </w:rPr>
        <w:t>Available abstract (not full text):</w:t>
      </w:r>
      <w:r>
        <w:t xml:space="preserve">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sources, within, eastern, caused;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552.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2024:</w:t>
      </w:r>
      <w:r>
        <w:t xml:space="preserve"> Pathways toward sustainable aviation: Analyzing emissions from air operations in Europe to support policy initiatives — https://doi.org/10.1016/j.tra.2024.104121</w:t>
      </w:r>
    </w:p>
    <w:p>
      <w:pPr/>
      <w:r>
        <w:rPr>
          <w:b/>
        </w:rPr>
        <w:t>Shared claim-specific concepts:</w:t>
      </w:r>
      <w:r>
        <w:t xml:space="preserve"> analyzing, pathways, high, present, industry; EU scope visible. This is a provisional connection, not an outcome finding.</w:t>
      </w:r>
    </w:p>
    <w:p>
      <w:pPr>
        <w:pStyle w:val="SourceNote"/>
      </w:pPr>
      <w:r>
        <w:rPr>
          <w:b/>
        </w:rPr>
        <w:t>Available abstract (not full text):</w:t>
      </w:r>
      <w:r>
        <w:t xml:space="preserve">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Barriers to Electrification: Analyzing Critical Delays and Pathways Forward — https://doi.org/10.3390/wevj15090409</w:t>
      </w:r>
    </w:p>
    <w:p>
      <w:pPr/>
      <w:r>
        <w:rPr>
          <w:b/>
        </w:rPr>
        <w:t>Shared claim-specific concepts:</w:t>
      </w:r>
      <w:r>
        <w:t xml:space="preserve"> analyzing, pathways, high, electrification, rapid; EU scope visible. This is a provisional connection, not an outcome finding.</w:t>
      </w:r>
    </w:p>
    <w:p>
      <w:pPr>
        <w:pStyle w:val="SourceNote"/>
      </w:pPr>
      <w:r>
        <w:rPr>
          <w:b/>
        </w:rPr>
        <w:t>Available abstract (not full text):</w:t>
      </w:r>
      <w:r>
        <w:t xml:space="preserve">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pPr/>
      <w:r>
        <w:rPr>
          <w:b/>
        </w:rPr>
        <w:t>POSSIBLE 2023:</w:t>
      </w:r>
      <w:r>
        <w:t xml:space="preserve"> Identification of microplastic pathways within a typical European urban wastewater system — https://doi.org/10.1002/appl.202200078</w:t>
      </w:r>
    </w:p>
    <w:p>
      <w:pPr/>
      <w:r>
        <w:rPr>
          <w:b/>
        </w:rPr>
        <w:t>Shared claim-specific concepts:</w:t>
      </w:r>
      <w:r>
        <w:t xml:space="preserve"> four, pathways, rapid; EU scope visible. This is a provisional connection, not an outcome finding.</w:t>
      </w:r>
    </w:p>
    <w:p>
      <w:pPr>
        <w:pStyle w:val="SourceNote"/>
      </w:pPr>
      <w:r>
        <w:rPr>
          <w:b/>
        </w:rPr>
        <w:t>Available abstract (not full text):</w:t>
      </w:r>
      <w:r>
        <w:t xml:space="preserve"> Abstract In recent years, thermoextraction/desorption‐gas chromatography/mass spectrometry (TED‐GC/MS) has been developed as a rapid detection method for the determination of microplastics (MP) mass contents in numerous environmentally relevant matrices and, in particular, for the measurement of polymers in water samples without time‐consuming sample preparation. The TED‐GC/MS method was applied to investigate a typical European municipal wastewater system for possible MP masses. Such investigations are important in view of the recent revision of the Urban Wastewater Treatment Directive. Four different representative sampling sites were selected: greywater (domestic wastewater without toilet), combined sewer, and influent and effluent of a wastewater treatment plant (WWTP). All samples were collected by fractional filtration. Filtration was carried out over mesh sizes of 500, 100, 50, and in some cases, 5 µm. Polyethylene (PE), polypropylene (PP), and polystyrene (PS) were detected in all samples, with the PE fraction dominating in all cases. Styrene‐butadiene rubber which serves as an indication of tire abrasion, was only found in the influent of the WWTP. The highest MP mass contents were found in the combined sewer, so MP can become a source of pollution during heavy rain events when the capacity limits of the effluent are reached, and the polluted effluent is released uncon</w:t>
      </w:r>
    </w:p>
    <w:p>
      <w:pPr/>
      <w:r>
        <w:rPr>
          <w:b/>
        </w:rPr>
        <w:t>POSSIBLE 2023:</w:t>
      </w:r>
      <w:r>
        <w:t xml:space="preserve"> Who cares about migraine? Pathways and hurdles in the European region - access to care III — https://doi.org/10.1186/s10194-023-01652-8</w:t>
      </w:r>
    </w:p>
    <w:p>
      <w:pPr/>
      <w:r>
        <w:rPr>
          <w:b/>
        </w:rPr>
        <w:t>Shared claim-specific concepts:</w:t>
      </w:r>
      <w:r>
        <w:t xml:space="preserve"> four, pathways, present, makers; EU scope visible. This is a provisional connection, not an outcome finding.</w:t>
      </w:r>
    </w:p>
    <w:p>
      <w:pPr>
        <w:pStyle w:val="SourceNote"/>
      </w:pPr>
      <w:r>
        <w:rPr>
          <w:b/>
        </w:rPr>
        <w:t>Available abstract (not full text):</w:t>
      </w:r>
      <w:r>
        <w:t xml:space="preserve"> BACKGROUND: Migraine is a highly prevalent primary headache disorder and a leading cause of disability. Difficulties in access to care during diagnostic and therapeutic journey contribute to the disease burden. Several target-specific drugs have reached the market in the past four years and have modified the treatment paradigm in migraine. The aim of this study is to provide an updated snapshot of the pathways and hurdles to care for migraine in different European countries by directly asking patients. METHODS: In 2021 the European Migraine and Headache Alliance proposed a 39-item questionnaire that was administered online to an adult migraine population in European countries. Questions were focused on socio-demographic and migraine data, access to diagnosis and treatment, disease-related burden and the main channel for disease information. RESULTS: A total of 3169 questionnaires were returned from 10 European countries. Responders were predominantly females, age range 25-59 years, with a migraine history longer than 10 years in 82% of cases, and with at least 8 headache days per month in 57% of cases. Respondents reported limitations in social, working and personal life during both the ictal and interictal phase. The activities mostly impaired during the attacks were driving (55%), cooking or eating (42%), taking care of family/childcare (40%) and getting medicines at the phar</w:t>
      </w:r>
    </w:p>
    <w:p>
      <w:pPr/>
      <w:r>
        <w:rPr>
          <w:b/>
        </w:rPr>
        <w:t>POSSIBLE 2022:</w:t>
      </w:r>
      <w:r>
        <w:t xml:space="preserve"> Analyzing the Macro-Economic and Employment Implications of Ambitious Mitigation Pathways and Carbon Pricing — https://doi.org/10.3389/fclim.2022.785136</w:t>
      </w:r>
    </w:p>
    <w:p>
      <w:pPr/>
      <w:r>
        <w:rPr>
          <w:b/>
        </w:rPr>
        <w:t>Shared claim-specific concepts:</w:t>
      </w:r>
      <w:r>
        <w:t xml:space="preserve"> analyzing, pathways, high, achieve, decarbonization; EU scope visible. This is a provisional connection, not an outcome finding.</w:t>
      </w:r>
    </w:p>
    <w:p>
      <w:pPr>
        <w:pStyle w:val="SourceNote"/>
      </w:pPr>
      <w:r>
        <w:rPr>
          <w:b/>
        </w:rPr>
        <w:t>Available abstract (not full text):</w:t>
      </w:r>
      <w:r>
        <w:t xml:space="preserve"> The recent EU Green Deal puts forward ambition climate targets aiming to make the EU the first climate neutral continent by mid-century while ensuring a just transition. This requires a large-scale transformation of the EU and global energy and economic systems induced by both regulatory and market-based policies, in particular carbon pricing. Macro-economic models currently used for the analysis of climate policy impacts need improvements to consistently capture the transition dynamics and challenges. The study presents the methodological enhancements realized in general equilibrium model GEM-E3-FIT (including enhanced energy system representation, low-carbon innovation, clean energy markets, technology progress, policy instruments) to improve the simulation of the impacts of ambitious climate policies. The model-based analysis shows that high carbon pricing has limited negative impacts on the EU GDP and consumption, while leading to an economy transformation toward a capital-intensive structure triggered by increased investment in low-carbon technologies and energy efficient equipment. Global decarbonization to achieve the well-below 2°C goal of the Paris Agreement will modestly impact total employment, but its effects are pronounced on specific sectors which are impacted either negatively (e.g., supply of fossil fuels, energy intensive industries) or positively by creating a</w:t>
      </w:r>
    </w:p>
    <w:p>
      <w:pPr>
        <w:pStyle w:val="Heading2"/>
      </w:pPr>
      <w:r>
        <w:t>553.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2024:</w:t>
      </w:r>
      <w:r>
        <w:t xml:space="preserve"> Changes in climate indicators of degradation of UNESCO cultural heritage sites in the European part of Russia — https://doi.org/10.21638/spbu07.2024.306</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pPr/>
      <w:r>
        <w:rPr>
          <w:b/>
        </w:rPr>
        <w:t>POSSIBLE 2024:</w:t>
      </w:r>
      <w:r>
        <w:t xml:space="preserve"> Predicting the effect of climate change and management on net carbon sequestration in the forest ecosystems of the European part of Russia with the complex of models — https://doi.org/10.1016/j.ecolmodel.2024.110835</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future of the Portuguese (SW Europe) most vulnerable coastal areas under climate change – Part I: Performance evaluation and shoreline evolution from a downscaled bias corrected wave climate ensemble — https://doi.org/10.1016/j.oceaneng.2024.117661</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pPr/>
      <w:r>
        <w:rPr>
          <w:b/>
        </w:rPr>
        <w:t>POSSIBLE 2024:</w:t>
      </w:r>
      <w:r>
        <w:t xml:space="preserve"> The future of the Portuguese (SW Europe) most vulnerable coastal areas under climate change – Part II: Future extreme coastal flooding from downscaled bias corrected wave climate projections — https://doi.org/10.1016/j.oceaneng.2024.118448</w:t>
      </w:r>
    </w:p>
    <w:p>
      <w:pPr/>
      <w:r>
        <w:rPr>
          <w:b/>
        </w:rPr>
        <w:t>Shared claim-specific concepts:</w:t>
      </w:r>
      <w:r>
        <w:t xml:space="preserve"> part, climate, plans; EU scope visible. This is a provisional connection, not an outcome finding.</w:t>
      </w:r>
    </w:p>
    <w:p>
      <w:pPr>
        <w:pStyle w:val="SourceNote"/>
      </w:pPr>
      <w:r>
        <w:rPr>
          <w:b/>
        </w:rPr>
        <w:t>Available abstract (not full text):</w:t>
      </w:r>
      <w:r>
        <w:t xml:space="preserve">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demonstrate;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Climate Change Impact on the Cultural Heritage Sites in the European Part of Russia over the Past 60 Years — https://doi.org/10.3390/cli11030050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Climate change is causing damage to infrastructure, ecosystems, and social systems, including cultural heritage sites. In the European part of Russia, there are 20 UNESCO-listed cultural heritage sites situated in different climatic conditions. This study assesses the impact of climate change on these sites by using ERA5 re-analysis data to calculate two frost damage indices and two salt weathering indices for the period 1960–2020. The findings indicate a rise in frost damage and salt weathering at cultural heritage sites in northern Europe, primarily due to changes in air temperature and water in the atmosphere, which are the main parameters responsible for the destruction of stone and brick structures. Given the observed and predicted trends in the main meteorological parameters, the detrimental destructive impact of climate change on cultural heritage sites will only increase. In view of the significant length of Russia from north to south and the difference in climatic conditions, measures for the adaptation and protection of cultural heritage sites must be adapted to local conditions and consider the material from which the object is made.</w:t>
      </w:r>
    </w:p>
    <w:p>
      <w:pPr/>
      <w:r>
        <w:rPr>
          <w:b/>
        </w:rPr>
        <w:t>POSSIBLE 2023:</w:t>
      </w:r>
      <w:r>
        <w:t xml:space="preserve"> A multi-disciplinary analysis of the exceptional flood event of July 2021 in central Europe – Part 2: Historical context and relation to climate change — https://doi.org/10.5194/nhess-23-1287-2023</w:t>
      </w:r>
    </w:p>
    <w:p>
      <w:pPr/>
      <w:r>
        <w:rPr>
          <w:b/>
        </w:rPr>
        <w:t>Shared claim-specific concepts:</w:t>
      </w:r>
      <w:r>
        <w:t xml:space="preserve"> part, climate, within; EU scope visible. This is a provisional connection, not an outcome finding.</w:t>
      </w:r>
    </w:p>
    <w:p>
      <w:pPr>
        <w:pStyle w:val="SourceNote"/>
      </w:pPr>
      <w:r>
        <w:rPr>
          <w:b/>
        </w:rPr>
        <w:t>Available abstract (not full text):</w:t>
      </w:r>
      <w:r>
        <w:t xml:space="preserve"> Abstract. Heavy precipitation over western Germany and neighboring countries in July 2021 led to widespread floods, with the Ahr and Erft river catchments being particularly affected. Following the event characterization and process analysis in Part 1, here we put the 2021 event in the historical context regarding precipitation and discharge records, and in terms of the temporal transformation of the valley morphology. Furthermore, we evaluated the role of ongoing and future climate change on the modification of rainfall totals and associated flood hazards as well as implications for flood management. The event was among the five heaviest precipitation events of the past 70 years in Germany. However, considering the large LAERTES-EU regional climate model (RCM) ensemble revealed a substantial underestimation of return values and periods based on extreme value statistics using only observations. An analysis of homogeneous hydrological data of the last 70 years demonstrated that the event discharges exceeded by far the statistical 100-year return values. Nevertheless, the flood peaks at the Ahr River were comparable to the reconstructed major historical events of 1804 and 1910, which were not included in the hazard assessment of flood risk so far. A comparison between the 2021 and past events showed differences in terms of the observed hydro-morphodynamic processes which enhanced</w:t>
      </w:r>
    </w:p>
    <w:p>
      <w:pPr/>
      <w:r>
        <w:rPr>
          <w:b/>
        </w:rPr>
        <w:t>POSSIBLE 2023:</w:t>
      </w:r>
      <w:r>
        <w:t xml:space="preserve"> Climate Change in the Mediterranean Basin (Part II): A Review of Challenges and Uncertainties in Climate Change Modeling and Impact Analyses — https://doi.org/10.1007/s11269-023-03444-w</w:t>
      </w:r>
    </w:p>
    <w:p>
      <w:pPr/>
      <w:r>
        <w:rPr>
          <w:b/>
        </w:rPr>
        <w:t>Shared claim-specific concepts:</w:t>
      </w:r>
      <w:r>
        <w:t xml:space="preserve"> part, climate; EU scope not established. This is a provisional connection, not an outcome finding.</w:t>
      </w:r>
    </w:p>
    <w:p>
      <w:pPr>
        <w:pStyle w:val="SourceNote"/>
      </w:pPr>
      <w:r>
        <w:rPr>
          <w:b/>
        </w:rPr>
        <w:t>Available abstract (not full text):</w:t>
      </w:r>
      <w:r>
        <w:t xml:space="preserve"> The Mediterranean basin is particularly prone to climate change and vulnerable to its impacts. One of the most relevant consequences of climate change, especially for the southern Mediterranean regions, is certainly water scarcity as result of a reduction of surface runoff and groundwater levels. Despite the progress achieved in recent years in the field of climate change and its impact on water resources, results and outcomes should be treated with due caution since any future climate projection and derived implications are inevitably affected by a certain degree of uncertainty arising from each different stage of the entire modeling chain. This work offers a comprehensive overview of recent works on climate change in the Mediterranean basin, mainly focusing on the last ten years of research. Past and future trends on different components of the hydrological balance are discussed in a companion paper (Noto et al. 2022), while the present paper focuses on the problem of water availability and water scarcity. In addition, the work aims to discuss the most relevant sources of uncertainty related to climate change with the aim to gain awareness of climate change impact studies interpretation and reliability.</w:t>
      </w:r>
    </w:p>
    <w:p>
      <w:pPr/>
      <w:r>
        <w:rPr>
          <w:b/>
        </w:rPr>
        <w:t>POSSIBLE 2022:</w:t>
      </w:r>
      <w:r>
        <w:t xml:space="preserve"> Demographic Structure of Cypripedium calceolus L. Populations in the European Part of Russia under Climate Change — https://doi.org/10.1134/s1995425522040047</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The paper presents recent data on the demographic structure and population size of C. calceolus in European Russia. The assessment of the species distribution and population size is based on the global classification of terrestrial ecoregions. The long-term dynamics of the number and age structure (150 populations) of C. calceolus were revealed for the 20-year research period, 1997–2020. It has been reliably determined that the number of reproductive plants is positively related to temperature indicators, while the number of pre-reproductive individuals depends on humidity factors and negatively on temperature. Three types of basic age spectra were identified: (1) centered 3:10:47:40 (juvenile (j): immature (im): virginal (v): reproductive (g)), the most common in the European part of the Russian Federation (RF); (2) bimodal 15:26:33:26 (j:im:v:g), mainly found in the western regions; (3) right-hand 0:3:13:82:2 (j:im:v:g:s), which steadily appears in the continental climate of eastern regions of European Russia. The current baseline spectra of C. calceolus populations differ from the baseline spectrum of the species given in the 20th century. The base spectra significantly depends on ecological-phytocoenotic plant community structure and abiotic features of habitats, it shown using the ecological indicator values.</w:t>
      </w:r>
    </w:p>
    <w:p>
      <w:pPr>
        <w:pStyle w:val="Heading2"/>
      </w:pPr>
      <w:r>
        <w:t>554.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suitability, species, important, importance, addresses;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Understanding and addressing shortfalls in European wild bee data — https://doi.org/10.1016/j.biocon.2024.110455</w:t>
      </w:r>
    </w:p>
    <w:p>
      <w:pPr/>
      <w:r>
        <w:rPr>
          <w:b/>
        </w:rPr>
        <w:t>Shared claim-specific concepts:</w:t>
      </w:r>
      <w:r>
        <w:t xml:space="preserve"> species, despite, major, important, addresses;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conversely, all, species, importance;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Fertility Control for Wildlife: A European Perspective — https://doi.org/10.3390/ani13030428</w:t>
      </w:r>
    </w:p>
    <w:p>
      <w:pPr/>
      <w:r>
        <w:rPr>
          <w:b/>
        </w:rPr>
        <w:t>Shared claim-specific concepts:</w:t>
      </w:r>
      <w:r>
        <w:t xml:space="preserve"> increasing, environmental, species; EU scope visible. This is a provisional connection, not an outcome finding.</w:t>
      </w:r>
    </w:p>
    <w:p>
      <w:pPr>
        <w:pStyle w:val="SourceNote"/>
      </w:pPr>
      <w:r>
        <w:rPr>
          <w:b/>
        </w:rPr>
        <w:t>Available abstract (not full text):</w:t>
      </w:r>
      <w:r>
        <w:t xml:space="preserve">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pPr/>
      <w:r>
        <w:rPr>
          <w:b/>
        </w:rPr>
        <w:t>POSSIBLE 2023:</w:t>
      </w:r>
      <w:r>
        <w:t xml:space="preserve"> Conservation easements – project selection criteria for quarries in Europe — https://doi.org/10.3389/fcosc.2023.1304712</w:t>
      </w:r>
    </w:p>
    <w:p>
      <w:pPr/>
      <w:r>
        <w:rPr>
          <w:b/>
        </w:rPr>
        <w:t>Shared claim-specific concepts:</w:t>
      </w:r>
      <w:r>
        <w:t xml:space="preserve"> conversely, environmental, all, species, ecological; EU scope visible. This is a provisional connection, not an outcome finding.</w:t>
      </w:r>
    </w:p>
    <w:p>
      <w:pPr>
        <w:pStyle w:val="SourceNote"/>
      </w:pPr>
      <w:r>
        <w:rPr>
          <w:b/>
        </w:rPr>
        <w:t>Available abstract (not full text):</w:t>
      </w:r>
      <w:r>
        <w:t xml:space="preserve">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baltic, all, central, position;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555.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2024:</w:t>
      </w:r>
      <w:r>
        <w:t xml:space="preserve"> Climate, Energy and Security: The New Social Contract of Europe and Spain — https://doi.org/10.52783/pst.1914</w:t>
      </w:r>
    </w:p>
    <w:p>
      <w:pPr/>
      <w:r>
        <w:rPr>
          <w:b/>
        </w:rPr>
        <w:t>Shared claim-specific concepts:</w:t>
      </w:r>
      <w:r>
        <w:t xml:space="preserve"> article, five, energy, presented; EU scope visible. This is a provisional connection, not an outcome finding.</w:t>
      </w:r>
    </w:p>
    <w:p>
      <w:pPr>
        <w:pStyle w:val="SourceNote"/>
      </w:pPr>
      <w:r>
        <w:rPr>
          <w:b/>
        </w:rPr>
        <w:t>Available abstract (not full text):</w:t>
      </w:r>
      <w:r>
        <w:t xml:space="preserve">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How have the European Union countries approached the Europe 2020 targets? — https://doi.org/10.1080/27684520.2024.2378171</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pPr/>
      <w:r>
        <w:rPr>
          <w:b/>
        </w:rPr>
        <w:t>POSSIBLE 2023:</w:t>
      </w:r>
      <w:r>
        <w:t xml:space="preserve"> Energy Economic Development in Europe — https://doi.org/10.3390/books978-3-0365-7112-6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Transition and the Economy: A Review Article — https://doi.org/10.3390/en16072965</w:t>
      </w:r>
    </w:p>
    <w:p>
      <w:pPr/>
      <w:r>
        <w:rPr>
          <w:b/>
        </w:rPr>
        <w:t>Shared claim-specific concepts:</w:t>
      </w:r>
      <w:r>
        <w:t xml:space="preserve"> article, energy, discussion, direction; EU scope not established. This is a provisional connection, not an outcome finding.</w:t>
      </w:r>
    </w:p>
    <w:p>
      <w:pPr>
        <w:pStyle w:val="SourceNote"/>
      </w:pPr>
      <w:r>
        <w:rPr>
          <w:b/>
        </w:rPr>
        <w:t>Available abstract (not full text):</w:t>
      </w:r>
      <w:r>
        <w:t xml:space="preserve">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pPr/>
      <w:r>
        <w:rPr>
          <w:b/>
        </w:rPr>
        <w:t>POSSIBLE 2023:</w:t>
      </w:r>
      <w:r>
        <w:t xml:space="preserve"> A methodology to characterize energy consumption in small and medium-sized enterprises at national level in European countries — https://doi.org/10.1007/s10098-023-02606-z</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pPr/>
      <w:r>
        <w:rPr>
          <w:b/>
        </w:rPr>
        <w:t>POSSIBLE 2023:</w:t>
      </w:r>
      <w:r>
        <w:t xml:space="preserve"> Exploring pathways to 100% renewable energy in European industry — https://doi.org/10.1016/j.energy.2023.126687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Energy and the Economy in Europe — https://doi.org/10.1007/978-3-030-86884-0_36</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Europe’s energy landscape is characterized by a great heterogeneity due to differences in terms of population, economy, energy resources (availability of different energy sources) and differing policies in favor or against specific energy sources. Over the decades, the European energy mix has undergone important transformations. The EU set an energy policy framework based on three pillars (security of supply, competitiveness and sustainability) with the goal to address three different priorities: competitiveness (affordable prices), security (of energy supply) and sustainability (clean energy). These three pillars appear to pursue contradictory goals, especially in the short term, but they are seen as converging in the longer term. This chapter aims to analyze how these different objectives have been key drivers of the European energy policy and economics. To illustrate this, the authors also present five case studies: the United Kingdom, Italy, France, Germany and Poland. Lastly, the chapter presents the “European Green Deal”, whose ultimate goal is to reach carbon-neutrality by 2050. The chapter analyzes how a climate-neutrality goal requires a substantial transformation of the EU economy, which comes with some internal and external frictions.</w:t>
      </w:r>
    </w:p>
    <w:p>
      <w:pPr>
        <w:pStyle w:val="Heading2"/>
      </w:pPr>
      <w:r>
        <w:t>556.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r>
        <w:rPr>
          <w:b/>
        </w:rPr>
        <w:t>POSSIBLE 2023:</w:t>
      </w:r>
      <w:r>
        <w:t xml:space="preserve"> An empirical study on the effect of outdoor illumination and exercise intervention on Children’s vision — https://doi.org/10.3389/fpubh.2023.1270826</w:t>
      </w:r>
    </w:p>
    <w:p>
      <w:pPr/>
      <w:r>
        <w:rPr>
          <w:b/>
        </w:rPr>
        <w:t>Shared claim-specific concepts:</w:t>
      </w:r>
      <w:r>
        <w:t xml:space="preserve"> exercise, different, reducing; EU scope not established. This is a provisional connection, not an outcome finding.</w:t>
      </w:r>
    </w:p>
    <w:p>
      <w:pPr>
        <w:pStyle w:val="SourceNote"/>
      </w:pPr>
      <w:r>
        <w:rPr>
          <w:b/>
        </w:rPr>
        <w:t>Available abstract (not full text):</w:t>
      </w:r>
      <w:r>
        <w:t xml:space="preserve">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pPr/>
      <w:r>
        <w:rPr>
          <w:b/>
        </w:rPr>
        <w:t>POSSIBLE 2022:</w:t>
      </w:r>
      <w:r>
        <w:t xml:space="preserve"> A Review on Computer Vision Technology for Physical Exercise Monitoring — https://doi.org/10.3390/a15120444</w:t>
      </w:r>
    </w:p>
    <w:p>
      <w:pPr/>
      <w:r>
        <w:rPr>
          <w:b/>
        </w:rPr>
        <w:t>Shared claim-specific concepts:</w:t>
      </w:r>
      <w:r>
        <w:t xml:space="preserve"> exercise, technology, over, active; EU scope not established. This is a provisional connection, not an outcome finding.</w:t>
      </w:r>
    </w:p>
    <w:p>
      <w:pPr>
        <w:pStyle w:val="SourceNote"/>
      </w:pPr>
      <w:r>
        <w:rPr>
          <w:b/>
        </w:rPr>
        <w:t>Available abstract (not full text):</w:t>
      </w:r>
      <w:r>
        <w:t xml:space="preserve">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pPr/>
      <w:r>
        <w:rPr>
          <w:b/>
        </w:rPr>
        <w:t>POSSIBLE 2022:</w:t>
      </w:r>
      <w:r>
        <w:t xml:space="preserve"> LONG-TERM VISION FOR RURAL DEVELOPMENT AND CRITICAL ENABLERS FOR ACHIEVING IT - CASE OF MAZOWIECKIE REGION (POLAND) — https://doi.org/10.15544/rd.2021.060</w:t>
      </w:r>
    </w:p>
    <w:p>
      <w:pPr/>
      <w:r>
        <w:rPr>
          <w:b/>
        </w:rPr>
        <w:t>Shared claim-specific concepts:</w:t>
      </w:r>
      <w:r>
        <w:t xml:space="preserve"> visioning, exercise, local, green; EU scope visible. This is a provisional connection, not an outcome finding.</w:t>
      </w:r>
    </w:p>
    <w:p>
      <w:pPr>
        <w:pStyle w:val="SourceNote"/>
      </w:pPr>
      <w:r>
        <w:rPr>
          <w:b/>
        </w:rPr>
        <w:t>Available abstract (not full text):</w:t>
      </w:r>
      <w:r>
        <w:t xml:space="preserve">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pPr/>
      <w:r>
        <w:rPr>
          <w:b/>
        </w:rPr>
        <w:t>POSSIBLE 2022:</w:t>
      </w:r>
      <w:r>
        <w:t xml:space="preserve"> A Manifesto for exercise science – a vision for improving the health of the public and planet — https://doi.org/10.1080/02640414.2022.2049083</w:t>
      </w:r>
    </w:p>
    <w:p>
      <w:pPr/>
      <w:r>
        <w:rPr>
          <w:b/>
        </w:rPr>
        <w:t>Shared claim-specific concepts:</w:t>
      </w:r>
      <w:r>
        <w:t xml:space="preserve"> exercise, three, need; EU scope not established. This is a provisional connection, not an outcome finding.</w:t>
      </w:r>
    </w:p>
    <w:p>
      <w:pPr>
        <w:pStyle w:val="SourceNote"/>
      </w:pPr>
      <w:r>
        <w:rPr>
          <w:b/>
        </w:rPr>
        <w:t>Available abstract (not full text):</w:t>
      </w:r>
      <w:r>
        <w:t xml:space="preserve"> In this manifesto, we make the case that Exercise Science can and must do more to improve the health of the public and the planet. Post pandemic, our vision for Exercise Science is one of a maturing scientific discipline reaching outwards from a base of strong empirical evidence to have a profound and sustained positive global impact on health. In each of the three main areas of the discipline - research, teaching, and professional practice - a new and distinctive approach is needed. We propose 12 points of action, in no particular order, for a). quality, rigour, and professional standing, and b). reach, relevance, and public engagement and make numerous suggestions for action and change. We encourage the teachers, researchers and practitioners of Exercise Science to consider and act on these recommendations. We hope that this manifesto can help create a shared sense of purpose amongst the global Exercise Science community and further the principles of equality, diversity and inclusion. To act on these principles, we need to cultivate a discipline that encourages more women, people who experience racism and other forms of discrimination, and people with a disability to become involved in the discipline.</w:t>
      </w:r>
    </w:p>
    <w:p>
      <w:pPr>
        <w:pStyle w:val="Heading2"/>
      </w:pPr>
      <w:r>
        <w:t>557.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2024:</w:t>
      </w:r>
      <w:r>
        <w:t xml:space="preserve"> Sex Disparities in Ischemic Heart Disease Mortality in Europe — https://doi.org/10.1016/j.jacadv.2024.101252</w:t>
      </w:r>
    </w:p>
    <w:p>
      <w:pPr/>
      <w:r>
        <w:rPr>
          <w:b/>
        </w:rPr>
        <w:t>Shared claim-specific concepts:</w:t>
      </w:r>
      <w:r>
        <w:t xml:space="preserve"> average, mortality, countries, compared, significant; EU scope visible. This is a provisional connection, not an outcome finding.</w:t>
      </w:r>
    </w:p>
    <w:p>
      <w:pPr>
        <w:pStyle w:val="SourceNote"/>
      </w:pPr>
      <w:r>
        <w:rPr>
          <w:b/>
        </w:rPr>
        <w:t>Available abstract (not full text):</w:t>
      </w:r>
      <w:r>
        <w:t xml:space="preserve">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pPr/>
      <w:r>
        <w:rPr>
          <w:b/>
        </w:rPr>
        <w:t>POSSIBLE 2024:</w:t>
      </w:r>
      <w:r>
        <w:t xml:space="preserve"> Exploring the paradoxical nature of cold temperature mortality in Europe — https://doi.org/10.1038/s41598-024-53675-z</w:t>
      </w:r>
    </w:p>
    <w:p>
      <w:pPr/>
      <w:r>
        <w:rPr>
          <w:b/>
        </w:rPr>
        <w:t>Shared claim-specific concepts:</w:t>
      </w:r>
      <w:r>
        <w:t xml:space="preserve"> average, mortality, high, countries; EU scope visible. This is a provisional connection, not an outcome finding.</w:t>
      </w:r>
    </w:p>
    <w:p>
      <w:pPr>
        <w:pStyle w:val="SourceNote"/>
      </w:pPr>
      <w:r>
        <w:rPr>
          <w:b/>
        </w:rPr>
        <w:t>Available abstract (not full text):</w:t>
      </w:r>
      <w:r>
        <w:t xml:space="preserve">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average, mortality, high, all, three, countries;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Mortality trends in idiopathic pulmonary fibrosis in Europe between 2013 and 2018 — https://doi.org/10.1183/13993003.02080-2023</w:t>
      </w:r>
    </w:p>
    <w:p>
      <w:pPr/>
      <w:r>
        <w:rPr>
          <w:b/>
        </w:rPr>
        <w:t>Shared claim-specific concepts:</w:t>
      </w:r>
      <w:r>
        <w:t xml:space="preserve"> average, mortality, countries, suggest; EU scope visible. This is a provisional connection, not an outcome finding.</w:t>
      </w:r>
    </w:p>
    <w:p>
      <w:pPr>
        <w:pStyle w:val="SourceNote"/>
      </w:pPr>
      <w:r>
        <w:rPr>
          <w:b/>
        </w:rPr>
        <w:t>Available abstract (not full text):</w:t>
      </w:r>
      <w:r>
        <w:t xml:space="preserve">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pPr/>
      <w:r>
        <w:rPr>
          <w:b/>
        </w:rPr>
        <w:t>POSSIBLE 2024:</w:t>
      </w:r>
      <w:r>
        <w:t xml:space="preserve"> Care interruptions and mortality among adults in Europe and North America — https://doi.org/10.1097/qad.0000000000003924</w:t>
      </w:r>
    </w:p>
    <w:p>
      <w:pPr/>
      <w:r>
        <w:rPr>
          <w:b/>
        </w:rPr>
        <w:t>Shared claim-specific concepts:</w:t>
      </w:r>
      <w:r>
        <w:t xml:space="preserve"> mortality, compared; EU scope visible. This is a provisional connection, not an outcome finding.</w:t>
      </w:r>
    </w:p>
    <w:p>
      <w:pPr>
        <w:pStyle w:val="SourceNote"/>
      </w:pPr>
      <w:r>
        <w:rPr>
          <w:b/>
        </w:rPr>
        <w:t>Available abstract (not full text):</w:t>
      </w:r>
      <w:r>
        <w:t xml:space="preserve"> OBJECTIVE: Interruptions in care of people with HIV (PWH) on antiretroviral therapy (ART) are associated with adverse outcomes, but most studies have relied on composite outcomes. We investigated whether mortality risk following care interruptions differed from mortality risk after first starting ART. DESIGN: Collaboration of 18 European and North American HIV observational cohort studies of adults with HIV starting ART between 2004 and 2019. METHODS: Care interruptions were defined as gaps in contact of ≥365 days, with a subsequent return to care (distinct from loss to follow-up), or ≥270 days and ≥545 days in sensitivity analyses. Follow-up time was allocated to no/preinterruption or postinterruption follow-up groups. We used Cox regression to compare hazards of mortality between care interruption groups, adjusting for time-updated demographic and clinical characteristics and biomarkers upon ART initiation or re-initiation of care. RESULTS: Of 89 197 PWH, 83.4% were male and median age at ART start was 39 years [interquartile range (IQR): 31-48)]. 8654 PWH (9.7%) had ≥1 care interruption; 10 913 episodes of follow-up following a care interruption were included. There were 6104 deaths in 536 334 person-years, a crude mortality rate of 11.4 [95% confidence interval (CI): 11.1-11.7] per 1000 person-years. The adjusted mortality hazard ratio (HR) for the postinterruption group wa</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mortality, almost, all, three,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Solar Alpha Particle Radiation Increases Human Mortality – Examples from the Neoplasms Mortality in the Europe and Mediterranean — https://doi.org/10.34257/gjsfravol24is4pg21</w:t>
      </w:r>
    </w:p>
    <w:p>
      <w:pPr/>
      <w:r>
        <w:rPr>
          <w:b/>
        </w:rPr>
        <w:t>Shared claim-specific concepts:</w:t>
      </w:r>
      <w:r>
        <w:t xml:space="preserve"> mortality, high, increase; EU scope visible. This is a provisional connection, not an outcome finding.</w:t>
      </w:r>
    </w:p>
    <w:p>
      <w:pPr>
        <w:pStyle w:val="SourceNote"/>
      </w:pPr>
      <w:r>
        <w:rPr>
          <w:b/>
        </w:rPr>
        <w:t>Available abstract (not full text):</w:t>
      </w:r>
      <w:r>
        <w:t xml:space="preserve"> A dangerous phenomenon for humanity is described. In the joint analysis of data from satellites in orbit around the Earth and from the health statistics source EUROSTAT, it became clear that, by some mechanism, flows of positively charged particles with high energy entering the Earth's orbit increase mortality on the planet's surface. The increase in mortality is in a band of maximum risk in the Northern Hemisphere, parallel to the Equator and bounded by the parallels of 30° and 50° north latitude. Examples are given for the European Union mortality from neoplasms, confirming the described phenomenon. A hypothetical mechanism based on observational evidence has been proposed, according to which this dangerous phenomenon is due to solar alpha particles of high energy sufficient to overcome the atmosphere's resistance and reach the Earth's surface in a limited area of maximum death impact.</w:t>
      </w:r>
    </w:p>
    <w:p>
      <w:pPr>
        <w:pStyle w:val="Heading2"/>
      </w:pPr>
      <w:r>
        <w:t>558.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aim, promising, current;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identify, promising, pathways;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Review on the contribution of farming practices and technologies towards climate-smart agricultural outcomes in a European context — https://doi.org/10.1016/j.atech.2024.100413</w:t>
      </w:r>
    </w:p>
    <w:p>
      <w:pPr/>
      <w:r>
        <w:rPr>
          <w:b/>
        </w:rPr>
        <w:t>Shared claim-specific concepts:</w:t>
      </w:r>
      <w:r>
        <w:t xml:space="preserve"> aim, promising, well; EU scope visible. This is a provisional connection, not an outcome finding.</w:t>
      </w:r>
    </w:p>
    <w:p>
      <w:pPr>
        <w:pStyle w:val="SourceNote"/>
      </w:pPr>
      <w:r>
        <w:rPr>
          <w:b/>
        </w:rPr>
        <w:t>Available abstract (not full text):</w:t>
      </w:r>
      <w:r>
        <w:t xml:space="preserve"> The aim of this review was to provide an overview of existing farming practices and technologies in Europe by assessing their contribution to climate-smart agricultural (CSA) outcomes. Following the PRISMA protocol, 110 final selected studies were scrutinized. Altogether 74 different practices and technologies were identified. Using an inductive approach, the identified practices and technologies were categorized, and their potential contribution towards contextualized CSA outcomes—productivity, resilience, GHG mitigation, biodiversity improvement, animal welfare support, water and energy use efficiency—was assessed. Among CSA farming practices, this review highlighted legume-based cover crops, crop rotation, intercropping, and crop diversification as having promising potential to achieve CSA outcomes. Among CSA technologies, precision fertilization, crop protection, and irrigation showed promising potential. Moreover, pasture grazing, legume-based feed additives, improved forage production and holistic husbandry management with precision technologies were identified as promising contributors to CSA outcomes. The review emphasizes that the utilization of smart farming technologies and practices in crop and livestock production systems could positively contribute to achieving one or more outcomes. Overall, the GHG mitigation and farm productivity improvement outcomes were relati</w:t>
      </w:r>
    </w:p>
    <w:p>
      <w:pPr/>
      <w:r>
        <w:rPr>
          <w:b/>
        </w:rPr>
        <w:t>POSSIBLE 2023:</w:t>
      </w:r>
      <w:r>
        <w:t xml:space="preserve"> Use of existing gas infrastructure in European hydrogen economy — https://doi.org/10.1016/j.ijhydene.2023.04.283</w:t>
      </w:r>
    </w:p>
    <w:p>
      <w:pPr/>
      <w:r>
        <w:rPr>
          <w:b/>
        </w:rPr>
        <w:t>Shared claim-specific concepts:</w:t>
      </w:r>
      <w:r>
        <w:t xml:space="preserve"> aim, identify, promising, finland; EU scope visible. This is a provisional connection, not an outcome finding.</w:t>
      </w:r>
    </w:p>
    <w:p>
      <w:pPr>
        <w:pStyle w:val="SourceNote"/>
      </w:pPr>
      <w:r>
        <w:rPr>
          <w:b/>
        </w:rPr>
        <w:t>Available abstract (not full text):</w:t>
      </w:r>
      <w:r>
        <w:t xml:space="preserve"> The rapidly increasing production volume of clean hydrogen creates challenges for transport infrastructure. This study improves understanding of hydrogen transport options in Europe and provides more detailed analysis on the prospects for hydrogen transport in Finland. Previous studies and ongoing pipeline projects were reviewed to identify potential and barriers to hydrogen transport. A fatigue life assessment tool was built because material challenges have been one of the main concerns of hydrogen transportation. Many European countries aim at utilizing existing gas infrastructure for hydrogen. Conducted studies and pilot facilities have provided promising results. Hydrogen reduces the fatigue life of the pipeline, but existing pipelines can be used for hydrogen if pressure variation is maintained at a reasonable level and the maximum operation pressure is limited. Moreover, the use of existing pipelines can reduce hydrogen transport costs, but the suitability of every pipeline for hydrogen must be analyzed, and several issues such as leakage, leakage detection, effects of hydrogen on pipeline assets and end users, corrosion, maintenance, and metering of gas flow must be considered. The development of hydrogen transport will vary within countries depending on the structure of the existing gas infrastructure, and on the future hydrogen use profile.</w:t>
      </w:r>
    </w:p>
    <w:p>
      <w:pPr/>
      <w:r>
        <w:rPr>
          <w:b/>
        </w:rPr>
        <w:t>POSSIBLE 2023:</w:t>
      </w:r>
      <w:r>
        <w:t xml:space="preserve"> Identifying Promising Domains of Decarbonization Technologies: An Improved Methodology — https://doi.org/10.23919/splitech58164.2023.10193705</w:t>
      </w:r>
    </w:p>
    <w:p>
      <w:pPr/>
      <w:r>
        <w:rPr>
          <w:b/>
        </w:rPr>
        <w:t>Shared claim-specific concepts:</w:t>
      </w:r>
      <w:r>
        <w:t xml:space="preserve"> identify, promising, applied; EU scope not established. This is a provisional connection, not an outcome finding.</w:t>
      </w:r>
    </w:p>
    <w:p>
      <w:pPr>
        <w:pStyle w:val="SourceNote"/>
      </w:pPr>
      <w:r>
        <w:rPr>
          <w:b/>
        </w:rPr>
        <w:t>Available abstract (not full text):</w:t>
      </w:r>
      <w:r>
        <w:t xml:space="preserve"> Humanity has sought ways to decarbonize the economies and mitigate the effects of global warming. The scientific community has been producing intensive research on decarbonizing technologies and strategies. This article introduces an improved methodology, based on two available text-mining software, to identify the most relevant domains of decarbonizing technologies presented in scientific papers, research projects and patents. The improvements include the definition of an approach to obtain a final rank of the technologies’ domains and an enhanced procedure to create the semantic dictionary, a critical component for the bibliometric analysis. Moreover, a more robust and comprehensive search string was defined, reconciling the particularities of the used text-mining software. The methodology was applied to the 2011 to 2021 period. The results evidence the twenty better-ranked domains, where energy efficiency/management, hydrogen, generic renewable energy, carbon capture, energy storage and biofuel occupy the six first positions. Hydrogen, carbon capture and energy storage are the domains with a more accelerated increase in the scientific community’s relative interest. In contrast, energy efficiency and management, biofuel, and low-carbon transportation have lost relative interest. Moreover, results show that electrification, hydrogen, and geothermal energy domains significantly</w:t>
      </w:r>
    </w:p>
    <w:p>
      <w:pPr/>
      <w:r>
        <w:rPr>
          <w:b/>
        </w:rPr>
        <w:t>POSSIBLE 2023:</w:t>
      </w:r>
      <w:r>
        <w:t xml:space="preserve"> 2017-2023: state of the art of gene therapies in rare diseases in Europe: the dynamics of clinical R&amp;D, new approved treatments and expected therapies in the pipelines — https://doi.org/10.20517/rdodj.2023.29</w:t>
      </w:r>
    </w:p>
    <w:p>
      <w:pPr/>
      <w:r>
        <w:rPr>
          <w:b/>
        </w:rPr>
        <w:t>Shared claim-specific concepts:</w:t>
      </w:r>
      <w:r>
        <w:t xml:space="preserve"> aim, promising, required, current; EU scope visible. This is a provisional connection, not an outcome finding.</w:t>
      </w:r>
    </w:p>
    <w:p>
      <w:pPr>
        <w:pStyle w:val="SourceNote"/>
      </w:pPr>
      <w:r>
        <w:rPr>
          <w:b/>
        </w:rPr>
        <w:t>Available abstract (not full text):</w:t>
      </w:r>
      <w:r>
        <w:t xml:space="preserve"> Aim: Gene therapies have been tested over the past three decades, and after a first market authorization in 2017, the field is starting to deliver. The study aims to analyze the current development dynamics of gene therapies for rare diseases using the GENOTRIAL database®, which gathers information on gene therapy clinical trials and studies conducted between 2017 and 2023 in Europe. Methods: The study involved extracting and filtering clinical trial data from the EudraCT database. Trials with the keyword "Gene Therapy" were selected and filtered using the "Rare disease" filter. Manual verification was conducted to ensure that the selected trial only concerned gene therapy treatments authorized in Europe for rare diseases in phases I to III. A total of 300 European country-related clinical investigations representing a total of 93 European-specific clinical studies were included in the GENOTRIAL database. The trials were classified by development phases, temporal status, sponsors and investigating countries, rare diseases with their related therapeutic area, and approval regulatory information of the identified gene therapies. Results: Analysis reveals that rare diseases present a promising area for gene therapy development. On average, eight rare disease gene therapy trials are launched each year in Europe. The main sponsors of European clinical trials of gene therapies for ra</w:t>
      </w:r>
    </w:p>
    <w:p>
      <w:pPr/>
      <w:r>
        <w:rPr>
          <w:b/>
        </w:rPr>
        <w:t>POSSIBLE 2022:</w:t>
      </w:r>
      <w:r>
        <w:t xml:space="preserve"> Saline soils worldwide: Identifying the most promising areas for saline agriculture — https://doi.org/10.1016/j.jaridenv.2022.104775</w:t>
      </w:r>
    </w:p>
    <w:p>
      <w:pPr/>
      <w:r>
        <w:rPr>
          <w:b/>
        </w:rPr>
        <w:t>Shared claim-specific concepts:</w:t>
      </w:r>
      <w:r>
        <w:t xml:space="preserve"> aim, identify, promising, well; EU scope not established. This is a provisional connection, not an outcome finding.</w:t>
      </w:r>
    </w:p>
    <w:p>
      <w:pPr>
        <w:pStyle w:val="SourceNote"/>
      </w:pPr>
      <w:r>
        <w:rPr>
          <w:b/>
        </w:rPr>
        <w:t>Available abstract (not full text):</w:t>
      </w:r>
      <w:r>
        <w:t xml:space="preserve"> Salinization poses a major challenge for modern agriculture with considerable areas being salt-affected worldwide. However, these lands can be cultivated by applying saline agriculture, involving soil, water and salt-tolerant crop management methods. The agricultural use of saline soils helps in addressing food security in times of population growth and climate change. Therefore, there is a need to map saline soils and examine conditions under which saline agriculture can be implemented. The aim of this study is to identify locations and surface area of saline soils. The potential areas for saline agricultural production are mapped using the QGIS software with a focus on the most promising lands for saline agriculture. To identify these most promising areas, we apply criteria of soil salinity, soil fertility, soil pH, water availability, presence of irrigation equipment, as well as depleted water basins. Our results show that the total area of salt-affected soils equals 17 million km2, but the largest potential for saline agriculture lays in saline soils above 4 dS/m ECe in non-depleted water basins totalling to 2 million km2. We conclude that further socio-economic analysis is needed to fully determine countries which should be prioritized in exploring the future potential for sustainable food production.</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identify, promising, sector, well, current;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559.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2024:</w:t>
      </w:r>
      <w:r>
        <w:t xml:space="preserve"> On the diversity of spatial planning instruments across Europe — https://doi.org/10.4337/9781839106255.00016</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pPr/>
      <w:r>
        <w:rPr>
          <w:b/>
        </w:rPr>
        <w:t>POSSIBLE 2023:</w:t>
      </w:r>
      <w:r>
        <w:t xml:space="preserve"> EUROPEAN EXPERIENCE OF STRATEGIC PLANNING FOR THE DEVELOPMENT OF TERRITORIAL COMMUNITIES — https://doi.org/10.37332/2309-1533.2023.1.8</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pPr/>
      <w:r>
        <w:rPr>
          <w:b/>
        </w:rPr>
        <w:t>POSSIBLE 2023:</w:t>
      </w:r>
      <w:r>
        <w:t xml:space="preserve"> FDI and Economic Growth – Perspective of Southeast European Countries — https://doi.org/10.2478/zireb-2023-0006</w:t>
      </w:r>
    </w:p>
    <w:p>
      <w:pPr/>
      <w:r>
        <w:rPr>
          <w:b/>
        </w:rPr>
        <w:t>Shared claim-specific concepts:</w:t>
      </w:r>
      <w:r>
        <w:t xml:space="preserve"> countries, become, not, also; EU scope visible. This is a provisional connection, not an outcome finding.</w:t>
      </w:r>
    </w:p>
    <w:p>
      <w:pPr>
        <w:pStyle w:val="SourceNote"/>
      </w:pPr>
      <w:r>
        <w:rPr>
          <w:b/>
        </w:rPr>
        <w:t>Available abstract (not full text):</w:t>
      </w:r>
      <w:r>
        <w:t xml:space="preserve">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countries, production, energy;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Investigation of Plastic Waste with Environmental Kuznets Hypothesis: An Empirical Study on European Union Countries — https://doi.org/10.30794/pausbed.1214090</w:t>
      </w:r>
    </w:p>
    <w:p>
      <w:pPr/>
      <w:r>
        <w:rPr>
          <w:b/>
        </w:rPr>
        <w:t>Shared claim-specific concepts:</w:t>
      </w:r>
      <w:r>
        <w:t xml:space="preserve"> countries, become, also; EU scope visible. This is a provisional connection, not an outcome finding.</w:t>
      </w:r>
    </w:p>
    <w:p>
      <w:pPr>
        <w:pStyle w:val="SourceNote"/>
      </w:pPr>
      <w:r>
        <w:rPr>
          <w:b/>
        </w:rPr>
        <w:t>Available abstract (not full text):</w:t>
      </w:r>
      <w:r>
        <w:t xml:space="preserve"> Plastics have become an indispensable part of modern life. Although plastics, which become waste after use, are recycled for the economy, they have become a critical problem because many cause environmental pollution and threaten life. It is known that the use of plastics has increased rapidly in parallel with the increase in income that has emerged from the increasing industrialization since the 1950s. According to the Environmental Kuznets Curve (EKC) hypothesis, there is an inverted U-shaped relationship between environmental pollution and economic growth. Considering the critical importance of the plastic waste problem, plastic waste should also be evaluated with the EKC approach. For this purpose, panel data analysis was applied to the plastic waste data of the European Union countries. Research findings show that the EKC validates plastic waste in EU countries from 2004 to 2019. This shows that environmental policies should be planned around the Plastic Waste EKC.</w:t>
      </w:r>
    </w:p>
    <w:p>
      <w:pPr/>
      <w:r>
        <w:rPr>
          <w:b/>
        </w:rPr>
        <w:t>POSSIBLE 2022:</w:t>
      </w:r>
      <w:r>
        <w:t xml:space="preserve"> Russia’s War in Ukraine: Consequences for European Countries’ Businesses and Economies — https://doi.org/10.3390/jrfm15070295</w:t>
      </w:r>
    </w:p>
    <w:p>
      <w:pPr/>
      <w:r>
        <w:rPr>
          <w:b/>
        </w:rPr>
        <w:t>Shared claim-specific concepts:</w:t>
      </w:r>
      <w:r>
        <w:t xml:space="preserve"> countries, plan, become, not, only, but; EU scope visible. This is a provisional connection, not an outcome finding.</w:t>
      </w:r>
    </w:p>
    <w:p>
      <w:pPr>
        <w:pStyle w:val="SourceNote"/>
      </w:pPr>
      <w:r>
        <w:rPr>
          <w:b/>
        </w:rPr>
        <w:t>Available abstract (not full text):</w:t>
      </w:r>
      <w:r>
        <w:t xml:space="preserve"> Companies and countries have needed to adapt their activities to the consequences of the Russian war in Ukraine. The analysis in this article shows that both the Russian war in Ukraine and the subsequent trade restrictions have become a powerful trigger, significantly increasing the level of inflation and exacerbating the existing issues of economies. As a result, the confrontation between the West and Russia has greatly escalated, which will have a long-term, large-scale negative impact on most European companies and economies. There could also be a lasting restructuring of world trade. The article notes that not only the end date of the war in Ukraine may be important for business and economies, but also which of the trade and financial restrictions can be lifted from Russia, and when. The article also makes recommendations that may help company leaders plan, in a timelier and more accurate fashion, the changes necessary to maintain company sustainability.</w:t>
      </w:r>
    </w:p>
    <w:p>
      <w:pPr/>
      <w:r>
        <w:rPr>
          <w:b/>
        </w:rPr>
        <w:t>POSSIBLE 2022:</w:t>
      </w:r>
      <w:r>
        <w:t xml:space="preserve"> Perspectives for the Use of Hydrogen Energy in European Countries — https://doi.org/10.46488/nept.2022.v21i03.053</w:t>
      </w:r>
    </w:p>
    <w:p>
      <w:pPr/>
      <w:r>
        <w:rPr>
          <w:b/>
        </w:rPr>
        <w:t>Shared claim-specific concepts:</w:t>
      </w:r>
      <w:r>
        <w:t xml:space="preserve"> countries, become, not, only, field, hydrogen; EU scope visible. This is a provisional connection, not an outcome finding.</w:t>
      </w:r>
    </w:p>
    <w:p>
      <w:pPr>
        <w:pStyle w:val="SourceNote"/>
      </w:pPr>
      <w:r>
        <w:rPr>
          <w:b/>
        </w:rPr>
        <w:t>Available abstract (not full text):</w:t>
      </w:r>
      <w:r>
        <w:t xml:space="preserve"> The most actual environmental problems in the XXI century are the following: global warming due to greenhouse gas emissions, energy production at coal, oil and power plants, air pollution, water pollution and waste recycling. Other environmental problems can be added to this short list, but the authors solve a specific task of promoting the idea of a promising “green” energy that will help humanity in conservation and development. European Union (EU) countries are planning to solve the main environmental challenges for the transition to low-carbon electricity by 2050. In many countries in the world every year there are more and more supporters of reducing emissions of carbon dioxide CO2, nitrogen oxides NO and NO2 and other greenhouse gases into the atmosphere. In recent years, EU has been consistently pursuing its own policy in the field of environmental protection, carrying out large-scale environmental measures. In Germany, United Kingdom (UK) and other European countries, a number of environmental initiatives are already gaining the status of state policy, which is being formalized in laws and regulations. Russian Federation acts on the world market as a leading country that produces and supplies significant energy resources not only to Europe, but also to many countries in the Asia-Pacific region. It is clear that the competitive stability of Russian energy companies signi</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not, but;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560.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2024:</w:t>
      </w:r>
      <w:r>
        <w:t xml:space="preserve"> Using Numerical Weather Prediction Models for Climate Modeling — https://doi.org/10.1134/s0001433824700610</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pPr/>
      <w:r>
        <w:rPr>
          <w:b/>
        </w:rPr>
        <w:t>POSSIBLE 2024:</w:t>
      </w:r>
      <w:r>
        <w:t xml:space="preserve"> The fire weather in Europe: large-scale trends towards higher danger — https://doi.org/10.1088/1748-9326/ad5b09</w:t>
      </w:r>
    </w:p>
    <w:p>
      <w:pPr/>
      <w:r>
        <w:rPr>
          <w:b/>
        </w:rPr>
        <w:t>Shared claim-specific concepts:</w:t>
      </w:r>
      <w:r>
        <w:t xml:space="preserve"> weather, regional, climate, warming; EU scope visible. This is a provisional connection, not an outcome finding.</w:t>
      </w:r>
    </w:p>
    <w:p>
      <w:pPr>
        <w:pStyle w:val="SourceNote"/>
      </w:pPr>
      <w:r>
        <w:rPr>
          <w:b/>
        </w:rPr>
        <w:t>Available abstract (not full text):</w:t>
      </w:r>
      <w:r>
        <w:t xml:space="preserve">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pPr/>
      <w:r>
        <w:rPr>
          <w:b/>
        </w:rPr>
        <w:t>POSSIBLE 2023:</w:t>
      </w:r>
      <w:r>
        <w:t xml:space="preserve"> Evaluating neural network models in site-specific solar PV forecasting using numerical weather prediction data and weather observations — https://doi.org/10.1016/j.renene.2023.02.130</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pPr/>
      <w:r>
        <w:rPr>
          <w:b/>
        </w:rPr>
        <w:t>POSSIBLE 2023:</w:t>
      </w:r>
      <w:r>
        <w:t xml:space="preserve"> EURO1k: A high-resolution European weather model developed by Meteomatics — https://doi.org/10.5194/egusphere-egu23-16670</w:t>
      </w:r>
    </w:p>
    <w:p>
      <w:pPr/>
      <w:r>
        <w:rPr>
          <w:b/>
        </w:rPr>
        <w:t>Shared claim-specific concepts:</w:t>
      </w:r>
      <w:r>
        <w:t xml:space="preserve"> uses, weather, local,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the weather accurately due to limitations in spatial resolution. Global models with broad resolution are unable to represent small-scale weather features, such as convective thunderstorms or local wind patterns, while regional high resolution models are highly dependent on boundary conditions and typically provide forecasts for a small domain. To fill this gap, Meteomatics has developed the EURO1k model, the first pan-European weather model with a 1km2 resolution. The EURO1k model consists of approximately 20 million grid points and is run 24 times per day, with a forecast horizon of 24 hours. It is based on the WRF (Weather Research and Forecasting) model and uses global ECMWF-IFS model data for boundary conditions. In addition to standard data sources such as weather stations, radar and satellite data, and radiosondes, the EURO1k model also ingests data from a network of Meteodrones, small unmanned aircraft systems (UAS) developed by Meteomatics which collect vertical atmospheric profiles up to 6000m in altitude. The high resolution of the EURO1k model allows it to accurately represent small-scale weather patterns, resulting in highly accurate and precise forec</w:t>
      </w:r>
    </w:p>
    <w:p>
      <w:pPr/>
      <w:r>
        <w:rPr>
          <w:b/>
        </w:rPr>
        <w:t>POSSIBLE 2023:</w:t>
      </w:r>
      <w:r>
        <w:t xml:space="preserve"> EURO1k: A high-resolution European weather model developed by Meteomatics — https://doi.org/10.5194/ems2023-486</w:t>
      </w:r>
    </w:p>
    <w:p>
      <w:pPr/>
      <w:r>
        <w:rPr>
          <w:b/>
        </w:rPr>
        <w:t>Shared claim-specific concepts:</w:t>
      </w:r>
      <w:r>
        <w:t xml:space="preserve"> uses, weather, regional, current; EU scope visible. This is a provisional connection, not an outcome finding.</w:t>
      </w:r>
    </w:p>
    <w:p>
      <w:pPr>
        <w:pStyle w:val="SourceNote"/>
      </w:pPr>
      <w:r>
        <w:rPr>
          <w:b/>
        </w:rPr>
        <w:t>Available abstract (not full text):</w:t>
      </w:r>
      <w:r>
        <w:t xml:space="preserve"> Accurate and precise weather forecasting is essential for a wide range of applications and industries, from agriculture to transportation to renewable energy. However, current weather models often struggle to represent atmospheric processes accurately due to limitations in spatial resolution. To fill this gap, Meteomatics has developed the EURO1k model, the first pan-European weather model with a spatial resolution of 1 km. The EURO1k model grid covers 4250 x 4580 km and is run in a rapid-update setup with 24 initializations per day, each run with a lead time of 24 hours. It is based on the Weather Research and Forecasting (WRF) model and uses global ECMWF-IFS model data for boundary conditions. In addition to standard data sources such as weather stations, radar and satellite data, and radiosondes, the EURO1k model also assimilates data from a network of Meteodrones, unmanned aircraft systems (UAS) developed by Meteomatics which collect vertical atmospheric profiles up to 6000m in altitude. The high spatial and temporal resolution of the EURO1k model allows to accurately represent small-scale weather patterns, resulting in highly accurate and precise forecasts. Indeed, statistical analyses of EURO1k model output against observations from 5000 weather stations in Europe demonstrate increased accuracy compared to other global and regional models. This has important implications </w:t>
      </w:r>
    </w:p>
    <w:p>
      <w:pPr/>
      <w:r>
        <w:rPr>
          <w:b/>
        </w:rPr>
        <w:t>POSSIBLE 2023:</w:t>
      </w:r>
      <w:r>
        <w:t xml:space="preserve"> Gaussian copula modeling of extreme cold and weak-wind events over Europe conditioned on winter weather regimes — https://doi.org/10.1088/1748-9326/acb6aa</w:t>
      </w:r>
    </w:p>
    <w:p>
      <w:pPr/>
      <w:r>
        <w:rPr>
          <w:b/>
        </w:rPr>
        <w:t>Shared claim-specific concepts:</w:t>
      </w:r>
      <w:r>
        <w:t xml:space="preserve"> weather, climate; EU scope visible. This is a provisional connection, not an outcome finding.</w:t>
      </w:r>
    </w:p>
    <w:p>
      <w:pPr>
        <w:pStyle w:val="SourceNote"/>
      </w:pPr>
      <w:r>
        <w:rPr>
          <w:b/>
        </w:rPr>
        <w:t>Available abstract (not full text):</w:t>
      </w:r>
      <w:r>
        <w:t xml:space="preserve"> Abstract A transition to renewable energy is needed to mitigate climate change. In Europe, this transition has been led by wind energy, which is one of the fastest growing energy sources. However, energy demand and production are sensitive to meteorological conditions and atmospheric variability at multiple time scales. To accomplish the required balance between these two variables, critical conditions of high demand and low wind energy supply must be considered in the design of energy systems. We describe a methodology for modeling joint distributions of meteorological variables without making any assumptions about their marginal distributions. In this context, Gaussian copulas are used to model the correlated nature of cold and weak-wind events. The marginal distributions are modeled with logistic regressions defining two sets of binary variables as predictors: four large-scale weather regimes (WRs) and the months of the extended winter season. By applying this framework to ERA5 data, we can compute the joint probabilities of co-occurrence of cold and weak-wind events on a high-resolution grid ( 0.2 ∘ ) .Our results show that (a) WRs must be considered when modeling cold and weak-wind events, (b) it is essential to account for the correlations between these events when modeling their joint distribution, (c) we need to analyze each month separately, and (d) the highest estimat</w:t>
      </w:r>
    </w:p>
    <w:p>
      <w:pPr/>
      <w:r>
        <w:rPr>
          <w:b/>
        </w:rPr>
        <w:t>POSSIBLE 2023:</w:t>
      </w:r>
      <w:r>
        <w:t xml:space="preserve"> A ML approach for Post-processing of NWP model on the European Weather Cloud — https://doi.org/10.5194/ems2023-489</w:t>
      </w:r>
    </w:p>
    <w:p>
      <w:pPr/>
      <w:r>
        <w:rPr>
          <w:b/>
        </w:rPr>
        <w:t>Shared claim-specific concepts:</w:t>
      </w:r>
      <w:r>
        <w:t xml:space="preserve"> weather, different; EU scope visible. This is a provisional connection, not an outcome finding.</w:t>
      </w:r>
    </w:p>
    <w:p>
      <w:pPr>
        <w:pStyle w:val="SourceNote"/>
      </w:pPr>
      <w:r>
        <w:rPr>
          <w:b/>
        </w:rPr>
        <w:t>Available abstract (not full text):</w:t>
      </w:r>
      <w:r>
        <w:t xml:space="preserve"> In the present study, the research activities aiming at investigating the use of modern Machine Learning algorithms for the early detection of convective systems are shown.The study conceived and carried out at the Italian Air-Force Meteorological Centre, co-funded in the framework of the EUMETNET-SRNWP-EPS Project, focuses on the post-processing of NWP model output to provide to the forecasters an improved Decision Support System specifically designed for aviation hazards and severe weather phenomena, such as thunderstorms. In detail, the NWP fields generated from operational Limited Area Models (COSMO-IT, 2.2 km horizontal resolution) running at CNMCA (Centro Nazionale Meteorologia e Climatologia Aerospaziale, Italian AirForce Met Service) and ECMWF, were processed and fed, as input features, to a properly designed decision tree. Different targets were defined to train the ML model, starting from independent observation datasets, which include radar, lightning and satellite-derived observations. The products mentioned above and the input features were co-located in space and time to assess the correlation between the signal (the information content of NWP products) and the weather phenomenon (e.g., convective instability). The ML tool operates in near real-time mode for the prediction/test phase and offline mode for the training/validation phase. It runs on the European Weath</w:t>
      </w:r>
    </w:p>
    <w:p>
      <w:pPr/>
      <w:r>
        <w:rPr>
          <w:b/>
        </w:rPr>
        <w:t>POSSIBLE 2023:</w:t>
      </w:r>
      <w:r>
        <w:t xml:space="preserve"> Intersecting near-optimal spaces: European power systems with more resilience to weather variability — https://doi.org/10.1016/j.eneco.2022.106496</w:t>
      </w:r>
    </w:p>
    <w:p>
      <w:pPr/>
      <w:r>
        <w:rPr>
          <w:b/>
        </w:rPr>
        <w:t>Shared claim-specific concepts:</w:t>
      </w:r>
      <w:r>
        <w:t xml:space="preserve"> weather, investigate; EU scope visible. This is a provisional connection, not an outcome finding.</w:t>
      </w:r>
    </w:p>
    <w:p>
      <w:pPr>
        <w:pStyle w:val="SourceNote"/>
      </w:pPr>
      <w:r>
        <w:rPr>
          <w:b/>
        </w:rPr>
        <w:t>Available abstract (not full text):</w:t>
      </w:r>
      <w:r>
        <w:t xml:space="preserve"> We suggest a new methodology for designing robust energy systems. For this, we investigate so-called near-optimal solutions to energy system optimisation models; solutions whose objective values deviate only marginally from the optimum. Using a refined method for obtaining explicit geometric descriptions of these near-optimal feasible spaces, we find designs that are as robust as possible to perturbations. This contributes to the ongoing debate on how to define and work with robustness in energy systems modelling. We apply our methods in an investigation using multiple decades of weather data. For the first time, we run a capacity expansion model of the European power system (one node per country) with a three-hourly temporal resolution and 41 years of weather data. While an optimisation with 41 weather years is at the limits of computational feasibility, we use the near-optimal feasible spaces of single years to gain an understanding of the design space over the full time period. Specifically, we intersect all near-optimal feasible spaces for the individual years in order to get designs that are likely to be feasible over the entire time period. We find significant potential for investment flexibility, and verify the feasibility of these designs by simulating the resulting dispatch problem with four decades of weather data. They are characterised by a shift towards more onshor</w:t>
      </w:r>
    </w:p>
    <w:p>
      <w:pPr/>
      <w:r>
        <w:rPr>
          <w:b/>
        </w:rPr>
        <w:t>POSSIBLE 2023:</w:t>
      </w:r>
      <w:r>
        <w:t xml:space="preserve"> ClimaX: A foundation model for weather and climate — https://doi.org/10.48550/arxiv.2301.10343</w:t>
      </w:r>
    </w:p>
    <w:p>
      <w:pPr/>
      <w:r>
        <w:rPr>
          <w:b/>
        </w:rPr>
        <w:t>Shared claim-specific concepts:</w:t>
      </w:r>
      <w:r>
        <w:t xml:space="preserve"> weather, different, climate; EU scope not established. This is a provisional connection, not an outcome finding.</w:t>
      </w:r>
    </w:p>
    <w:p>
      <w:pPr>
        <w:pStyle w:val="SourceNote"/>
      </w:pPr>
      <w:r>
        <w:rPr>
          <w:b/>
        </w:rPr>
        <w:t>Available abstract (not full text):</w:t>
      </w:r>
      <w:r>
        <w:t xml:space="preserve"> Most state-of-the-art approaches for weather and climate modeling are based on physics-informed numerical models of the atmosphere. These approaches aim to model the non-linear dynamics and complex interactions between multiple variables, which are challenging to approximate. Additionally, many such numerical models are computationally intensive, especially when modeling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We develop and demonstrate ClimaX, a flexible and generalizable deep learning model for weather and climate science that can be trained using heterogeneous datasets spanning different variables, spatio-temporal coverage, and physical groundings. ClimaX extends the Transformer architecture with novel encoding and aggregation blocks that allow effective use of available compute while maintaining general utility. ClimaX is pre-trained with a self-supervised learning objective on climate datasets derived from CMIP6. The pre-trained ClimaX can then be fine-tuned to address a </w:t>
      </w:r>
    </w:p>
    <w:p>
      <w:pPr>
        <w:pStyle w:val="Heading2"/>
      </w:pPr>
      <w:r>
        <w:t>561.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pStyle w:val="Heading2"/>
      </w:pPr>
      <w:r>
        <w:t>562.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2024:</w:t>
      </w:r>
      <w:r>
        <w:t xml:space="preserve"> Water use in a sustainable net zero energy system: what are the implications of employing bioenergy with carbon capture and storage? — https://doi.org/10.54337/ijsepm.8159</w:t>
      </w:r>
    </w:p>
    <w:p>
      <w:pPr/>
      <w:r>
        <w:rPr>
          <w:b/>
        </w:rPr>
        <w:t>Shared claim-specific concepts:</w:t>
      </w:r>
      <w:r>
        <w:t xml:space="preserve"> bioenergy, mitigation, needed, use, integrated, assessment; EU scope not established. This is a provisional connection, not an outcome finding.</w:t>
      </w:r>
    </w:p>
    <w:p>
      <w:pPr>
        <w:pStyle w:val="SourceNote"/>
      </w:pPr>
      <w:r>
        <w:rPr>
          <w:b/>
        </w:rPr>
        <w:t>Available abstract (not full text):</w:t>
      </w:r>
      <w:r>
        <w:t xml:space="preserve">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pPr/>
      <w:r>
        <w:rPr>
          <w:b/>
        </w:rPr>
        <w:t>POSSIBLE 2024:</w:t>
      </w:r>
      <w:r>
        <w:t xml:space="preserve"> Expert insights into future trajectories: assessing cost reductions and scalability of carbon dioxide removal technologies — https://doi.org/10.3389/fclim.2024.1331901</w:t>
      </w:r>
    </w:p>
    <w:p>
      <w:pPr/>
      <w:r>
        <w:rPr>
          <w:b/>
        </w:rPr>
        <w:t>Shared claim-specific concepts:</w:t>
      </w:r>
      <w:r>
        <w:t xml:space="preserve"> bioenergy, gtco2, deployment; EU scope visible. This is a provisional connection, not an outcome finding.</w:t>
      </w:r>
    </w:p>
    <w:p>
      <w:pPr>
        <w:pStyle w:val="SourceNote"/>
      </w:pPr>
      <w:r>
        <w:rPr>
          <w:b/>
        </w:rPr>
        <w:t>Available abstract (not full text):</w:t>
      </w:r>
      <w:r>
        <w:t xml:space="preserve">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pPr/>
      <w:r>
        <w:rPr>
          <w:b/>
        </w:rPr>
        <w:t>POSSIBLE 2023:</w:t>
      </w:r>
      <w:r>
        <w:t xml:space="preserve"> Potential of land-based climate change mitigation strategies on abandoned cropland — https://doi.org/10.1038/s43247-023-00696-7</w:t>
      </w:r>
    </w:p>
    <w:p>
      <w:pPr/>
      <w:r>
        <w:rPr>
          <w:b/>
        </w:rPr>
        <w:t>Shared claim-specific concepts:</w:t>
      </w:r>
      <w:r>
        <w:t xml:space="preserve"> bioenergy, overall, mitigation, deployment; EU scope not established. This is a provisional connection, not an outcome finding.</w:t>
      </w:r>
    </w:p>
    <w:p>
      <w:pPr>
        <w:pStyle w:val="SourceNote"/>
      </w:pPr>
      <w:r>
        <w:rPr>
          <w:b/>
        </w:rPr>
        <w:t>Available abstract (not full text):</w:t>
      </w:r>
      <w:r>
        <w:t xml:space="preserve">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pPr/>
      <w:r>
        <w:rPr>
          <w:b/>
        </w:rPr>
        <w:t>POSSIBLE 2023:</w:t>
      </w:r>
      <w:r>
        <w:t xml:space="preserve"> Capacity gaps in land-based mitigation technologies and practices: A first stock take — https://doi.org/10.1016/j.landusepol.2023.106888</w:t>
      </w:r>
    </w:p>
    <w:p>
      <w:pPr/>
      <w:r>
        <w:rPr>
          <w:b/>
        </w:rPr>
        <w:t>Shared claim-specific concepts:</w:t>
      </w:r>
      <w:r>
        <w:t xml:space="preserve"> bioenergy, mitigation, use, regional; EU scope visible. This is a provisional connection, not an outcome finding.</w:t>
      </w:r>
    </w:p>
    <w:p>
      <w:pPr>
        <w:pStyle w:val="SourceNote"/>
      </w:pPr>
      <w:r>
        <w:rPr>
          <w:b/>
        </w:rPr>
        <w:t>Available abstract (not full text):</w:t>
      </w:r>
      <w:r>
        <w:t xml:space="preserve">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pPr/>
      <w:r>
        <w:rPr>
          <w:b/>
        </w:rPr>
        <w:t>POSSIBLE 2023:</w:t>
      </w:r>
      <w:r>
        <w:t xml:space="preserve"> How replacing fossil fuels with electrofuels could influence the demand for renewable energy and land area — https://doi.org/10.1016/j.segy.2023.100107</w:t>
      </w:r>
    </w:p>
    <w:p>
      <w:pPr/>
      <w:r>
        <w:rPr>
          <w:b/>
        </w:rPr>
        <w:t>Shared claim-specific concepts:</w:t>
      </w:r>
      <w:r>
        <w:t xml:space="preserve"> bioenergy, needed; EU scope not established. This is a provisional connection, not an outcome finding.</w:t>
      </w:r>
    </w:p>
    <w:p>
      <w:pPr>
        <w:pStyle w:val="SourceNote"/>
      </w:pPr>
      <w:r>
        <w:rPr>
          <w:b/>
        </w:rPr>
        <w:t>Available abstract (not full text):</w:t>
      </w:r>
      <w:r>
        <w:t xml:space="preserve"> During recent years, electrofuels (fuels from electricity, water, and carbon) have gained increased interest as substitute for fossil fuels in all energy and chemical sectors. The feasibility of electrofuels has been assessed from a range of aspects but no study has assessed the land area needed if scaling up the production based on renewables. The amount of land on Earth is limited and the competition for land, in a long-term perspective, imposes a risk of, e.g., increased food prices and biodiversity losses. The aim of this paper is to assess how much land area it would require if all fossil fuels were substituted by electrofuels (‘All electrofuel’-scenario) and compare this with the area needed if all fossil fuels were substituted by bioenergy (‘All biomass’-scenario) or by electricity (‘All electric’-scenario). Each scenario represents extreme cases towards fully renewable energy systems to outline the theoretical area needed. Main conclusions are (1) the electricity demand, if substituting all fossil fuels with electrofuels, is huge (1540 EJ) but technically obtainable, demanding 1.1% of the Earth's surface, for solar panels, in the most optimistic case, and (2) the sustainable technical potential for biomass cannot alone substitute all fossil fuels, unless radical energy demand reductions.</w:t>
      </w:r>
    </w:p>
    <w:p>
      <w:pPr/>
      <w:r>
        <w:rPr>
          <w:b/>
        </w:rPr>
        <w:t>POSSIBLE 2022:</w:t>
      </w:r>
      <w:r>
        <w:t xml:space="preserve"> EU Bioenergy Supply-Chain Projections to 2050 Using a Multi-Model Framework -Combining Macro-Regional Bioenergy Demand and Supply Projections from a Global Iam with a Detailed Regional (Eu27 &amp; UK) Least-Cost Bioenergy Allocation Model – — https://doi.org/10.2139/ssrn.4223426</w:t>
      </w:r>
    </w:p>
    <w:p>
      <w:pPr/>
      <w:r>
        <w:rPr>
          <w:b/>
        </w:rPr>
        <w:t>Shared claim-specific concepts:</w:t>
      </w:r>
      <w:r>
        <w:t xml:space="preserve"> bioenergy, regional;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Global pathways &amp; EU response: A 2nd European Regional, National and Sectoral assessment — https://doi.org/10.5281/zenodo.7590826</w:t>
      </w:r>
    </w:p>
    <w:p>
      <w:pPr/>
      <w:r>
        <w:rPr>
          <w:b/>
        </w:rPr>
        <w:t>Shared claim-specific concepts:</w:t>
      </w:r>
      <w:r>
        <w:t xml:space="preserve"> mitigation, assessment, sectoral, regional; EU scope visible. This is a provisional connection, not an outcome finding.</w:t>
      </w:r>
    </w:p>
    <w:p>
      <w:pPr>
        <w:pStyle w:val="SourceNote"/>
      </w:pPr>
      <w:r>
        <w:rPr>
          <w:b/>
        </w:rPr>
        <w:t>Available abstract (not full text):</w:t>
      </w:r>
      <w:r>
        <w:t xml:space="preserve"> With the EU policy context fast evolving in the light of recent challenges, such as COVID-19, there is a need to guide and scientifically underpin key policymaking decisions to ensure that ambitious targets are realised. In this context, this deliverable presents a set of EU scenarios that achieve the 55% emission reduction target by 2030 and net zero by 2050, on top of a realistic current policies baseline, essentially ensuring that EU effectively manages its contribution towards achieving the Paris Agreement target. Produced by a diverse set of models in a multi-model setup, the scenarios are assessed in terms of their implications on key climate, economy, and energy indicators, as well as their impact on the member-state and sectoral level. Key results including the role of key mitigation options su h as renewables, electrification, carbon capture and storage, negative emissions technologies, and hydrogen are validated from the l ns of stakeholder input, as elicited in a series of national stakeholder workshops in Europe. Finally, the analysis further delves into niche modelling areas, including updates on the current policies baseline scenario in the light of COVID-19 and the “Fit for 55” package, long term strategies for the Agriculture Forestry and Land-Use sector, and the evaluation of a Carbon Border Adjustment Mechanism.</w:t>
      </w:r>
    </w:p>
    <w:p>
      <w:pPr/>
      <w:r>
        <w:rPr>
          <w:b/>
        </w:rPr>
        <w:t>POSSIBLE 2022:</w:t>
      </w:r>
      <w:r>
        <w:t xml:space="preserve"> Economic and biophysical limits to seaweed-based climate solutions — https://doi.org/10.31223/x5pg9v</w:t>
      </w:r>
    </w:p>
    <w:p>
      <w:pPr/>
      <w:r>
        <w:rPr>
          <w:b/>
        </w:rPr>
        <w:t>Shared claim-specific concepts:</w:t>
      </w:r>
      <w:r>
        <w:t xml:space="preserve"> bioenergy, needed, use; EU scope not established. This is a provisional connection, not an outcome finding.</w:t>
      </w:r>
    </w:p>
    <w:p>
      <w:pPr>
        <w:pStyle w:val="SourceNote"/>
      </w:pPr>
      <w:r>
        <w:rPr>
          <w:b/>
        </w:rPr>
        <w:t>Available abstract (not full text):</w:t>
      </w:r>
      <w:r>
        <w:t xml:space="preserve"> Net-zero greenhouse gas emissions targets are driving interest in opportunities for biomass-based negative emissions and bioenergy, including from marine sources such as seaweed. Yet the biophysical and economic limits to farming seaweed at scales relevant to the global carbon budget have not been assessed in detail. We use coupled seaweed growth and technoeconomic models to estimate the costs of global seaweed production and related climate benefits, systematically testing the relative importance of model parameters. Under our most optimistic assumptions, sinking farmed seaweed to the deep sea to sequester a gigaton of CO2 per year costs as little as $560/tCO2 on average, while using farmed seaweed for products that avoid a gigaton of CO2-equivalent greenhouse gas (GHG) emissions annually could return a profit of $30/tCO2-eq. However, these costs depend on low farming costs, high seaweed yields, and assumptions that almost all carbon in seaweed is removed from the atmosphere and seaweed products can displace products with substantial embodied non-CO2 GHG emissions. Moreover, the gigaton-scale climate benefits we model would require farming vary large areas (&gt;100,000 km2)—a &gt;40-fold increase in the area currently farmed. Our results therefore suggest that seaweed-based climate benefits may be feasible, but targeted research and demonstrations are needed to further reduce econom</w:t>
      </w:r>
    </w:p>
    <w:p>
      <w:pPr/>
      <w:r>
        <w:rPr>
          <w:b/>
        </w:rPr>
        <w:t>POSSIBLE 2022:</w:t>
      </w:r>
      <w:r>
        <w:t xml:space="preserve"> Energy requirements and carbon emissions for a low-carbon energy transition — https://doi.org/10.1038/s41467-022-33976-5</w:t>
      </w:r>
    </w:p>
    <w:p>
      <w:pPr/>
      <w:r>
        <w:rPr>
          <w:b/>
        </w:rPr>
        <w:t>Shared claim-specific concepts:</w:t>
      </w:r>
      <w:r>
        <w:t xml:space="preserve"> gtco2, mitigation, deployment; EU scope not established. This is a provisional connection, not an outcome finding.</w:t>
      </w:r>
    </w:p>
    <w:p>
      <w:pPr>
        <w:pStyle w:val="SourceNote"/>
      </w:pPr>
      <w:r>
        <w:rPr>
          <w:b/>
        </w:rPr>
        <w:t>Available abstract (not full text):</w:t>
      </w:r>
      <w:r>
        <w:t xml:space="preserve">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563.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food, each, use, but, biodiversity, loss;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Perspective: Food and Nutrition Insecurity in Europe: Challenges and Opportunities for Dietitians — https://doi.org/10.1016/j.advnut.2023.07.008</w:t>
      </w:r>
    </w:p>
    <w:p>
      <w:pPr/>
      <w:r>
        <w:rPr>
          <w:b/>
        </w:rPr>
        <w:t>Shared claim-specific concepts:</w:t>
      </w:r>
      <w:r>
        <w:t xml:space="preserve"> identifies, food, consequences; EU scope visible. This is a provisional connection, not an outcome finding.</w:t>
      </w:r>
    </w:p>
    <w:p>
      <w:pPr>
        <w:pStyle w:val="SourceNote"/>
      </w:pPr>
      <w:r>
        <w:rPr>
          <w:b/>
        </w:rPr>
        <w:t>Available abstract (not full text):</w:t>
      </w:r>
      <w:r>
        <w:t xml:space="preserve">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pPr/>
      <w:r>
        <w:rPr>
          <w:b/>
        </w:rPr>
        <w:t>POSSIBLE 2022:</w:t>
      </w:r>
      <w:r>
        <w:t xml:space="preserve"> Identifying the Key Success Factors of Plant-Based Food Brands in Europe — https://doi.org/10.3390/su15010306</w:t>
      </w:r>
    </w:p>
    <w:p>
      <w:pPr/>
      <w:r>
        <w:rPr>
          <w:b/>
        </w:rPr>
        <w:t>Shared claim-specific concepts:</w:t>
      </w:r>
      <w:r>
        <w:t xml:space="preserve"> six, food, each, marketing, but, high; EU scope visible. This is a provisional connection, not an outcome finding.</w:t>
      </w:r>
    </w:p>
    <w:p>
      <w:pPr>
        <w:pStyle w:val="SourceNote"/>
      </w:pPr>
      <w:r>
        <w:rPr>
          <w:b/>
        </w:rPr>
        <w:t>Available abstract (not full text):</w:t>
      </w:r>
      <w:r>
        <w:t xml:space="preserve"> Plant-based food (PBF) is on the rise as an alternative for animal-based food. Europe is leading in the market size compared with the global market. However, the high failure rate for new food products is challenging the success of new PBF in the market. This paper aims to unravel the key success factors (KSFs) from existing brands, contributing to the knowledge on how to achieve success in PBF market. Two subsequent studies employing online surveys were included, which targeted food expert participants. Study 1 focused on the collection of KSFs related to PBF brands utilizing the card sorting approach. Study 2 employed cluster analysis to further investigate the KSFs among different PBF brands. The findings identified six clusters of KSFs under the external and internal factors supporting the success of the PBF brands. Two (‘Consumer’ and ‘Trend’) and four (‘Ideology’, ‘Marketing strategy’, ‘Innovation management’, and ‘Management structure’) clusters were assigned into external and internal factors, respectively. Furthermore, cluster analysis identified four brand clusters: ‘Mature’, ‘Targeted’, ‘Newcomer’, and ‘Established but diversifying’ clusters. Each brand cluster utilized different KSFs into their strategies; however, both external and internal factors were applied, suggesting that there is no one-size-fits-all KSF to succeed in the market.</w:t>
      </w:r>
    </w:p>
    <w:p>
      <w:pPr/>
      <w:r>
        <w:rPr>
          <w:b/>
        </w:rPr>
        <w:t>POSSIBLE 2022:</w:t>
      </w:r>
      <w:r>
        <w:t xml:space="preserve"> Review of food safety hazards in circular food systems in Europe — https://doi.org/10.1016/j.foodres.2022.111505</w:t>
      </w:r>
    </w:p>
    <w:p>
      <w:pPr/>
      <w:r>
        <w:rPr>
          <w:b/>
        </w:rPr>
        <w:t>Shared claim-specific concepts:</w:t>
      </w:r>
      <w:r>
        <w:t xml:space="preserve"> food, production, processing, but, high; EU scope visible. This is a provisional connection, not an outcome finding.</w:t>
      </w:r>
    </w:p>
    <w:p>
      <w:pPr>
        <w:pStyle w:val="SourceNote"/>
      </w:pPr>
      <w:r>
        <w:rPr>
          <w:b/>
        </w:rPr>
        <w:t>Available abstract (not full text):</w:t>
      </w:r>
      <w:r>
        <w:t xml:space="preserve"> European food production systems have become very efficient in terms of high yield, quality and safety. However, these production systems are not sustainable since, amongst other reasons, a significant proportion of the production is wasted or lost in the supply chain. One of the strategies of the European Union is to achieve climate neutrality by moving towards a circular economy with better waste management. This includes, reducing food waste and losses, and reusing or recycling by-products of the food and feed production systems. A circular economy would greatly improve the sustainability of the European food systems, but attention must be paid to the emergence of (new) food safety hazards. New or not well-known hazards can occur because by-products are reintroduced into the system or new processing steps are used for recycling, and/or known hazards can accumulate in the food production chain due to the reuse of (by-)products. This review addresses food safety hazards in the circular biobased economy, covering the domains of plant production, animal production, aquaculture, and packaging. Instead of an exhaustive list of all potential hazards, example cases of circular food production systems are given, highlighting the known and potential emerging food safety hazards. Current literature covering emerging food safety hazards in the circular economy shows to be limited. There</w:t>
      </w:r>
    </w:p>
    <w:p>
      <w:pPr/>
      <w:r>
        <w:rPr>
          <w:b/>
        </w:rPr>
        <w:t>POSSIBLE 2022:</w:t>
      </w:r>
      <w:r>
        <w:t xml:space="preserve"> Food labeling in the European Union: a review of existing approaches — https://doi.org/10.1108/ijhg-07-2022-0072</w:t>
      </w:r>
    </w:p>
    <w:p>
      <w:pPr/>
      <w:r>
        <w:rPr>
          <w:b/>
        </w:rPr>
        <w:t>Shared claim-specific concepts:</w:t>
      </w:r>
      <w:r>
        <w:t xml:space="preserve"> identifies, six, food, each, use; EU scope visible. This is a provisional connection, not an outcome finding.</w:t>
      </w:r>
    </w:p>
    <w:p>
      <w:pPr>
        <w:pStyle w:val="SourceNote"/>
      </w:pPr>
      <w:r>
        <w:rPr>
          <w:b/>
        </w:rPr>
        <w:t>Available abstract (not full text):</w:t>
      </w:r>
      <w:r>
        <w:t xml:space="preserve"> Purpose This review explores the phenomenon of front-of-pack nutrition labels (FoPNLs) in the European Union (EU). FoPNLs highlight the nutritional quality of food and non-alcoholic beverages and help consumers to make healthier choices. The review explores different types of FoPNLs and evaluates their effectiveness. Design/methodology/approach A policy analysis was conducted, relying on extant academic literature, grey literature and policy documents. The use of current FoPNLs is interpreted in light of national and economic interests. Findings Our review identifies and describes seven government endorsed FoPNLs that are currently used in the EU. Five are positive endorsement labels (Croatia, Czech Republic, Denmark, Lithuania, Slovenia and Sweden), which only provide a positive indication on more healthy products. The Keyhole is used in three EU countries (Denmark, Lithuania and Sweden), while the others are used in one country each. The Nutri-Score represents a summary label, which provides an overall grade of how healthy a product is. It is used in six countries (Belgium, France, Germany, Netherlands, Spain and Luxembourg). Finally, the Nutrinform battery is a nutrient-specific non-interpretive scheme, indicating the content of nutrients in a portion of a food product. All identified labels are only used on a voluntary basis, encouraging selective use. Originality/value Thi</w:t>
      </w:r>
    </w:p>
    <w:p>
      <w:pPr/>
      <w:r>
        <w:rPr>
          <w:b/>
        </w:rPr>
        <w:t>POSSIBLE 2022:</w:t>
      </w:r>
      <w:r>
        <w:t xml:space="preserve"> Experiences and perceptions of nutritional health and wellbeing amongst food insecure women in Europe: A qualitative meta-ethnography — https://doi.org/10.1016/j.socscimed.2022.115313</w:t>
      </w:r>
    </w:p>
    <w:p>
      <w:pPr/>
      <w:r>
        <w:rPr>
          <w:b/>
        </w:rPr>
        <w:t>Shared claim-specific concepts:</w:t>
      </w:r>
      <w:r>
        <w:t xml:space="preserve"> six, food, greater; EU scope visible. This is a provisional connection, not an outcome finding.</w:t>
      </w:r>
    </w:p>
    <w:p>
      <w:pPr>
        <w:pStyle w:val="SourceNote"/>
      </w:pPr>
      <w:r>
        <w:rPr>
          <w:b/>
        </w:rPr>
        <w:t>Available abstract (not full text):</w:t>
      </w:r>
      <w:r>
        <w:t xml:space="preserve"> Since the 2008 global financial crisis, there has been a rise in the number of people experiencing food insecurity. Particularly vulnerable are mothers with young children, pregnant women, and lone parents (the majority of whom are women). This systematic review and meta-ethnography of qualitative studies focused on women's experiences of food insecurity and how it affects their nutritional health and wellbeing. Six electronic databases (Medline, Scopus, Web of Science, EMBASE, CINAHL and ASSIA), were searched from January 1, 2008-July 10, 2021, and supplemented by searches of grey literature databases, relevant websites, examination of reference lists and citation searches. We adhered to PRISMA and eMERGe guidelines to improve the completeness and clarity of meta-ethnographic reporting. Methodological quality of the studies was assessed using the Critical Appraisal Skills Programme qualitative checklist. We identified 11,589 unique records; we included 23 publications reporting data from 22 unique studies involving 647 women. Data were synthesised according to Noblit &amp; Hare's seven phases of meta-ethnography. We identified two key themes - accessing sufficient food and embodying food insecurity - comprising seven sub-themes. Our meta-ethnography provides a progressive 'storyline' of women's experiences of food insecurity. This includes the ways in which women attempt to access</w:t>
      </w:r>
    </w:p>
    <w:p>
      <w:pPr>
        <w:pStyle w:val="Heading2"/>
      </w:pPr>
      <w:r>
        <w:t>564.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r>
        <w:rPr>
          <w:b/>
        </w:rPr>
        <w:t>POSSIBLE 2025:</w:t>
      </w:r>
      <w:r>
        <w:t xml:space="preserve"> Factors Influencing the Purchase of Battery Electric Vehicles (BEVs) — https://doi.org/10.31803/tg-2024052312222</w:t>
      </w:r>
    </w:p>
    <w:p>
      <w:pPr/>
      <w:r>
        <w:rPr>
          <w:b/>
        </w:rPr>
        <w:t>Shared claim-specific concepts:</w:t>
      </w:r>
      <w:r>
        <w:t xml:space="preserve"> bevs, better, bev, charging; EU scope visible. This is a provisional connection, not an outcome finding.</w:t>
      </w:r>
    </w:p>
    <w:p>
      <w:pPr>
        <w:pStyle w:val="SourceNote"/>
      </w:pPr>
      <w:r>
        <w:rPr>
          <w:b/>
        </w:rPr>
        <w:t>Available abstract (not full text):</w:t>
      </w:r>
      <w:r>
        <w:t xml:space="preserve">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pPr/>
      <w:r>
        <w:rPr>
          <w:b/>
        </w:rPr>
        <w:t>POSSIBLE 2025:</w:t>
      </w:r>
      <w:r>
        <w:t xml:space="preserve"> E-Private Mobility Index: A Novel Tool for Assessing BEV Transition Feasibility — https://doi.org/10.3390/su17093983</w:t>
      </w:r>
    </w:p>
    <w:p>
      <w:pPr/>
      <w:r>
        <w:rPr>
          <w:b/>
        </w:rPr>
        <w:t>Shared claim-specific concepts:</w:t>
      </w:r>
      <w:r>
        <w:t xml:space="preserve"> bevs, bev, charging; EU scope visible. This is a provisional connection, not an outcome finding.</w:t>
      </w:r>
    </w:p>
    <w:p>
      <w:pPr>
        <w:pStyle w:val="SourceNote"/>
      </w:pPr>
      <w:r>
        <w:rPr>
          <w:b/>
        </w:rPr>
        <w:t>Available abstract (not full text):</w:t>
      </w:r>
      <w:r>
        <w:t xml:space="preserve">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pPr/>
      <w:r>
        <w:rPr>
          <w:b/>
        </w:rPr>
        <w:t>POSSIBLE 2024:</w:t>
      </w:r>
      <w:r>
        <w:t xml:space="preserve"> Investigating the Moderating Role of Government Incentive Policy on Consumer Adoption of Battery Electric Vehicles (BEV) in Malaysia — https://doi.org/10.6007/ijarbss/v14-i3/20992</w:t>
      </w:r>
    </w:p>
    <w:p>
      <w:pPr/>
      <w:r>
        <w:rPr>
          <w:b/>
        </w:rPr>
        <w:t>Shared claim-specific concepts:</w:t>
      </w:r>
      <w:r>
        <w:t xml:space="preserve"> adoption, bevs, better, bev; EU scope not established. This is a provisional connection, not an outcome finding.</w:t>
      </w:r>
    </w:p>
    <w:p>
      <w:pPr>
        <w:pStyle w:val="SourceNote"/>
      </w:pPr>
      <w:r>
        <w:rPr>
          <w:b/>
        </w:rPr>
        <w:t>Available abstract (not full text):</w:t>
      </w:r>
      <w:r>
        <w:t xml:space="preserve">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pPr/>
      <w:r>
        <w:rPr>
          <w:b/>
        </w:rPr>
        <w:t>POSSIBLE 2024:</w:t>
      </w:r>
      <w:r>
        <w:t xml:space="preserve"> Automated Parking Planning with Vision-Based BEV Approach — https://doi.org/10.48550/arxiv.2406.15430</w:t>
      </w:r>
    </w:p>
    <w:p>
      <w:pPr/>
      <w:r>
        <w:rPr>
          <w:b/>
        </w:rPr>
        <w:t>Shared claim-specific concepts:</w:t>
      </w:r>
      <w:r>
        <w:t xml:space="preserve"> demonstrates, bev; EU scope not established. This is a provisional connection, not an outcome finding.</w:t>
      </w:r>
    </w:p>
    <w:p>
      <w:pPr>
        <w:pStyle w:val="SourceNote"/>
      </w:pPr>
      <w:r>
        <w:rPr>
          <w:b/>
        </w:rPr>
        <w:t>Available abstract (not full text):</w:t>
      </w:r>
      <w:r>
        <w:t xml:space="preserve">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pPr/>
      <w:r>
        <w:rPr>
          <w:b/>
        </w:rPr>
        <w:t>POSSIBLE 2023:</w:t>
      </w:r>
      <w:r>
        <w:t xml:space="preserve"> Exponential adoption of battery electric cars — https://doi.org/10.1371/journal.pone.0295692</w:t>
      </w:r>
    </w:p>
    <w:p>
      <w:pPr/>
      <w:r>
        <w:rPr>
          <w:b/>
        </w:rPr>
        <w:t>Shared claim-specific concepts:</w:t>
      </w:r>
      <w:r>
        <w:t xml:space="preserve"> suggest, adoption, bevs, bev, near, countries; EU scope visible. This is a provisional connection, not an outcome finding.</w:t>
      </w:r>
    </w:p>
    <w:p>
      <w:pPr>
        <w:pStyle w:val="SourceNote"/>
      </w:pPr>
      <w:r>
        <w:rPr>
          <w:b/>
        </w:rPr>
        <w:t>Available abstract (not full text):</w:t>
      </w:r>
      <w:r>
        <w:t xml:space="preserve"> The adoption of battery electric vehicles (BEVs) may significantly reduce greenhouse gas emissions caused by road transport. However, there is wide disagreement as to how soon battery electric vehicles will play a major role in overall transportation. Focusing on battery electric passenger cars, we analyze BEV adoption across 17 individual countries, Europe, and the World, and consistently find exponential growth trends. Modeling-based estimates of future adoption given past trends suggest system-wide adoption substantially faster than typical economic analyses have proposed so far. For instance, we estimate the majority of passenger cars in Europe to be electric by about 2031. Within regions, the predicted times of mass adoption are largely insensitive to model details. Despite significant differences in current electric fleet sizes across regions, their growth rates consistently indicate fast doubling times of approximately 15 months, hinting at radical economic and infrastructural consequences in the near future.</w:t>
      </w:r>
    </w:p>
    <w:p>
      <w:pPr/>
      <w:r>
        <w:rPr>
          <w:b/>
        </w:rPr>
        <w:t>POSSIBLE 2023:</w:t>
      </w:r>
      <w:r>
        <w:t xml:space="preserve"> Impacts of charging behavior on BEV charging infrastructure needs and energy use — https://doi.org/10.1016/j.trd.2023.103645</w:t>
      </w:r>
    </w:p>
    <w:p>
      <w:pPr/>
      <w:r>
        <w:rPr>
          <w:b/>
        </w:rPr>
        <w:t>Shared claim-specific concepts:</w:t>
      </w:r>
      <w:r>
        <w:t xml:space="preserve"> adoption, bevs, bev, charging, increased; EU scope visible. This is a provisional connection, not an outcome finding.</w:t>
      </w:r>
    </w:p>
    <w:p>
      <w:pPr>
        <w:pStyle w:val="SourceNote"/>
      </w:pPr>
      <w:r>
        <w:rPr>
          <w:b/>
        </w:rPr>
        <w:t>Available abstract (not full text):</w:t>
      </w:r>
      <w:r>
        <w:t xml:space="preserve"> Battery electric vehicles (BEVs) are vital in the sustainable future of transport systems. Increased BEV adoption makes the realistic assessment of charging infrastructure demand critical. The current literature on charging infrastructure often uses outdated charging behavior assumptions such as universal access to home chargers and the “Liquid-fuel” mental model. We simulate charging infrastructure needs using a large-scale agent-based simulation of Sweden with detailed individual characteristics, including dwelling types and activity patterns. The two state-of-art archetypes of charging behaviors, “Plan-ahead” and “Event-triggered”, mirror the current infrastructure built-up, suggesting 2.3–4.5 times more public chargers per BEV than the “Liquid-fuel” mental model. We also estimate roughly 30–150 BEVs served by a slow charger may be needed for non-home residential overnight charging.</w:t>
      </w:r>
    </w:p>
    <w:p>
      <w:pPr>
        <w:pStyle w:val="Heading2"/>
      </w:pPr>
      <w:r>
        <w:t>565.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pStyle w:val="Heading2"/>
      </w:pPr>
      <w:r>
        <w:t>566.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r>
        <w:rPr>
          <w:b/>
        </w:rPr>
        <w:t>POSSIBLE 2023:</w:t>
      </w:r>
      <w:r>
        <w:t xml:space="preserve"> Ecological Indicator Values for Europe (EIVE) 1.0 — https://doi.org/10.3897/vcs.98324</w:t>
      </w:r>
    </w:p>
    <w:p>
      <w:pPr/>
      <w:r>
        <w:rPr>
          <w:b/>
        </w:rPr>
        <w:t>Shared claim-specific concepts:</w:t>
      </w:r>
      <w:r>
        <w:t xml:space="preserve"> addition, values, database; EU scope visible. This is a provisional connection, not an outcome finding.</w:t>
      </w:r>
    </w:p>
    <w:p>
      <w:pPr>
        <w:pStyle w:val="SourceNote"/>
      </w:pPr>
      <w:r>
        <w:rPr>
          <w:b/>
        </w:rPr>
        <w:t>Available abstract (not full text):</w:t>
      </w:r>
      <w:r>
        <w:t xml:space="preserve">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pPr/>
      <w:r>
        <w:rPr>
          <w:b/>
        </w:rPr>
        <w:t>POSSIBLE 2022:</w:t>
      </w:r>
      <w:r>
        <w:t xml:space="preserve"> The Effect of COVID-19 on the Value Relevance of European Firms’ Financial Statements — https://doi.org/10.33094/ijaefa.v14i1.661</w:t>
      </w:r>
    </w:p>
    <w:p>
      <w:pPr/>
      <w:r>
        <w:rPr>
          <w:b/>
        </w:rPr>
        <w:t>Shared claim-specific concepts:</w:t>
      </w:r>
      <w:r>
        <w:t xml:space="preserve"> addition, compared, countries, almost, same; EU scope visible. This is a provisional connection, not an outcome finding.</w:t>
      </w:r>
    </w:p>
    <w:p>
      <w:pPr>
        <w:pStyle w:val="SourceNote"/>
      </w:pPr>
      <w:r>
        <w:rPr>
          <w:b/>
        </w:rPr>
        <w:t>Available abstract (not full text):</w:t>
      </w:r>
      <w:r>
        <w:t xml:space="preserve">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pPr/>
      <w:r>
        <w:rPr>
          <w:b/>
        </w:rPr>
        <w:t>POSSIBLE 2022:</w:t>
      </w:r>
      <w:r>
        <w:t xml:space="preserve"> Ellenberg‐type indicator values for European vascular plant species — https://doi.org/10.1111/jvs.13168</w:t>
      </w:r>
    </w:p>
    <w:p>
      <w:pPr/>
      <w:r>
        <w:rPr>
          <w:b/>
        </w:rPr>
        <w:t>Shared claim-specific concepts:</w:t>
      </w:r>
      <w:r>
        <w:t xml:space="preserve"> compared, values, according, type;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Yugoslavs and Europeans Compared — https://doi.org/10.20901/pm.59.2.03</w:t>
      </w:r>
    </w:p>
    <w:p>
      <w:pPr/>
      <w:r>
        <w:rPr>
          <w:b/>
        </w:rPr>
        <w:t>Shared claim-specific concepts:</w:t>
      </w:r>
      <w:r>
        <w:t xml:space="preserve"> compared, findings, countries; EU scope visible. This is a provisional connection, not an outcome finding.</w:t>
      </w:r>
    </w:p>
    <w:p>
      <w:pPr>
        <w:pStyle w:val="SourceNote"/>
      </w:pPr>
      <w:r>
        <w:rPr>
          <w:b/>
        </w:rPr>
        <w:t>Available abstract (not full text):</w:t>
      </w:r>
      <w:r>
        <w:t xml:space="preserve"> Drawing on Sekulić, Massey and Hodson’s seminal article ‘Who were the‎ Yugoslavs?’, this paper compares the share and determinants of identifying as‎ Yugoslavs during socialism with the panorama of primary European identification.‎ Eurobarometer surveys containing data on European identification are‎ utilized to that end. The study takes in consideration social and political contexts ‎that shaped supranational identification in particular Yugoslav socialist‎ republics and EU member states. Our findings show low levels of Europeans‎ and Yugoslavs in both polities. The results also show that nationally specific‎ contexts affect both the prevalence of European identification and its determinants.‎ There are considerable differences in the level of European identification‎ among EU countries, and statistical analyses of the Belgian, French and‎ German cases further showed that different factors shape it. Of all the variables,‎ non-exclusive nationalities have been the strongest predictors of supranational ‎identification in both Socialist Yugoslavia and the EU.‎</w:t>
      </w:r>
    </w:p>
    <w:p>
      <w:pPr>
        <w:pStyle w:val="Heading2"/>
      </w:pPr>
      <w:r>
        <w:t>567.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r>
        <w:rPr>
          <w:b/>
        </w:rPr>
        <w:t>POSSIBLE 2025:</w:t>
      </w:r>
      <w:r>
        <w:t xml:space="preserve"> How Service Exclusion Affects Rural Depopulation. An Approach Based on Structural Equation Modelling — https://doi.org/10.1111/soru.70005</w:t>
      </w:r>
    </w:p>
    <w:p>
      <w:pPr/>
      <w:r>
        <w:rPr>
          <w:b/>
        </w:rPr>
        <w:t>Shared claim-specific concepts:</w:t>
      </w:r>
      <w:r>
        <w:t xml:space="preserve"> abstract, depopulation, structural; EU scope visible. This is a provisional connection, not an outcome finding.</w:t>
      </w:r>
    </w:p>
    <w:p>
      <w:pPr>
        <w:pStyle w:val="SourceNote"/>
      </w:pPr>
      <w:r>
        <w:rPr>
          <w:b/>
        </w:rPr>
        <w:t>Available abstract (not full text):</w:t>
      </w:r>
      <w:r>
        <w:t xml:space="preserve">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pPr/>
      <w:r>
        <w:rPr>
          <w:b/>
        </w:rPr>
        <w:t>POSSIBLE 2024:</w:t>
      </w:r>
      <w:r>
        <w:t xml:space="preserve"> Depopulation in the Central Apennines in the Twentieth Century: An Empirical Investigation — https://doi.org/10.1007/s40797-024-00295-1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We propose an empirical investigation of the population dynamics between 1931 and 2011 in a mountain area in Italy. The main novelty of our work is the usage of sub-municipal data, which makes it possible to disentangle several drivers of the overall depopulation trend. All these factors had been considered previously by separate strands of literature, but never jointly, as we do. One of our most interesting results is that different factors operate in different historical periods. Therefore, we use a flexible strategy by which we divide the sample in four different 20-year spans and adopt a different statistical model for each. Another notable result is that an appropriate quantitative description of the phenomenon must take into account the disappearance of inhabited centres separately from their size in terms on inhabitants. Consequently, the concept of local community is crucial for a systematic understanding of population change and “place-sensitive” policies in remote mountain areas.</w:t>
      </w:r>
    </w:p>
    <w:p>
      <w:pPr/>
      <w:r>
        <w:rPr>
          <w:b/>
        </w:rPr>
        <w:t>POSSIBLE 2024:</w:t>
      </w:r>
      <w:r>
        <w:t xml:space="preserve"> Urban Shrinkage Research — https://doi.org/10.14398/urpr.11.113</w:t>
      </w:r>
    </w:p>
    <w:p>
      <w:pPr/>
      <w:r>
        <w:rPr>
          <w:b/>
        </w:rPr>
        <w:t>Shared claim-specific concepts:</w:t>
      </w:r>
      <w:r>
        <w:t xml:space="preserve"> shrinkage, related, also, shrinking; EU scope visible. This is a provisional connection, not an outcome finding.</w:t>
      </w:r>
    </w:p>
    <w:p>
      <w:pPr>
        <w:pStyle w:val="SourceNote"/>
      </w:pPr>
      <w:r>
        <w:rPr>
          <w:b/>
        </w:rPr>
        <w:t>Available abstract (not full text):</w:t>
      </w:r>
      <w:r>
        <w:t xml:space="preserve"> Urban shrinkage has emerged as a global phenomenon in recent decades, attracting increasing attention from scholars since the early 2000s, with broader geographical scope and research topics. However, there is a lack of systematic reviews encompassing the evolution of discourse, shifting focus, and national context comparisons. This research analyzed 98 articles directly related to urban shrinkage studies from both qualitative and quantitative perspectives to provide a comprehensive overview of current research. The results show that research on shrinking cities emerged in the 2000s, and it has received worldwide attention, with significant studies conducted in the United States, Germany, Japan, and China. Most of the studies have been conducted at the city level. The most prevalent topics are the causes of urban shrinkage and response policies. The perception of urban shrinkage shows a change from unacceptance to acceptance, and the coping strategies have been adjusted accordingly. There are two main planning paradigms: growth-oriented planning and shrinkage-adapted planning. While many scholars have advocated for approaches like “smart shrinkage” and “right-sizing,” some studies have questioned their feasibility and effectiveness. Among the specific coping strategies, economic restructuring and addressing vacancy issues are the focus of attention. Additionally, the discourse </w:t>
      </w:r>
    </w:p>
    <w:p>
      <w:pPr/>
      <w:r>
        <w:rPr>
          <w:b/>
        </w:rPr>
        <w:t>POSSIBLE 2023:</w:t>
      </w:r>
      <w:r>
        <w:t xml:space="preserve"> New Perspectives for the Building Heritage in Depopulated Areas: A Methodological Approach for Evaluating Sustainable Reuse and Upcycling Strategies — https://doi.org/10.1007/978-3-031-29515-7_68</w:t>
      </w:r>
    </w:p>
    <w:p>
      <w:pPr/>
      <w:r>
        <w:rPr>
          <w:b/>
        </w:rPr>
        <w:t>Shared claim-specific concepts:</w:t>
      </w:r>
      <w:r>
        <w:t xml:space="preserve"> abstract, shrinkage, depopulation, territories, areas, offering; EU scope visible. This is a provisional connection, not an outcome finding.</w:t>
      </w:r>
    </w:p>
    <w:p>
      <w:pPr>
        <w:pStyle w:val="SourceNote"/>
      </w:pPr>
      <w:r>
        <w:rPr>
          <w:b/>
        </w:rPr>
        <w:t>Available abstract (not full text):</w:t>
      </w:r>
      <w:r>
        <w:t xml:space="preserve"> Abstract The building reuse can reduce both consumption of non-renewable resources and production of construction and demolition waste, preserving the architectural and constructive culture. The progressive depopulation of the European inner areas is an opportunity to discuss the potential of reuse and sustainable adaptation of extensive heritage sites to cope with abandonment processes. The study of depopulation processes, as well as the investigation of case studies, allows to analyze the main strategies implemented to regenerate and repopulate abandoned inner areas, to highlight successful approaches and intervention criteria. In this scenario, “smart shrinkage” emerges as a powerful strategy to systemize resources and values embedded in the territories. On the basis of the economic-territorial interpretation of the performance decay process of buildings and settlement systems, developed by the research group of the Universities of Sassari and Catania, the paper proposes a multi-scale methodological approach for the evaluation of enhancement strategies and technological upcycling. The research links building performance with the urban and territorial values, integrating the Performance-Based Building Design in an axiological approach based on the solidarity between functions and values, referring to the economic category of human and urban capital. The model is tailored to t</w:t>
      </w:r>
    </w:p>
    <w:p>
      <w:pPr>
        <w:pStyle w:val="Heading2"/>
      </w:pPr>
      <w:r>
        <w:t>568.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2023:</w:t>
      </w:r>
      <w:r>
        <w:t xml:space="preserve"> European Exchanges, Networks and Contexts — https://doi.org/10.3366/edinburgh/9781474499170.003.0016</w:t>
      </w:r>
    </w:p>
    <w:p>
      <w:pPr/>
      <w:r>
        <w:rPr>
          <w:b/>
        </w:rPr>
        <w:t>Shared claim-specific concepts:</w:t>
      </w:r>
      <w:r>
        <w:t xml:space="preserve"> took, account, distribution, well; EU scope visible. This is a provisional connection, not an outcome finding.</w:t>
      </w:r>
    </w:p>
    <w:p>
      <w:pPr>
        <w:pStyle w:val="SourceNote"/>
      </w:pPr>
      <w:r>
        <w:rPr>
          <w:b/>
        </w:rPr>
        <w:t>Available abstract (not full text):</w:t>
      </w:r>
      <w:r>
        <w:t xml:space="preserve">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pPr/>
      <w:r>
        <w:rPr>
          <w:b/>
        </w:rPr>
        <w:t>POSSIBLE 2022:</w:t>
      </w:r>
      <w:r>
        <w:t xml:space="preserve"> Urbanization the Eastern Borders of Old Europe — https://doi.org/10.15388/archlit.2022.23.12</w:t>
      </w:r>
    </w:p>
    <w:p>
      <w:pPr/>
      <w:r>
        <w:rPr>
          <w:b/>
        </w:rPr>
        <w:t>Shared claim-specific concepts:</w:t>
      </w:r>
      <w:r>
        <w:t xml:space="preserve"> took, account, materials; EU scope visible. This is a provisional connection, not an outcome finding.</w:t>
      </w:r>
    </w:p>
    <w:p>
      <w:pPr>
        <w:pStyle w:val="SourceNote"/>
      </w:pPr>
      <w:r>
        <w:rPr>
          <w:b/>
        </w:rPr>
        <w:t>Available abstract (not full text):</w:t>
      </w:r>
      <w:r>
        <w:t xml:space="preserve"> Maria Gimbutas created an impressive picture of Old Europe, using, among others, materials from Trypillia Culture. From the very beginning, she took into account new archaeological discoveries from the 70s of the 20th century, namely, information about the large settlements. But fifty years ago, their studies were just beginning and this topic was not particularly popular among researchers outside of Ukraine. Today, news about life on the eastern borders of Old Europe, where these megasites, appeared more than 6000 years ago, appeares on the pages of leading archaeological publications and becomes the subject of discussions among archaeologists from different countries.</w:t>
      </w:r>
    </w:p>
    <w:p>
      <w:pPr>
        <w:pStyle w:val="Heading2"/>
      </w:pPr>
      <w:r>
        <w:t>569.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r>
        <w:rPr>
          <w:b/>
        </w:rPr>
        <w:t>POSSIBLE 2024:</w:t>
      </w:r>
      <w:r>
        <w:t xml:space="preserve"> Systemic effects of hypophosphatasia characterization of two novel variants in the ALPL gene — https://doi.org/10.3389/fendo.2023.1320516</w:t>
      </w:r>
    </w:p>
    <w:p>
      <w:pPr/>
      <w:r>
        <w:rPr>
          <w:b/>
        </w:rPr>
        <w:t>Shared claim-specific concepts:</w:t>
      </w:r>
      <w:r>
        <w:t xml:space="preserve"> systemic, variant, main; EU scope not established. This is a provisional connection, not an outcome finding.</w:t>
      </w:r>
    </w:p>
    <w:p>
      <w:pPr>
        <w:pStyle w:val="SourceNote"/>
      </w:pPr>
      <w:r>
        <w:rPr>
          <w:b/>
        </w:rPr>
        <w:t>Available abstract (not full text):</w:t>
      </w:r>
      <w:r>
        <w:t xml:space="preserve">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pStyle w:val="Heading2"/>
      </w:pPr>
      <w:r>
        <w:t>570.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2023:</w:t>
      </w:r>
      <w:r>
        <w:t xml:space="preserve"> Analysis of the European Strategy for Hydrogen: A Comprehensive Review — https://doi.org/10.3390/en16093866</w:t>
      </w:r>
    </w:p>
    <w:p>
      <w:pPr/>
      <w:r>
        <w:rPr>
          <w:b/>
        </w:rPr>
        <w:t>Shared claim-specific concepts:</w:t>
      </w:r>
      <w:r>
        <w:t xml:space="preserve"> all, strategies, developed, union, within; EU scope visible. This is a provisional connection, not an outcome finding.</w:t>
      </w:r>
    </w:p>
    <w:p>
      <w:pPr>
        <w:pStyle w:val="SourceNote"/>
      </w:pPr>
      <w:r>
        <w:rPr>
          <w:b/>
        </w:rPr>
        <w:t>Available abstract (not full text):</w:t>
      </w:r>
      <w:r>
        <w:t xml:space="preserve"> This review focuses on analysing the strategy and aspirations of the European Union within the hydrogen sector. This aim is achieved through the examination of the European Parliament’s hydrogen strategy, allowing for a study of actions and projects in hydrogen technologies. The Parliament’s hydrogen strategy is the document that provides the guideline of how the EU intends to function in the hydrogen sector and manages to cover a wide range of topics, all of them significant to represent the entirety of the hydrogen sector. It touches on subjects such as hydrogen demand, infrastructure, research, and standards, among others. The review discusses also the aspect that the EU intends to be a leader in the hydrogen sector, including the large-scale industrialization of key elements such as electrolysers, and this purpose is corroborated by the large number of associations, strategies, plans, and projects that are being established and developed by the European Union. The most important conclusions to learn from this analysis are that hydrogen has many of the right characteristics to make it the key to decarbonisation, especially in hard-to-abate sectors, and that it is bound to be one of the main actors in the imminent green transition. Moreover, hydrogen seems to be having its breakthrough, and this field’s development can have benefits not only from an environmental perspective </w:t>
      </w:r>
    </w:p>
    <w:p>
      <w:pPr/>
      <w:r>
        <w:rPr>
          <w:b/>
        </w:rPr>
        <w:t>POSSIBLE 2023:</w:t>
      </w:r>
      <w:r>
        <w:t xml:space="preserve"> Digital Health Reimbursement Strategies of 8 European Countries and Israel: Scoping Review and Policy Mapping — https://doi.org/10.2196/49003</w:t>
      </w:r>
    </w:p>
    <w:p>
      <w:pPr/>
      <w:r>
        <w:rPr>
          <w:b/>
        </w:rPr>
        <w:t>Shared claim-specific concepts:</w:t>
      </w:r>
      <w:r>
        <w:t xml:space="preserve"> all, strategies, basis, possible, within; EU scope visible. This is a provisional connection, not an outcome finding.</w:t>
      </w:r>
    </w:p>
    <w:p>
      <w:pPr>
        <w:pStyle w:val="SourceNote"/>
      </w:pPr>
      <w:r>
        <w:rPr>
          <w:b/>
        </w:rPr>
        <w:t>Available abstract (not full text):</w:t>
      </w:r>
      <w:r>
        <w:t xml:space="preserve"> BACKGROUND: The adoption of digital health care within health systems is determined by various factors, including pricing and reimbursement. The reimbursement landscape for digital health in Europe remains underresearched. Although various emergency reimbursement decisions were made during the COVID-19 pandemic to enable health care delivery through videoconferencing and asynchronous care (eg, digital apps), research so far has primarily focused on the policy innovations that facilitated this outside of Europe. OBJECTIVE: This study examines the digital health reimbursement strategies in 8 European countries (Belgium, France, Germany, Italy, the Netherlands, Poland, Sweden, and the United Kingdom) and Israel. METHODS: We mapped available digital health reimbursement strategies using a scoping review and policy mapping framework. We reviewed the literature on the MEDLINE, Embase, Global Health, and Web of Science databases. Supplementary records were identified through Google Scholar and country experts. RESULTS: Our search strategy yielded a total of 1559 records, of which 40 (2.57%) were ultimately included in this study. As of August 2023, digital health solutions are reimbursable to some extent in all studied countries except Poland, although the mechanism of reimbursement differs significantly across countries. At the time of writing, the pricing of digital health solutions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all, strategies, increase;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Investing in AI for social good: an analysis of European national strategies — https://doi.org/10.1007/s00146-022-01445-8</w:t>
      </w:r>
    </w:p>
    <w:p>
      <w:pPr/>
      <w:r>
        <w:rPr>
          <w:b/>
        </w:rPr>
        <w:t>Shared claim-specific concepts:</w:t>
      </w:r>
      <w:r>
        <w:t xml:space="preserve"> all, strategies, union, possible, commission; EU scope visible. This is a provisional connection, not an outcome finding.</w:t>
      </w:r>
    </w:p>
    <w:p>
      <w:pPr>
        <w:pStyle w:val="SourceNote"/>
      </w:pPr>
      <w:r>
        <w:rPr>
          <w:b/>
        </w:rPr>
        <w:t>Available abstract (not full text):</w:t>
      </w:r>
      <w:r>
        <w:t xml:space="preserve"> Artificial Intelligence (AI) has become a driving force in modern research, industry and public administration and the European Union (EU) is embracing this technology with a view to creating societal, as well as economic, value. This effort has been shared by EU Member States which were all encouraged to develop their own national AI strategies outlining policies and investment levels. This study focuses on how EU Member States are approaching the promise to develop and use AI for the good of society through the lens of their national AI strategies. In particular, we aim to investigate how European countries are investing in AI and to what extent the stated plans contribute to the good of people and society as a whole. Our contribution consists of three parts: (i) a conceptualization of AI for social good highlighting the role of AI policy, in particular, the one put forward by the European Commission (EC); (ii) a qualitative analysis of 15 European national strategies mapping investment plans and suggesting their relation to the social good (iii) a reflection on the current status of investments in socially good AI and possible steps to move forward. Our study suggests that while European national strategies incorporate money allocations in the sphere of AI for social good (e.g. education), there is a broader variety of underestimated actions (e.g. multidisciplinary approach </w:t>
      </w:r>
    </w:p>
    <w:p>
      <w:pPr>
        <w:pStyle w:val="Heading2"/>
      </w:pPr>
      <w:r>
        <w:t>571.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2024:</w:t>
      </w:r>
      <w:r>
        <w:t xml:space="preserve"> Phytoliths in dicotyledons occurring in Northwest Europe: establishing a baseline — https://doi.org/10.1093/aob/mcae217</w:t>
      </w:r>
    </w:p>
    <w:p>
      <w:pPr/>
      <w:r>
        <w:rPr>
          <w:b/>
        </w:rPr>
        <w:t>Shared claim-specific concepts:</w:t>
      </w:r>
      <w:r>
        <w:t xml:space="preserve"> findings, baseline, conclusions; EU scope visible. This is a provisional connection, not an outcome finding.</w:t>
      </w:r>
    </w:p>
    <w:p>
      <w:pPr>
        <w:pStyle w:val="SourceNote"/>
      </w:pPr>
      <w:r>
        <w:rPr>
          <w:b/>
        </w:rPr>
        <w:t>Available abstract (not full text):</w:t>
      </w:r>
      <w:r>
        <w:t xml:space="preserve">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pPr/>
      <w:r>
        <w:rPr>
          <w:b/>
        </w:rPr>
        <w:t>POSSIBLE 2024:</w:t>
      </w:r>
      <w:r>
        <w:t xml:space="preserve"> Baseline matters: Challenges and implications of different marine heatwave baselines — https://doi.org/10.1016/j.pocean.2024.103404</w:t>
      </w:r>
    </w:p>
    <w:p>
      <w:pPr/>
      <w:r>
        <w:rPr>
          <w:b/>
        </w:rPr>
        <w:t>Shared claim-specific concepts:</w:t>
      </w:r>
      <w:r>
        <w:t xml:space="preserve"> suggest, baseline, strategies; EU scope not established. This is a provisional connection, not an outcome finding.</w:t>
      </w:r>
    </w:p>
    <w:p>
      <w:pPr>
        <w:pStyle w:val="SourceNote"/>
      </w:pPr>
      <w:r>
        <w:rPr>
          <w:b/>
        </w:rPr>
        <w:t>Available abstract (not full text):</w:t>
      </w:r>
      <w:r>
        <w:t xml:space="preserve">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Treatment gaps in the implementation of LDL cholesterol control among high- and very high-risk patients in Europe between 2020 and 2021: the multinational observational SANTORINI study — https://doi.org/10.1016/j.lanepe.2023.100624</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suggest, conclusions;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Social isolation, loneliness, and incident type 2 diabetes mellitus: results from two large prospective cohorts in Europe and East Asia and Mendelian randomization — https://doi.org/10.1016/j.eclinm.2023.102236</w:t>
      </w:r>
    </w:p>
    <w:p>
      <w:pPr/>
      <w:r>
        <w:rPr>
          <w:b/>
        </w:rPr>
        <w:t>Shared claim-specific concepts:</w:t>
      </w:r>
      <w:r>
        <w:t xml:space="preserve"> findings, baseline, strategies; EU scope visible. This is a provisional connection, not an outcome finding.</w:t>
      </w:r>
    </w:p>
    <w:p>
      <w:pPr>
        <w:pStyle w:val="SourceNote"/>
      </w:pPr>
      <w:r>
        <w:rPr>
          <w:b/>
        </w:rPr>
        <w:t>Available abstract (not full text):</w:t>
      </w:r>
      <w:r>
        <w:t xml:space="preserve"> Background: Social isolation and loneliness pose significant public health challenges globally. The objective of this study is to investigate the association between social isolation, loneliness, and the risk of type 2 diabetes mellitus (T2DM). Methods: 423,503 UK adults from the UK Biobank (UKB) and 13,800 Chinese adults from the China Health and Retirement Longitudinal Study (CHARLS) were analyzed. The exposures of interest were social isolation and loneliness. Social isolation was evaluated based on the number of household members, frequency of social activities, contact with others, and marriage status (CHARLS only). Loneliness was evaluated by the subjective feeling of loneliness and the willingness to confide in others (UKB only). The primary endpoint was incident T2DM. The two-sample Mendelian randomization (MR) analysis was based on the genome-wide association studies of UKB (n = 463,010) and the European Bioinformatics Institute (n = 655,666). Findings: The UKB cohort study documented 15,072 T2DM cases during a mean follow-up of 13.5 years, and the CHARLS cohort study recorded 1,249 T2DM cases during a mean follow-up of 5.8 years. Social isolation and loneliness showed significant associations with an elevated risk of T2DM in both UKB (social isolation [most vs least]: HR 1.17, 95% CI 1.11-1.23; loneliness [yes vs no]: HR 1.21, 95% CI 1.13-1.30) and CHARLS cohorts (soc</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findings, suggest, baseline;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pStyle w:val="Heading2"/>
      </w:pPr>
      <w:r>
        <w:t>572.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Bias-adjusting for underestimated large-scale European warming in regional climate model simulations and implications for future extremes — https://doi.org/10.5194/egusphere-egu24-18186</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pPr/>
      <w:r>
        <w:rPr>
          <w:b/>
        </w:rPr>
        <w:t>POSSIBLE 2023:</w:t>
      </w:r>
      <w:r>
        <w:t xml:space="preserve"> A roadmap to estimating agricultural ammonia volatilization over Europe using satellite observations and simulation data — https://doi.org/10.5194/acp-23-12505-2023</w:t>
      </w:r>
    </w:p>
    <w:p>
      <w:pPr/>
      <w:r>
        <w:rPr>
          <w:b/>
        </w:rPr>
        <w:t>Shared claim-specific concepts:</w:t>
      </w:r>
      <w:r>
        <w:t xml:space="preserve"> simulations, show, increase; EU scope visible. This is a provisional connection, not an outcome finding.</w:t>
      </w:r>
    </w:p>
    <w:p>
      <w:pPr>
        <w:pStyle w:val="SourceNote"/>
      </w:pPr>
      <w:r>
        <w:rPr>
          <w:b/>
        </w:rPr>
        <w:t>Available abstract (not full text):</w:t>
      </w:r>
      <w:r>
        <w:t xml:space="preserve">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pPr/>
      <w:r>
        <w:rPr>
          <w:b/>
        </w:rPr>
        <w:t>POSSIBLE 2023:</w:t>
      </w:r>
      <w:r>
        <w:t xml:space="preserve"> Validating EURO-CORDEX climate simulations for modelling European wind power generation — https://doi.org/10.1016/j.renene.2023.118989</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pPr/>
      <w:r>
        <w:rPr>
          <w:b/>
        </w:rPr>
        <w:t>POSSIBLE 2022:</w:t>
      </w:r>
      <w:r>
        <w:t xml:space="preserve"> Numerical simulation of the impact of COVID-19 lockdown on tropospheric composition and aerosol radiative forcing in Europe — https://doi.org/10.5194/acp-22-10901-2022</w:t>
      </w:r>
    </w:p>
    <w:p>
      <w:pPr/>
      <w:r>
        <w:rPr>
          <w:b/>
        </w:rPr>
        <w:t>Shared claim-specific concepts:</w:t>
      </w:r>
      <w:r>
        <w:t xml:space="preserve"> mobility, increase, lower; EU scope visible. This is a provisional connection, not an outcome finding.</w:t>
      </w:r>
    </w:p>
    <w:p>
      <w:pPr>
        <w:pStyle w:val="SourceNote"/>
      </w:pPr>
      <w:r>
        <w:rPr>
          <w:b/>
        </w:rPr>
        <w:t>Available abstract (not full text):</w:t>
      </w:r>
      <w:r>
        <w:t xml:space="preserve"> Abstract. Aerosols influence the Earth’s energy balance through direct radiative effects and indirectly by altering the cloud micro-physics. Anthropogenic aerosol emissions dropped considerably when the global COVID–19 pandemic resulted in severe restraints on mobility, production, and public life in spring 2020. Here we assess the effects of these reduced emissions on direct and indirect aerosol radiative forcing over Europe, excluding contributions from contrails. We simulate the atmospheric com- position with the ECHAM5/MESSy Atmospheric Chemistry (EMAC) model in a baseline (business as usual) and a reduced emission scenario. The model results are compared to aircraft observations from the BLUESKY aircraft campaign performed in May/June 2020 over Europe. The model agrees well with most of the observations, except for sulfur dioxide, particulate sulfate and nitrate in the upper troposphere, likely due to a somewhat biased representation of stratospheric aerosol chemistry and missing information about volcanic eruptions which could have influenced the campaign. The comparison with a business as usual scenario shows that the largest relative differences for tracers and aerosols are found in the upper troposphere, around the aircraft cruise altitude, due to the reduced aircraft emissions, while the largest absolute changes are present at the surface. We also find an increase in </w:t>
      </w:r>
    </w:p>
    <w:p>
      <w:pPr/>
      <w:r>
        <w:rPr>
          <w:b/>
        </w:rPr>
        <w:t>POSSIBLE 2022:</w:t>
      </w:r>
      <w:r>
        <w:t xml:space="preserve"> The Effects of Soil Improving Cropping Systems (SICS) on Soil Erosion and Soil Organic Carbon Stocks across Europe: A Simulation Study — https://doi.org/10.3390/land11060943</w:t>
      </w:r>
    </w:p>
    <w:p>
      <w:pPr/>
      <w:r>
        <w:rPr>
          <w:b/>
        </w:rPr>
        <w:t>Shared claim-specific concepts:</w:t>
      </w:r>
      <w:r>
        <w:t xml:space="preserve"> simulations, show, without, increase; EU scope visible. This is a provisional connection, not an outcome finding.</w:t>
      </w:r>
    </w:p>
    <w:p>
      <w:pPr>
        <w:pStyle w:val="SourceNote"/>
      </w:pPr>
      <w:r>
        <w:rPr>
          <w:b/>
        </w:rPr>
        <w:t>Available abstract (not full text):</w:t>
      </w:r>
      <w:r>
        <w:t xml:space="preserve"> Healthy soils are fundamental for sustainable agriculture. Soil Improving Cropping Systems (SICS) aim to make land use and food production more sustainable. To evaluate the effect of SICS at EU scale, a modelling approach was taken. This study simulated the effects of SICS on two principal indicators of soil health (Soil Organic Carbon stocks) and land degradation (soil erosion) across Europe using the spatially explicit PESERA model. Four scenarios with varying levels and combinations of cover crops, mulching, soil compaction alleviation and minimum tillage were implemented and simulated until 2050. Results showed that while in the scenario without SICS, erosion slightly increased on average across Europe, it significantly decreased in the scenario with the highest level of SICS applied, especially in the cropping areas in the central European Loess Belt. Regarding SOC stocks, the simulations show a substantial decrease for the scenario without SICS and a slight overall decrease for the medium level scenario and the scenario with a mix of high, medium and no SICS. The scenario with a high level of SICS implementation showed an overall increase in SOC stocks across Europe. Potential future improvements include incorporating dynamic land use, climate change and an optimal spatial allocation of SICS.</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simulations, show, lower;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pStyle w:val="Heading2"/>
      </w:pPr>
      <w:r>
        <w:t>573.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2024:</w:t>
      </w:r>
      <w:r>
        <w:t xml:space="preserve"> Projection in Arabic: a typological overview — https://doi.org/10.1515/jwl-2024-0019</w:t>
      </w:r>
    </w:p>
    <w:p>
      <w:pPr/>
      <w:r>
        <w:rPr>
          <w:b/>
        </w:rPr>
        <w:t>Shared claim-specific concepts:</w:t>
      </w:r>
      <w:r>
        <w:t xml:space="preserve"> show, three, abstract, examines; EU scope not established. This is a provisional connection, not an outcome finding.</w:t>
      </w:r>
    </w:p>
    <w:p>
      <w:pPr>
        <w:pStyle w:val="SourceNote"/>
      </w:pPr>
      <w:r>
        <w:rPr>
          <w:b/>
        </w:rPr>
        <w:t>Available abstract (not full text):</w:t>
      </w:r>
      <w:r>
        <w:t xml:space="preserve">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pPr/>
      <w:r>
        <w:rPr>
          <w:b/>
        </w:rPr>
        <w:t>POSSIBLE 2023:</w:t>
      </w:r>
      <w:r>
        <w:t xml:space="preserve"> Projection in Politicians' Perceptions of Public Opinion — https://doi.org/10.1111/pops.12900</w:t>
      </w:r>
    </w:p>
    <w:p>
      <w:pPr/>
      <w:r>
        <w:rPr>
          <w:b/>
        </w:rPr>
        <w:t>Shared claim-specific concepts:</w:t>
      </w:r>
      <w:r>
        <w:t xml:space="preserve"> three, out, four, countries; EU scope visible. This is a provisional connection, not an outcome finding.</w:t>
      </w:r>
    </w:p>
    <w:p>
      <w:pPr>
        <w:pStyle w:val="SourceNote"/>
      </w:pPr>
      <w:r>
        <w:rPr>
          <w:b/>
        </w:rPr>
        <w:t>Available abstract (not full text):</w:t>
      </w:r>
      <w:r>
        <w:t xml:space="preserve">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pPr/>
      <w:r>
        <w:rPr>
          <w:b/>
        </w:rPr>
        <w:t>POSSIBLE 2023:</w:t>
      </w:r>
      <w:r>
        <w:t xml:space="preserve"> Global projections of flash drought show increased risk in a warming climate — https://doi.org/10.1038/s43247-023-00826-1</w:t>
      </w:r>
    </w:p>
    <w:p>
      <w:pPr/>
      <w:r>
        <w:rPr>
          <w:b/>
        </w:rPr>
        <w:t>Shared claim-specific concepts:</w:t>
      </w:r>
      <w:r>
        <w:t xml:space="preserve"> projections, show, expected, over, compared, abstract; EU scope visible. This is a provisional connection, not an outcome finding.</w:t>
      </w:r>
    </w:p>
    <w:p>
      <w:pPr>
        <w:pStyle w:val="SourceNote"/>
      </w:pPr>
      <w:r>
        <w:rPr>
          <w:b/>
        </w:rPr>
        <w:t>Available abstract (not full text):</w:t>
      </w:r>
      <w:r>
        <w:t xml:space="preserve">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pPr/>
      <w:r>
        <w:rPr>
          <w:b/>
        </w:rPr>
        <w:t>POSSIBLE 2023:</w:t>
      </w:r>
      <w:r>
        <w:t xml:space="preserve"> Super-resolution reconstruction for the three-dimensional turbulence flows with a back-projection network — https://doi.org/10.1063/5.0147902</w:t>
      </w:r>
    </w:p>
    <w:p>
      <w:pPr/>
      <w:r>
        <w:rPr>
          <w:b/>
        </w:rPr>
        <w:t>Shared claim-specific concepts:</w:t>
      </w:r>
      <w:r>
        <w:t xml:space="preserve"> show, three, recent; EU scope not established. This is a provisional connection, not an outcome finding.</w:t>
      </w:r>
    </w:p>
    <w:p>
      <w:pPr>
        <w:pStyle w:val="SourceNote"/>
      </w:pPr>
      <w:r>
        <w:rPr>
          <w:b/>
        </w:rPr>
        <w:t>Available abstract (not full text):</w:t>
      </w:r>
      <w:r>
        <w:t xml:space="preserve"> Recent attempts to employ deep learning technology for the super-resolution (SR) reconstruction of turbulence have focused chiefly on reconstructing two-dimensional (2D) slices of the three-dimensional (3D) flow fields. However, tomographic particle image velocimetry (Tomo-PIV) measurements yield 3D velocity fields. The resolutions of 3D velocity field data along three directions cannot be simultaneously enhanced using a 2D SR reconstruction model. Additionally, a 3D velocity flow field structure cannot be accurately reconstructed using a 2D model. Therefore, we present a 3D flow field SR reconstruction method (FSR-3D) based on a back-projection network. The FSR-3D model incorporates a multiscale convolutional residual block and an up-and-down projection module and establishes the mapping relationship between low-resolution features and high-resolution (HR) features through an iterative mechanism. The proposed model is validated using two experiments. First, the original velocity field is reconstructed from downsampled forced isotropic turbulence data. Second, the downsampled direct numerical simulation (DNS) data of a turbulent channel flow are used to reconstruct the HR flow field to verify the reconstruction capability of the FSR-3D model with respect to the flow field of the boundary layer. Third, Tomo-PIV measurements of the wake flow behind a circular cylinder are used to</w:t>
      </w:r>
    </w:p>
    <w:p>
      <w:pPr/>
      <w:r>
        <w:rPr>
          <w:b/>
        </w:rPr>
        <w:t>POSSIBLE 2023:</w:t>
      </w:r>
      <w:r>
        <w:t xml:space="preserve"> Global survey shows planners use widely varying sea-level rise projections for coastal adaptation — https://doi.org/10.1038/s43247-023-00703-x</w:t>
      </w:r>
    </w:p>
    <w:p>
      <w:pPr/>
      <w:r>
        <w:rPr>
          <w:b/>
        </w:rPr>
        <w:t>Shared claim-specific concepts:</w:t>
      </w:r>
      <w:r>
        <w:t xml:space="preserve"> projections, show, countries; EU scope not established. This is a provisional connection, not an outcome finding.</w:t>
      </w:r>
    </w:p>
    <w:p>
      <w:pPr>
        <w:pStyle w:val="SourceNote"/>
      </w:pPr>
      <w:r>
        <w:rPr>
          <w:b/>
        </w:rPr>
        <w:t>Available abstract (not full text):</w:t>
      </w:r>
      <w:r>
        <w:t xml:space="preserve"> Including sea-level rise (SLR) projections in planning and implementing coastal adaptation is crucial. Here we analyze the first global survey on the use of SLR projections for 2050 and 2100. Two-hundred and fifty-three coastal practitioners engaged in adaptation/planning from 49 countries provided complete answers to the survey which was distributed in nine languages - Arabic, Chinese, English, French, Hebrew, Japanese, Korean, Portuguese and Spanish. While recognition of the threat of SLR is almost universal, only 72% of respondents currently utilize SLR projections. Generally, developing countries have lower levels of utilization. There is no global standard in the use of SLR projections: for locations using a standard data structure, 53% are planning using a single projection, while the remainder are using multiple projections, with 13% considering a low-probability high-end scenario. Countries with histories of adaptation and consistent national support show greater assimilation of SLR projections into adaptation decisions. This research provides new insights about current planning practices and can inform important ongoing efforts on the application of the science that is essential to the promotion of effective adaptation.</w:t>
      </w:r>
    </w:p>
    <w:p>
      <w:pPr/>
      <w:r>
        <w:rPr>
          <w:b/>
        </w:rPr>
        <w:t>POSSIBLE 2022:</w:t>
      </w:r>
      <w:r>
        <w:t xml:space="preserve"> Ranked enumeration of join queries with projections — https://doi.org/10.14778/3510397.3510401</w:t>
      </w:r>
    </w:p>
    <w:p>
      <w:pPr/>
      <w:r>
        <w:rPr>
          <w:b/>
        </w:rPr>
        <w:t>Shared claim-specific concepts:</w:t>
      </w:r>
      <w:r>
        <w:t xml:space="preserve"> projections, show, three, over, recent; EU scope not established. This is a provisional connection, not an outcome finding.</w:t>
      </w:r>
    </w:p>
    <w:p>
      <w:pPr>
        <w:pStyle w:val="SourceNote"/>
      </w:pPr>
      <w:r>
        <w:rPr>
          <w:b/>
        </w:rPr>
        <w:t>Available abstract (not full text):</w:t>
      </w:r>
      <w:r>
        <w:t xml:space="preserve"> Join query evaluation with ordering is a fundamental data processing task in relational database management systems. SQL and custom graph query languages such as Cypher offer this functionality by allowing users to specify the order via the ORDER BY clause. In many scenarios, the users also want to see the firstkresults quickly (expressed by the LIMIT clause), but the value ofkis not predetermined as user queries are arriving in an online fashion. Recent work has made considerable progress in identifying optimal algorithms for ranked enumeration of join queries that donotcontain any projections. In this paper, we initiate the study of the problem of enumerating results in ranked order for querieswith projections.Our main result shows that for any acyclic query, it is possible to obtain a near-linear (in the size of the database) delay algorithm after only a linear time preprocessing step for two important ranking functions: sum and lexicographic ordering. For a practical subset of acyclic queries known as star queries, we show an even stronger result that allows a user to obtain a smooth tradeoff between faster answering time guarantees using more preprocessing time. Our results are also extensible to queries containing cycles and unions. We also perform a comprehensive experimental evaluation to demonstrate that our algorithms, which are simple to implement, improve up to thre</w:t>
      </w:r>
    </w:p>
    <w:p>
      <w:pPr>
        <w:pStyle w:val="Heading2"/>
      </w:pPr>
      <w:r>
        <w:t>574.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Energy Policy in the European Union within the European Green Deal Strategy — https://doi.org/10.18778/1508-2008.27.13</w:t>
      </w:r>
    </w:p>
    <w:p>
      <w:pPr/>
      <w:r>
        <w:rPr>
          <w:b/>
        </w:rPr>
        <w:t>Shared claim-specific concepts:</w:t>
      </w:r>
      <w:r>
        <w:t xml:space="preserve"> article, main, green, analyzed;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2023:</w:t>
      </w:r>
      <w:r>
        <w:t xml:space="preserve"> RETRACTED ARTICLE: Sustainable development economy and the development of green economy in the European Union — https://doi.org/10.1186/s13705-023-00410-7</w:t>
      </w:r>
    </w:p>
    <w:p>
      <w:pPr/>
      <w:r>
        <w:rPr>
          <w:b/>
        </w:rPr>
        <w:t>Shared claim-specific concepts:</w:t>
      </w:r>
      <w:r>
        <w:t xml:space="preserve"> article, present, main, challenges, green, economy; EU scope visible. This is a provisional connection, not an outcome finding.</w:t>
      </w:r>
    </w:p>
    <w:p>
      <w:pPr>
        <w:pStyle w:val="SourceNote"/>
      </w:pPr>
      <w:r>
        <w:rPr>
          <w:b/>
        </w:rPr>
        <w:t>Available abstract (not full text):</w:t>
      </w:r>
      <w:r>
        <w:t xml:space="preserve"> Abstract Background This study aims to explain the policies implemented by the European Union in transitioning to a green economy. It examines the period from the adoption of sustainable development within the Union to the present, focusing on the EU's strategies for sustainable development and the green economy. Main text The study reveals that the European Union has long recognized environmental problems and the impacts of climate change, starting from the 1990s. In response to the global crisis in 2008, the EU embraced the opportunity to build a dynamic, low-carbon, resource-efficient, knowledge-based, and socially inclusive society. Green investments were included in the EU's rescue plan, initiating the green transformation. The study explains the concepts of sustainable development, the green economy, and green growth. It discusses how the European Union implemented its green transformation, particularly through the examination of the European Green Deal. Furthermore, it explores the developments related to climate change and the green economy within the framework of the European 2020 strategy. Conclusions The findings highlight the European Union's commitment to addressing environmental challenges and transitioning to a green economy. Future research should focus on assessing the effectiveness of implemented policies and strategies in achieving sustainable development goa</w:t>
      </w:r>
    </w:p>
    <w:p>
      <w:pPr/>
      <w:r>
        <w:rPr>
          <w:b/>
        </w:rPr>
        <w:t>POSSIBLE 2022:</w:t>
      </w:r>
      <w:r>
        <w:t xml:space="preserve"> The Regional Development Trap in Europe — https://doi.org/10.1080/00130095.2022.2080655</w:t>
      </w:r>
    </w:p>
    <w:p>
      <w:pPr/>
      <w:r>
        <w:rPr>
          <w:b/>
        </w:rPr>
        <w:t>Shared claim-specific concepts:</w:t>
      </w:r>
      <w:r>
        <w:t xml:space="preserve"> article, challenges;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Green Deal — https://doi.org/10.33919/yldnbu.20.9.12</w:t>
      </w:r>
    </w:p>
    <w:p>
      <w:pPr/>
      <w:r>
        <w:rPr>
          <w:b/>
        </w:rPr>
        <w:t>Shared claim-specific concepts:</w:t>
      </w:r>
      <w:r>
        <w:t xml:space="preserve"> article, present, main, challenges, green, economy; EU scope visible. This is a provisional connection, not an outcome finding.</w:t>
      </w:r>
    </w:p>
    <w:p>
      <w:pPr>
        <w:pStyle w:val="SourceNote"/>
      </w:pPr>
      <w:r>
        <w:rPr>
          <w:b/>
        </w:rPr>
        <w:t>Available abstract (not full text):</w:t>
      </w:r>
      <w:r>
        <w:t xml:space="preserve"> This article aims to present the main objectives and characteristics of the European Green Deal, which is a kind of roadmap for achieving the sustainability of the EU economy by turning climate and environmental challenges into opportunities in all policy areas, through a just and inclusive transition for all. The implementation of this roadmap provides for actions to use resources efficiently by moving to a circular economy, reducing biodiversity loss and diminishing pollution. The roadmap also sets out the necessary investments and financial instruments and the need to ensure a just and inclusive transition. Transforming the economy of the European Union (EU) into a resource-efficient economy in which economic growth is not directly linked to the use of resources, based on the cessation of net emissions by 2050. The European Green Deal outlines a plan for this transformative change.</w:t>
      </w:r>
    </w:p>
    <w:p>
      <w:pPr/>
      <w:r>
        <w:rPr>
          <w:b/>
        </w:rPr>
        <w:t>POSSIBLE 2022:</w:t>
      </w:r>
      <w:r>
        <w:t xml:space="preserve"> Professional development of teacher educators in Europe and Myanmar — https://doi.org/10.5937/andstud2201083l</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learning opportunities for teacher educators should respond to individual professional needs, but also prepare educators for new developments in (teacher) learning, (teacher) education and the teaching profession (Smith, 2003). To communicate the needs of society, the professional development and the lifelong learning of teacher educators are essential. This article aims to discuss the different approaches to the professional development of teacher educators, an overview of the European policies and country-specific studies, and observe and analyse professional development (PD) activities for teacher educators that create strategies to ensure quality education in Myanmar. It is found that compared to some European countries, it should provide opportunities for international professional networks and research projects to promote positive research culture. Moreover, sufficient financial support for developing a practical knowledge base for Myanmar teacher educators is needed. Finally, we present some suggestions for effective professional development pathways for teacher educators in Myanmar.</w:t>
      </w:r>
    </w:p>
    <w:p>
      <w:pPr/>
      <w:r>
        <w:rPr>
          <w:b/>
        </w:rPr>
        <w:t>POSSIBLE 2022:</w:t>
      </w:r>
      <w:r>
        <w:t xml:space="preserve"> Introduction: Teaching and Learning ‘Europe’ in ‘the Periphery’: Disciplinary, Educational and Cognitive Boundaries of European Studies — https://doi.org/10.30950/jcer.v18i2.1292</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This introductory article argues that there is a need to introduce a renewed approach to the field of European Studies which takes into account various perspectives from the ‘periphery’ to unfold complexities and challenges of teaching and learning ‘Europe’ away from the immediate geographical and conceptual focus of the European studies. By elaborating on the notion of ‘periphery’ and exploring how European Studies resonate beyond ‘the centre’, we aim to explore the complexities and challenges of the European studies in its relationality of the broader processes such as EU accession and global university education. This endeavour will contribute to the ongoing disciplinary debate on the future of European studies as well as the introduction of new methods of teaching and knowledge production by presenting alternative narratives on the challenges of the European integration and Europeanisation in the ‘periphery’.</w:t>
      </w:r>
    </w:p>
    <w:p>
      <w:pPr>
        <w:pStyle w:val="Heading2"/>
      </w:pPr>
      <w:r>
        <w:t>575.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2023:</w:t>
      </w:r>
      <w:r>
        <w:t xml:space="preserve"> Justification of military neutrality of the Republic of Serbia at a time of erosion of neutrality in Europe — https://doi.org/10.5937/spm82-46850</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pPr/>
      <w:r>
        <w:rPr>
          <w:b/>
        </w:rPr>
        <w:t>POSSIBLE 2023:</w:t>
      </w:r>
      <w:r>
        <w:t xml:space="preserve"> Strategies of US foreign policy at the end of the 20-th – at the beginning of the 21-st centuries — https://doi.org/10.24144/2307-3322.2022.76.2.30</w:t>
      </w:r>
    </w:p>
    <w:p>
      <w:pPr/>
      <w:r>
        <w:rPr>
          <w:b/>
        </w:rPr>
        <w:t>Shared claim-specific concepts:</w:t>
      </w:r>
      <w:r>
        <w:t xml:space="preserve"> beginning, republic, energy, transition; EU scope visible. This is a provisional connection, not an outcome finding.</w:t>
      </w:r>
    </w:p>
    <w:p>
      <w:pPr>
        <w:pStyle w:val="SourceNote"/>
      </w:pPr>
      <w:r>
        <w:rPr>
          <w:b/>
        </w:rPr>
        <w:t>Available abstract (not full text):</w:t>
      </w:r>
      <w:r>
        <w:t xml:space="preserve">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pPr/>
      <w:r>
        <w:rPr>
          <w:b/>
        </w:rPr>
        <w:t>POSSIBLE 2023:</w:t>
      </w:r>
      <w:r>
        <w:t xml:space="preserve"> Assessing waste management efficiency in the European Union: A focus on the Slovak Republic — https://doi.org/10.19040/ecocycles.v9i2.285</w:t>
      </w:r>
    </w:p>
    <w:p>
      <w:pPr/>
      <w:r>
        <w:rPr>
          <w:b/>
        </w:rPr>
        <w:t>Shared claim-specific concepts:</w:t>
      </w:r>
      <w:r>
        <w:t xml:space="preserve"> republic, adopted, energy; EU scope visible. This is a provisional connection, not an outcome finding.</w:t>
      </w:r>
    </w:p>
    <w:p>
      <w:pPr>
        <w:pStyle w:val="SourceNote"/>
      </w:pPr>
      <w:r>
        <w:rPr>
          <w:b/>
        </w:rPr>
        <w:t>Available abstract (not full text):</w:t>
      </w:r>
      <w:r>
        <w:t xml:space="preserve">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pPr/>
      <w:r>
        <w:rPr>
          <w:b/>
        </w:rPr>
        <w:t>POSSIBLE 2022:</w:t>
      </w:r>
      <w:r>
        <w:t xml:space="preserve"> Agrarian strategy and policy of the Republic of Serbia — https://doi.org/10.5937/ekopolj2203897l</w:t>
      </w:r>
    </w:p>
    <w:p>
      <w:pPr/>
      <w:r>
        <w:rPr>
          <w:b/>
        </w:rPr>
        <w:t>Shared claim-specific concepts:</w:t>
      </w:r>
      <w:r>
        <w:t xml:space="preserve"> strategy, republic, two; EU scope visible. This is a provisional connection, not an outcome finding.</w:t>
      </w:r>
    </w:p>
    <w:p>
      <w:pPr>
        <w:pStyle w:val="SourceNote"/>
      </w:pPr>
      <w:r>
        <w:rPr>
          <w:b/>
        </w:rPr>
        <w:t>Available abstract (not full text):</w:t>
      </w:r>
      <w:r>
        <w:t xml:space="preserve">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pPr/>
      <w:r>
        <w:rPr>
          <w:b/>
        </w:rPr>
        <w:t>POSSIBLE 2022:</w:t>
      </w:r>
      <w:r>
        <w:t xml:space="preserve"> Functioning of market and trade in the Republic of Kosovo — https://doi.org/10.53730/ijhs.v6ns8.13282</w:t>
      </w:r>
    </w:p>
    <w:p>
      <w:pPr/>
      <w:r>
        <w:rPr>
          <w:b/>
        </w:rPr>
        <w:t>Shared claim-specific concepts:</w:t>
      </w:r>
      <w:r>
        <w:t xml:space="preserve"> beginning, republic, accelerated; EU scope visible. This is a provisional connection, not an outcome finding.</w:t>
      </w:r>
    </w:p>
    <w:p>
      <w:pPr>
        <w:pStyle w:val="SourceNote"/>
      </w:pPr>
      <w:r>
        <w:rPr>
          <w:b/>
        </w:rPr>
        <w:t>Available abstract (not full text):</w:t>
      </w:r>
      <w:r>
        <w:t xml:space="preserve">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pPr/>
      <w:r>
        <w:rPr>
          <w:b/>
        </w:rPr>
        <w:t>POSSIBLE 2022:</w:t>
      </w:r>
      <w:r>
        <w:t xml:space="preserve"> DIMENSIONS OF THE FEDERAL REPUBLIC OF GERMANY SECURITY AND DEFENCE POLICY. A CHRONOLOGICAL PERSPECTIVE — https://doi.org/10.53477/2284-9378-22-77</w:t>
      </w:r>
    </w:p>
    <w:p>
      <w:pPr/>
      <w:r>
        <w:rPr>
          <w:b/>
        </w:rPr>
        <w:t>Shared claim-specific concepts:</w:t>
      </w:r>
      <w:r>
        <w:t xml:space="preserve"> beginning, strategy, republic; EU scope visible. This is a provisional connection, not an outcome finding.</w:t>
      </w:r>
    </w:p>
    <w:p>
      <w:pPr>
        <w:pStyle w:val="SourceNote"/>
      </w:pPr>
      <w:r>
        <w:rPr>
          <w:b/>
        </w:rPr>
        <w:t>Available abstract (not full text):</w:t>
      </w:r>
      <w:r>
        <w:t xml:space="preserve">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pStyle w:val="Heading2"/>
      </w:pPr>
      <w:r>
        <w:t>576.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2024:</w:t>
      </w:r>
      <w:r>
        <w:t xml:space="preserve"> Urban labs beyond Europe: the formation and contextualization of experimental climate governance in five Latin American cities — https://doi.org/10.1177/09562478241230462</w:t>
      </w:r>
    </w:p>
    <w:p>
      <w:pPr/>
      <w:r>
        <w:rPr>
          <w:b/>
        </w:rPr>
        <w:t>Shared claim-specific concepts:</w:t>
      </w:r>
      <w:r>
        <w:t xml:space="preserve"> based, findings, five, developed, framework, however; EU scope visible. This is a provisional connection, not an outcome finding.</w:t>
      </w:r>
    </w:p>
    <w:p>
      <w:pPr>
        <w:pStyle w:val="SourceNote"/>
      </w:pPr>
      <w:r>
        <w:rPr>
          <w:b/>
        </w:rPr>
        <w:t>Available abstract (not full text):</w:t>
      </w:r>
      <w:r>
        <w:t xml:space="preserve">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pPr/>
      <w:r>
        <w:rPr>
          <w:b/>
        </w:rPr>
        <w:t>POSSIBLE 2024:</w:t>
      </w:r>
      <w:r>
        <w:t xml:space="preserve"> Evaluation of Colon Capsule Utilisation in Europe—CAPTURE EU Survey Findings — https://doi.org/10.3390/jcm14010099</w:t>
      </w:r>
    </w:p>
    <w:p>
      <w:pPr/>
      <w:r>
        <w:rPr>
          <w:b/>
        </w:rPr>
        <w:t>Shared claim-specific concepts:</w:t>
      </w:r>
      <w:r>
        <w:t xml:space="preserve"> findings, full, but; EU scope visible. This is a provisional connection, not an outcome finding.</w:t>
      </w:r>
    </w:p>
    <w:p>
      <w:pPr>
        <w:pStyle w:val="SourceNote"/>
      </w:pPr>
      <w:r>
        <w:rPr>
          <w:b/>
        </w:rPr>
        <w:t>Available abstract (not full text):</w:t>
      </w:r>
      <w:r>
        <w:t xml:space="preserve">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based, findings, five, improving, framework;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Accounting for forest condition in Europe based on an international statistical standard — https://doi.org/10.1038/s41467-023-39434-0</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pPr/>
      <w:r>
        <w:rPr>
          <w:b/>
        </w:rPr>
        <w:t>POSSIBLE 2023:</w:t>
      </w:r>
      <w:r>
        <w:t xml:space="preserve"> Head and neck cancers survival in Europe, Taiwan, and Japan: results from RARECAREnet Asia based on a privacy-preserving federated infrastructure — https://doi.org/10.3389/fonc.2023.1219111</w:t>
      </w:r>
    </w:p>
    <w:p>
      <w:pPr/>
      <w:r>
        <w:rPr>
          <w:b/>
        </w:rPr>
        <w:t>Shared claim-specific concepts:</w:t>
      </w:r>
      <w:r>
        <w:t xml:space="preserve"> based, findings, but; EU scope visible. This is a provisional connection, not an outcome finding.</w:t>
      </w:r>
    </w:p>
    <w:p>
      <w:pPr>
        <w:pStyle w:val="SourceNote"/>
      </w:pPr>
      <w:r>
        <w:rPr>
          <w:b/>
        </w:rPr>
        <w:t>Available abstract (not full text):</w:t>
      </w:r>
      <w:r>
        <w:t xml:space="preserve">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coordination, but;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Forest-based climate change mitigation and adaptation in Europe — https://doi.org/10.36333/fs14</w:t>
      </w:r>
    </w:p>
    <w:p>
      <w:pPr/>
      <w:r>
        <w:rPr>
          <w:b/>
        </w:rPr>
        <w:t>Shared claim-specific concepts:</w:t>
      </w:r>
      <w:r>
        <w:t xml:space="preserve"> efficiency, increased;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findings, action, but, however;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2022:</w:t>
      </w:r>
      <w:r>
        <w:t xml:space="preserve"> The Future of Wood Construction: Opportunities and Barriers Based on Surveys in Europe and Chile — https://doi.org/10.3390/su14074358</w:t>
      </w:r>
    </w:p>
    <w:p>
      <w:pPr/>
      <w:r>
        <w:rPr>
          <w:b/>
        </w:rPr>
        <w:t>Shared claim-specific concepts:</w:t>
      </w:r>
      <w:r>
        <w:t xml:space="preserve"> based, findings, increased; EU scope visible. This is a provisional connection, not an outcome finding.</w:t>
      </w:r>
    </w:p>
    <w:p>
      <w:pPr>
        <w:pStyle w:val="SourceNote"/>
      </w:pPr>
      <w:r>
        <w:rPr>
          <w:b/>
        </w:rPr>
        <w:t>Available abstract (not full text):</w:t>
      </w:r>
      <w:r>
        <w:t xml:space="preserve">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pPr/>
      <w:r>
        <w:rPr>
          <w:b/>
        </w:rPr>
        <w:t>POSSIBLE 2022:</w:t>
      </w:r>
      <w:r>
        <w:t xml:space="preserve"> A model-based Approach to Affordable Housing in Europe — https://doi.org/10.15396/eres2022_215</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Housing affordability is one of the most pressing issues in urban areas. During the Covid 19 pandemic, this problem spread to surrounding and more rural areas due to changing demand dynamics. At the same time, the economic downturn has exacerbated challenges for certain tenant groups. Based on an adapted Social Business Model Canvas, we are working with student groups on an interdisciplinary project to look at the entire affordable housing value chain from both the user perspective and the perspective of private and public housing companies, i.e., from design and planning to construction, operation, and redevelopment. The aim is to identify the main variables for achieving affordable housing prices, the interdependencies between them and their respective manifestations in Germany and five other European countries: Netherlands, Italy, Austria, Denmark and the United Kingdom. Based on this, we derive limits and drivers of value creation as well as potentials for the realization of affordable rents or housing costs. The Affordable Housing issues examined in each country are: Definition of 'affordable housing' and characteristics, needs and quantity of the most relevant user groups. Building conditions, structural-functional designs, and construction costs for Affordable Housing. Characteristics and business models of investors or providers of affordable housing. Legal framework / </w:t>
      </w:r>
    </w:p>
    <w:p>
      <w:pPr>
        <w:pStyle w:val="Heading2"/>
      </w:pPr>
      <w:r>
        <w:t>577.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r>
        <w:rPr>
          <w:b/>
        </w:rPr>
        <w:t>POSSIBLE 2024:</w:t>
      </w:r>
      <w:r>
        <w:t xml:space="preserve"> Building Blocks of the European Union’s Strategy for Climate Neutrality — https://doi.org/10.1017/9781009341493.003</w:t>
      </w:r>
    </w:p>
    <w:p>
      <w:pPr/>
      <w:r>
        <w:rPr>
          <w:b/>
        </w:rPr>
        <w:t>Shared claim-specific concepts:</w:t>
      </w:r>
      <w:r>
        <w:t xml:space="preserve"> climate, neutrality, union, energy; EU scope visible. This is a provisional connection, not an outcome finding.</w:t>
      </w:r>
    </w:p>
    <w:p>
      <w:pPr>
        <w:pStyle w:val="SourceNote"/>
      </w:pPr>
      <w:r>
        <w:rPr>
          <w:b/>
        </w:rPr>
        <w:t>Available abstract (not full text):</w:t>
      </w:r>
      <w:r>
        <w:t xml:space="preserve">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pPr/>
      <w:r>
        <w:rPr>
          <w:b/>
        </w:rPr>
        <w:t>POSSIBLE 2024:</w:t>
      </w:r>
      <w:r>
        <w:t xml:space="preserve"> EUROPEAN LANDSCAPE OF CLIMATE LAW — https://doi.org/10.46299/979-8-89504-809-2.3</w:t>
      </w:r>
    </w:p>
    <w:p>
      <w:pPr/>
      <w:r>
        <w:rPr>
          <w:b/>
        </w:rPr>
        <w:t>Shared claim-specific concepts:</w:t>
      </w:r>
      <w:r>
        <w:t xml:space="preserve"> achievement, climate, neutrality, union, not, reduction;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Moving Waste Sector Towards Climate Neutrality. Scenario Analysis — https://doi.org/10.7250/conect.2024.100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pPr/>
      <w:r>
        <w:rPr>
          <w:b/>
        </w:rPr>
        <w:t>POSSIBLE 2023:</w:t>
      </w:r>
      <w:r>
        <w:t xml:space="preserve"> Three decades of EU climate policy: Racing toward climate neutrality? — https://doi.org/10.1002/wcc.863</w:t>
      </w:r>
    </w:p>
    <w:p>
      <w:pPr/>
      <w:r>
        <w:rPr>
          <w:b/>
        </w:rPr>
        <w:t>Shared claim-specific concepts:</w:t>
      </w:r>
      <w:r>
        <w:t xml:space="preserve"> climate, neutrality, union, energy, renewable, goals; EU scope visible. This is a provisional connection, not an outcome finding.</w:t>
      </w:r>
    </w:p>
    <w:p>
      <w:pPr>
        <w:pStyle w:val="SourceNote"/>
      </w:pPr>
      <w:r>
        <w:rPr>
          <w:b/>
        </w:rPr>
        <w:t>Available abstract (not full text):</w:t>
      </w:r>
      <w:r>
        <w:t xml:space="preserve">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pStyle w:val="Heading2"/>
      </w:pPr>
      <w:r>
        <w:t>578.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r>
        <w:rPr>
          <w:b/>
        </w:rPr>
        <w:t>POSSIBLE 2024:</w:t>
      </w:r>
      <w:r>
        <w:t xml:space="preserve"> INTRODUCTORY PREFACE: Publication Patterns of the Central European Public Administration Review – A Bibliometric Analysis — https://doi.org/10.17573/cepar.2024.1.01</w:t>
      </w:r>
    </w:p>
    <w:p>
      <w:pPr/>
      <w:r>
        <w:rPr>
          <w:b/>
        </w:rPr>
        <w:t>Shared claim-specific concepts:</w:t>
      </w:r>
      <w:r>
        <w:t xml:space="preserve"> article, introductory, two; EU scope visible. This is a provisional connection, not an outcome finding.</w:t>
      </w:r>
    </w:p>
    <w:p>
      <w:pPr>
        <w:pStyle w:val="SourceNote"/>
      </w:pPr>
      <w:r>
        <w:rPr>
          <w:b/>
        </w:rPr>
        <w:t>Available abstract (not full text):</w:t>
      </w:r>
      <w:r>
        <w:t xml:space="preserve">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pPr/>
      <w:r>
        <w:rPr>
          <w:b/>
        </w:rPr>
        <w:t>POSSIBLE 2024:</w:t>
      </w:r>
      <w:r>
        <w:t xml:space="preserve"> Śvetāśvatara-Upaniṣad 1.1-16 / Translation from Sanskrit, Introductory Article and Commentaries by Yu. Zavhorodnii — https://doi.org/10.15407/orientw2024.03.292</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pPr/>
      <w:r>
        <w:rPr>
          <w:b/>
        </w:rPr>
        <w:t>POSSIBLE 2022:</w:t>
      </w:r>
      <w:r>
        <w:t xml:space="preserve"> Transport policies and business practices during COVID-19 and their impact on the management of new transport mobility systems – introductory part — https://doi.org/10.3846/bm.2022.890</w:t>
      </w:r>
    </w:p>
    <w:p>
      <w:pPr/>
      <w:r>
        <w:rPr>
          <w:b/>
        </w:rPr>
        <w:t>Shared claim-specific concepts:</w:t>
      </w:r>
      <w:r>
        <w:t xml:space="preserve"> article, introductory, developed; EU scope visible. This is a provisional connection, not an outcome finding.</w:t>
      </w:r>
    </w:p>
    <w:p>
      <w:pPr>
        <w:pStyle w:val="SourceNote"/>
      </w:pPr>
      <w:r>
        <w:rPr>
          <w:b/>
        </w:rPr>
        <w:t>Available abstract (not full text):</w:t>
      </w:r>
      <w:r>
        <w:t xml:space="preserve">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pPr/>
      <w:r>
        <w:rPr>
          <w:b/>
        </w:rPr>
        <w:t>POSSIBLE 2022:</w:t>
      </w:r>
      <w:r>
        <w:t xml:space="preserve"> Must Introductory Genetics Start with Mendel? — https://doi.org/10.1007/s11191-022-00361-z</w:t>
      </w:r>
    </w:p>
    <w:p>
      <w:pPr/>
      <w:r>
        <w:rPr>
          <w:b/>
        </w:rPr>
        <w:t>Shared claim-specific concepts:</w:t>
      </w:r>
      <w:r>
        <w:t xml:space="preserve"> introductory, two, developed; EU scope not established. This is a provisional connection, not an outcome finding.</w:t>
      </w:r>
    </w:p>
    <w:p>
      <w:pPr>
        <w:pStyle w:val="SourceNote"/>
      </w:pPr>
      <w:r>
        <w:rPr>
          <w:b/>
        </w:rPr>
        <w:t>Available abstract (not full text):</w:t>
      </w:r>
      <w:r>
        <w:t xml:space="preserve">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pStyle w:val="Heading2"/>
      </w:pPr>
      <w:r>
        <w:t>579.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2023:</w:t>
      </w:r>
      <w:r>
        <w:t xml:space="preserve"> A methodology to explore the road safety impact of fitness to drive solutions for commercial drivers: The PANACEA project — https://doi.org/10.1016/j.trpro.2023.02.241</w:t>
      </w:r>
    </w:p>
    <w:p>
      <w:pPr/>
      <w:r>
        <w:rPr>
          <w:b/>
        </w:rPr>
        <w:t>Shared claim-specific concepts:</w:t>
      </w:r>
      <w:r>
        <w:t xml:space="preserve"> monitoring, system, health, drivers; EU scope visible. This is a provisional connection, not an outcome finding.</w:t>
      </w:r>
    </w:p>
    <w:p>
      <w:pPr>
        <w:pStyle w:val="SourceNote"/>
      </w:pPr>
      <w:r>
        <w:rPr>
          <w:b/>
        </w:rPr>
        <w:t>Available abstract (not full text):</w:t>
      </w:r>
      <w:r>
        <w:t xml:space="preserve">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pPr/>
      <w:r>
        <w:rPr>
          <w:b/>
        </w:rPr>
        <w:t>POSSIBLE 2022:</w:t>
      </w:r>
      <w:r>
        <w:t xml:space="preserve"> Interventions to increase linkage to care and adherence to treatment for hepatitis C among people who inject drugs: A systematic review and practical considerations from an expert panel consultation — https://doi.org/10.1016/j.drugpo.2022.103588</w:t>
      </w:r>
    </w:p>
    <w:p>
      <w:pPr/>
      <w:r>
        <w:rPr>
          <w:b/>
        </w:rPr>
        <w:t>Shared claim-specific concepts:</w:t>
      </w:r>
      <w:r>
        <w:t xml:space="preserve"> emcdda, activities, increase, health, areas; EU scope not established. This is a provisional connection, not an outcome finding.</w:t>
      </w:r>
    </w:p>
    <w:p>
      <w:pPr>
        <w:pStyle w:val="SourceNote"/>
      </w:pPr>
      <w:r>
        <w:rPr>
          <w:b/>
        </w:rPr>
        <w:t>Available abstract (not full text):</w:t>
      </w:r>
      <w:r>
        <w:t xml:space="preserve">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580.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2023:</w:t>
      </w:r>
      <w:r>
        <w:t xml:space="preserve"> “The heat of a multitudinous assembly”: Striking short fiction and the rise of feminist potencia — https://doi.org/10.1111/lic3.12740</w:t>
      </w:r>
    </w:p>
    <w:p>
      <w:pPr/>
      <w:r>
        <w:rPr>
          <w:b/>
        </w:rPr>
        <w:t>Shared claim-specific concepts:</w:t>
      </w:r>
      <w:r>
        <w:t xml:space="preserve"> based, potencia, energy, potential; EU scope not established. This is a provisional connection, not an outcome finding.</w:t>
      </w:r>
    </w:p>
    <w:p>
      <w:pPr>
        <w:pStyle w:val="SourceNote"/>
      </w:pPr>
      <w:r>
        <w:rPr>
          <w:b/>
        </w:rPr>
        <w:t>Available abstract (not full text):</w:t>
      </w:r>
      <w:r>
        <w:t xml:space="preserve">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pStyle w:val="Heading2"/>
      </w:pPr>
      <w:r>
        <w:t>581.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2025:</w:t>
      </w:r>
      <w:r>
        <w:t xml:space="preserve"> Decadal Prediction for the European Energy Sector — https://doi.org/10.1002/met.70054</w:t>
      </w:r>
    </w:p>
    <w:p>
      <w:pPr/>
      <w:r>
        <w:rPr>
          <w:b/>
        </w:rPr>
        <w:t>Shared claim-specific concepts:</w:t>
      </w:r>
      <w:r>
        <w:t xml:space="preserve"> power, sector, share, electricity, wind, climate; EU scope visible. This is a provisional connection, not an outcome finding.</w:t>
      </w:r>
    </w:p>
    <w:p>
      <w:pPr>
        <w:pStyle w:val="SourceNote"/>
      </w:pPr>
      <w:r>
        <w:rPr>
          <w:b/>
        </w:rPr>
        <w:t>Available abstract (not full text):</w:t>
      </w:r>
      <w:r>
        <w:t xml:space="preserve">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pPr/>
      <w:r>
        <w:rPr>
          <w:b/>
        </w:rPr>
        <w:t>POSSIBLE 2025:</w:t>
      </w:r>
      <w:r>
        <w:t xml:space="preserve"> Decoupling carbon emissions from power sector growth in Indonesia — https://doi.org/10.1007/s44274-025-00426-0</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pPr/>
      <w:r>
        <w:rPr>
          <w:b/>
        </w:rPr>
        <w:t>POSSIBLE 2024:</w:t>
      </w:r>
      <w:r>
        <w:t xml:space="preserve"> What pace for direct electrification? Insights from co-optimised pathways in the European chemical and power sector — https://doi.org/10.1016/j.ecmx.2024.100839</w:t>
      </w:r>
    </w:p>
    <w:p>
      <w:pPr/>
      <w:r>
        <w:rPr>
          <w:b/>
        </w:rPr>
        <w:t>Shared claim-specific concepts:</w:t>
      </w:r>
      <w:r>
        <w:t xml:space="preserve"> power, sector, decarbonised, climate, energy; EU scope visible. This is a provisional connection, not an outcome finding.</w:t>
      </w:r>
    </w:p>
    <w:p>
      <w:pPr>
        <w:pStyle w:val="SourceNote"/>
      </w:pPr>
      <w:r>
        <w:rPr>
          <w:b/>
        </w:rPr>
        <w:t>Available abstract (not full text):</w:t>
      </w:r>
      <w:r>
        <w:t xml:space="preserve">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pPr/>
      <w:r>
        <w:rPr>
          <w:b/>
        </w:rPr>
        <w:t>POSSIBLE 2024:</w:t>
      </w:r>
      <w:r>
        <w:t xml:space="preserve"> Analysis of the power sector in Bangladesh: current trends, challenges, and future perspectives — https://doi.org/10.11591/eei.v13i6.7503</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pPr/>
      <w:r>
        <w:rPr>
          <w:b/>
        </w:rPr>
        <w:t>POSSIBLE 2024:</w:t>
      </w:r>
      <w:r>
        <w:t xml:space="preserve"> Environmental Violations in the Power Sector: Accountability and Community Welfare — https://doi.org/10.67929/ecgi-fin-1019-2024</w:t>
      </w:r>
    </w:p>
    <w:p>
      <w:pPr/>
      <w:r>
        <w:rPr>
          <w:b/>
        </w:rPr>
        <w:t>Shared claim-specific concepts:</w:t>
      </w:r>
      <w:r>
        <w:t xml:space="preserve"> power, sector, electricity; EU scope not established. This is a provisional connection, not an outcome finding.</w:t>
      </w:r>
    </w:p>
    <w:p>
      <w:pPr>
        <w:pStyle w:val="SourceNote"/>
      </w:pPr>
      <w:r>
        <w:rPr>
          <w:b/>
        </w:rPr>
        <w:t>Available abstract (not full text):</w:t>
      </w:r>
      <w:r>
        <w:t xml:space="preserve">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pPr/>
      <w:r>
        <w:rPr>
          <w:b/>
        </w:rPr>
        <w:t>POSSIBLE 2024:</w:t>
      </w:r>
      <w:r>
        <w:t xml:space="preserve"> Enlightening Bangladesh: Navigating power sector challenges through PPP excellence — https://doi.org/10.24294/jipd.v8i3.2529</w:t>
      </w:r>
    </w:p>
    <w:p>
      <w:pPr/>
      <w:r>
        <w:rPr>
          <w:b/>
        </w:rPr>
        <w:t>Shared claim-specific concepts:</w:t>
      </w:r>
      <w:r>
        <w:t xml:space="preserve"> power, sector, electricity, energy; EU scope not established. This is a provisional connection, not an outcome finding.</w:t>
      </w:r>
    </w:p>
    <w:p>
      <w:pPr>
        <w:pStyle w:val="SourceNote"/>
      </w:pPr>
      <w:r>
        <w:rPr>
          <w:b/>
        </w:rPr>
        <w:t>Available abstract (not full text):</w:t>
      </w:r>
      <w:r>
        <w:t xml:space="preserve"> As Bangladesh faces its current energy crisis, public-private partnerships (PPPs) emerge as a promising solution, bridging the strengths of both sectors toward a brighter, more electrified future. This research focuses on the challenges in Bangladesh’s power sector: increasing electricity demand and the imperative for a consistent supply of renewable energy sources. The research employs content analysis, exploring various aspects, including policy documents, regulatory frameworks, stakeholder engagements, and resource assessments, with a specific focus on three key variables: regulatory framework, stakeholder engagement, and informed policymaking. Drawing on the ‘resource-based view’ theory, the study emphasizes the significance of ‘mitigating resource risks’ through ‘resource assessment.’ Empirical support is derived from an extensive review of literature in reputable journals and research articles, enhancing the research’s credibility with real-world evidence. The study provides a practical roadmap for stakeholders navigating Bangladesh’s power sector, addressing energy challenges, and promoting sustainability.</w:t>
      </w:r>
    </w:p>
    <w:p>
      <w:pPr/>
      <w:r>
        <w:rPr>
          <w:b/>
        </w:rPr>
        <w:t>POSSIBLE 2023:</w:t>
      </w:r>
      <w:r>
        <w:t xml:space="preserve"> Concentration of asset owners exposed to power sector stranded assets may trigger climate policy resistance — https://doi.org/10.1038/s41467-023-42031-w</w:t>
      </w:r>
    </w:p>
    <w:p>
      <w:pPr/>
      <w:r>
        <w:rPr>
          <w:b/>
        </w:rPr>
        <w:t>Shared claim-specific concepts:</w:t>
      </w:r>
      <w:r>
        <w:t xml:space="preserve"> power, sector, share, climate, energy; EU scope visible. This is a provisional connection, not an outcome finding.</w:t>
      </w:r>
    </w:p>
    <w:p>
      <w:pPr>
        <w:pStyle w:val="SourceNote"/>
      </w:pPr>
      <w:r>
        <w:rPr>
          <w:b/>
        </w:rPr>
        <w:t>Available abstract (not full text):</w:t>
      </w:r>
      <w:r>
        <w:t xml:space="preserve"> Thoroughly assessing the owners and distribution of stranded assets in a 2 °C scenario is essential to anticipate climate policy resistance. We employ novel data to analyze owners and incidence of asset stranding in the power sector globally. We show that Asia-Pacific, Europe, and the US are highly exposed to stranded assets, especially coal plants. Stranded assets are highly concentrated in a few asset owners in some countries (e.g., India). Even if owners are more equally exposed (e.g., in the US) they can vary considerably in the asset stranding timing due to differences in plant fleets' age profile. European, US, and Chinese asset owners own large shares of stranded coal plants abroad. Listed owners may face stranded assets of up to 78% of their share price or more than 80% of their equity. Asset stranding exposure positively correlates with ownership of alternative energy assets. India stands out owning many stranded assets but little alternative energy.</w:t>
      </w:r>
    </w:p>
    <w:p>
      <w:pPr/>
      <w:r>
        <w:rPr>
          <w:b/>
        </w:rPr>
        <w:t>POSSIBLE 2023:</w:t>
      </w:r>
      <w:r>
        <w:t xml:space="preserve"> Decarbonization of Power and Industrial Sectors: The Role of Membrane Processes — https://doi.org/10.3390/membranes13020130</w:t>
      </w:r>
    </w:p>
    <w:p>
      <w:pPr/>
      <w:r>
        <w:rPr>
          <w:b/>
        </w:rPr>
        <w:t>Shared claim-specific concepts:</w:t>
      </w:r>
      <w:r>
        <w:t xml:space="preserve"> power, climate; EU scope not established. This is a provisional connection, not an outcome finding.</w:t>
      </w:r>
    </w:p>
    <w:p>
      <w:pPr>
        <w:pStyle w:val="SourceNote"/>
      </w:pPr>
      <w:r>
        <w:rPr>
          <w:b/>
        </w:rPr>
        <w:t>Available abstract (not full text):</w:t>
      </w:r>
      <w:r>
        <w:t xml:space="preserve"> Carbon dioxide (CO2) is the single largest contributor to climate change due to its increased emissions since global industrialization began. Carbon Capture, Storage, and Utilization (CCSU) is regarded as a promising strategy to mitigate climate change, reducing the atmospheric concentration of CO2 from power and industrial activities. Post-combustion carbon capture (PCC) is necessary to implement CCSU into existing facilities without changing the combustion block. In this study, the recent research on various PCC technologies is discussed, along with the membrane technology for PCC, emphasizing the different types of membranes and their gas separation performances. Additionally, an overall comparison of membrane separation technology with respect to other PCC methods is implemented based on six different key parameters—CO2 purity and recovery, technological maturity, scalability, environmental concerns, and capital and operational expenditures. In general, membrane separation is found to be the most competitive technique in conventional absorption as long as the highly-performed membrane materials and the technology itself reach the full commercialization stage. Recent updates on the main characteristics of different flue gas streams and the Technology Readiness Levels (TRL) of each PCC technology are also provided with a brief discussion of their latest progresses.</w:t>
      </w:r>
    </w:p>
    <w:p>
      <w:pPr/>
      <w:r>
        <w:rPr>
          <w:b/>
        </w:rPr>
        <w:t>POSSIBLE 2023:</w:t>
      </w:r>
      <w:r>
        <w:t xml:space="preserve"> Decarbonizing the European energy system in the absence of Russian gas: Hydrogen uptake and carbon capture developments in the power, heat and industry sectors — https://doi.org/10.1016/j.jclepro.2023.140473</w:t>
      </w:r>
    </w:p>
    <w:p>
      <w:pPr/>
      <w:r>
        <w:rPr>
          <w:b/>
        </w:rPr>
        <w:t>Shared claim-specific concepts:</w:t>
      </w:r>
      <w:r>
        <w:t xml:space="preserve"> power, sector, climate, energy, targets; EU scope visible. This is a provisional connection, not an outcome finding.</w:t>
      </w:r>
    </w:p>
    <w:p>
      <w:pPr>
        <w:pStyle w:val="SourceNote"/>
      </w:pPr>
      <w:r>
        <w:rPr>
          <w:b/>
        </w:rPr>
        <w:t>Available abstract (not full text):</w:t>
      </w:r>
      <w:r>
        <w:t xml:space="preserve"> Hydrogen and carbon capture and storage are pivotal to decarbonize the European energy system in a broad range of pathway scenarios. Yet, their timely uptake in different sectors and distribution across countries are affected by supply options of renewable and fossil energy sources. Here, we analyze the decarbonization of the European energy system towards 2060, covering the power, heat, and industry sectors, and the change in use of hydrogen and carbon capture and storage in these sectors upon Europe’s decoupling from Russian gas. The results indicate that the use of gas is significantly reduced in the power sector, instead being replaced by coal with carbon capture and storage, and with a further expansion of renewable generators. Coal coupled with carbon capture and storage is also used in the steel sector as an intermediary step when Russian gas is neglected, before being fully decarbonized with hydrogen. Hydrogen production mostly relies on natural gas with carbon capture and storage until natural gas is scarce and costly at which time green hydrogen production increases sharply. The disruption of Russian gas imports has significant consequences on the decarbonization pathways for Europe, with local energy sources and carbon capture and storage becoming even more important. Given the highlighted importance of carbon capture and storage in reaching the climate targets, it i</w:t>
      </w:r>
    </w:p>
    <w:p>
      <w:pPr/>
      <w:r>
        <w:rPr>
          <w:b/>
        </w:rPr>
        <w:t>POSSIBLE 2023:</w:t>
      </w:r>
      <w:r>
        <w:t xml:space="preserve"> The landscape of European policies in the power sector: first-mover advantages — https://doi.org/10.1007/s11027-023-10081-6</w:t>
      </w:r>
    </w:p>
    <w:p>
      <w:pPr/>
      <w:r>
        <w:rPr>
          <w:b/>
        </w:rPr>
        <w:t>Shared claim-specific concepts:</w:t>
      </w:r>
      <w:r>
        <w:t xml:space="preserve"> power, sector, electricity, climate, energy, targets; EU scope visible. This is a provisional connection, not an outcome finding.</w:t>
      </w:r>
    </w:p>
    <w:p>
      <w:pPr>
        <w:pStyle w:val="SourceNote"/>
      </w:pPr>
      <w:r>
        <w:rPr>
          <w:b/>
        </w:rPr>
        <w:t>Available abstract (not full text):</w:t>
      </w:r>
      <w:r>
        <w:t xml:space="preserve"> Abstract In order to achieve the commonly agreed emission reduction target, the European Commission called upon the member states to submit National Energy and Climate Plans to ensure increased transparency for the respective national targets and strategies. An analysis of these plans shows that some member states have declared ambitious emission reductions targets, as well as technology-specific phaseout policies in the power sector. A transformation to a climate-friendly system requires considerable investment, the question arises if there are benefits to be in the vanguard. We find that countries may have an incentive to outperform in the development of a low-carbon electricity system.</w:t>
      </w:r>
    </w:p>
    <w:p>
      <w:pPr/>
      <w:r>
        <w:rPr>
          <w:b/>
        </w:rPr>
        <w:t>POSSIBLE 2023:</w:t>
      </w:r>
      <w:r>
        <w:t xml:space="preserve"> Power sector impacts of a simultaneous European heat pump rollout — https://doi.org/10.48550/arxiv.2312.06589</w:t>
      </w:r>
    </w:p>
    <w:p>
      <w:pPr/>
      <w:r>
        <w:rPr>
          <w:b/>
        </w:rPr>
        <w:t>Shared claim-specific concepts:</w:t>
      </w:r>
      <w:r>
        <w:t xml:space="preserve"> power, sector, electricity, wind, energy; EU scope visible. This is a provisional connection, not an outcome finding.</w:t>
      </w:r>
    </w:p>
    <w:p>
      <w:pPr>
        <w:pStyle w:val="SourceNote"/>
      </w:pPr>
      <w:r>
        <w:rPr>
          <w:b/>
        </w:rPr>
        <w:t>Available abstract (not full text):</w:t>
      </w:r>
      <w:r>
        <w:t xml:space="preserve"> The decarbonization of buildings requires the phase-out of fossil fuel heating systems. Heat pumps are considered a crucial technology to supply a substantial part of heating energy for buildings. Yet, their introduction is not without challenges, as heat pumps generate additional electricity demand as well as peak loads. To better understand these challenges, an ambitious simultaneous heat pump rollout in several central European countries with an hourly-resolved capacity expansion model of the power sector is studied. I assess the structure of hours and periods of peak heat demands and their concurrence with hours and periods of peak residual load. In a 2030 scenario, I find that meeting 25% of total heat demand in buildings with heat pumps would be covered best with additional wind power generation capacities. I also identify the important role of small thermal energy storage that could reduce the need for additional firm generation capacity. Due to the co-occurrence of heat demand, interconnection between countries does not substantially reduce the additional generation capacities needed for heat pump deployment. Based on six different weather years, my analysis cautions against relying on results based on a single weather year.</w:t>
      </w:r>
    </w:p>
    <w:p>
      <w:pPr>
        <w:pStyle w:val="Heading2"/>
      </w:pPr>
      <w:r>
        <w:t>582.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pStyle w:val="Heading2"/>
      </w:pPr>
      <w:r>
        <w:t>583.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r>
        <w:rPr>
          <w:b/>
        </w:rPr>
        <w:t>POSSIBLE 2024:</w:t>
      </w:r>
      <w:r>
        <w:t xml:space="preserve"> Price prediction of polyester yarn based on multiple linear regression model — https://doi.org/10.1371/journal.pone.0310355</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pPr/>
      <w:r>
        <w:rPr>
          <w:b/>
        </w:rPr>
        <w:t>POSSIBLE 2024:</w:t>
      </w:r>
      <w:r>
        <w:t xml:space="preserve"> Enterprise Value Valuation—BYD as an Example Based on SWOT Model and Multiple Regression Model — https://doi.org/10.17265/2328-2185/2024.04.001</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pPr/>
      <w:r>
        <w:rPr>
          <w:b/>
        </w:rPr>
        <w:t>POSSIBLE 2023:</w:t>
      </w:r>
      <w:r>
        <w:t xml:space="preserve"> Estimation of Cloudiness Data Based on Multiple Linear Regression Model — https://doi.org/10.31466/kfbd.1150879</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pPr/>
      <w:r>
        <w:rPr>
          <w:b/>
        </w:rPr>
        <w:t>POSSIBLE 2023:</w:t>
      </w:r>
      <w:r>
        <w:t xml:space="preserve"> Biosafety management strategy based on multiple linear regression model — https://doi.org/10.2478/amns.2023.1.00362</w:t>
      </w:r>
    </w:p>
    <w:p>
      <w:pPr/>
      <w:r>
        <w:rPr>
          <w:b/>
        </w:rPr>
        <w:t>Shared claim-specific concepts:</w:t>
      </w:r>
      <w:r>
        <w:t xml:space="preserve"> based, multiple, regression, major; EU scope not established. This is a provisional connection, not an outcome finding.</w:t>
      </w:r>
    </w:p>
    <w:p>
      <w:pPr>
        <w:pStyle w:val="SourceNote"/>
      </w:pPr>
      <w:r>
        <w:rPr>
          <w:b/>
        </w:rPr>
        <w:t>Available abstract (not full text):</w:t>
      </w:r>
      <w:r>
        <w:t xml:space="preserve">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pPr/>
      <w:r>
        <w:rPr>
          <w:b/>
        </w:rPr>
        <w:t>POSSIBLE 2023:</w:t>
      </w:r>
      <w:r>
        <w:t xml:space="preserve"> Development of Multiple Linear Regression Models for Predicting Chronic Iron Toxicity to Aquatic Organisms — https://doi.org/10.1002/etc.5623</w:t>
      </w:r>
    </w:p>
    <w:p>
      <w:pPr/>
      <w:r>
        <w:rPr>
          <w:b/>
        </w:rPr>
        <w:t>Shared claim-specific concepts:</w:t>
      </w:r>
      <w:r>
        <w:t xml:space="preserve"> based, multiple, regression, approach; EU scope visible. This is a provisional connection, not an outcome finding.</w:t>
      </w:r>
    </w:p>
    <w:p>
      <w:pPr>
        <w:pStyle w:val="SourceNote"/>
      </w:pPr>
      <w:r>
        <w:rPr>
          <w:b/>
        </w:rPr>
        <w:t>Available abstract (not full text):</w:t>
      </w:r>
      <w:r>
        <w:t xml:space="preserve"> Abstract We developed multiple linear regression (MLR) models for predicting iron (Fe) toxicity to aquatic organisms for use in deriving site-specific water quality guidelines (WQGs). The effects of dissolved organic carbon (DOC), hardness, and pH on Fe toxicity to three representative taxa (Ceriodaphnia dubia, Pimephales promelas, and Raphidocelis subcapitata) were evaluated. Both DOC and pH were identified as toxicity-modifying factors (TMFs) for P. promelas and R. subcapitata, whereas only DOC was a TMF for C. dubia. The MLR models based on effective concentration 10% and 20% values were developed and performed reasonably well, with adjusted R2 of 0.68–0.89 across all species and statistical endpoints. Differences among species in the MLR models precluded development of a pooled model. Instead, the species-specific models were assumed to be representative of invertebrates, fish, and algae and were applied accordingly to normalize toxicity data. The species sensitivity distribution (SSD) included standard laboratory toxicity data and effects data from mesocosm experiments on aquatic insects, with aquatic insects being the predominant taxa in the lowest quartile of the SSD. Using the European Union approach for deriving WQGs, application of MLR models to this SSD resulted in WQGs ranging from 114 to 765 μg l−1 Fe across the TMF conditions evaluated (DOC: 0.5–10 mg l−1; pH: 6.0</w:t>
      </w:r>
    </w:p>
    <w:p>
      <w:pPr/>
      <w:r>
        <w:rPr>
          <w:b/>
        </w:rPr>
        <w:t>POSSIBLE 2023:</w:t>
      </w:r>
      <w:r>
        <w:t xml:space="preserve"> Calculation and Analysis of Green GDP based on EWM and Multiple Linear Regression Model — https://doi.org/10.54097/hbem.v12i.8383</w:t>
      </w:r>
    </w:p>
    <w:p>
      <w:pPr/>
      <w:r>
        <w:rPr>
          <w:b/>
        </w:rPr>
        <w:t>Shared claim-specific concepts:</w:t>
      </w:r>
      <w:r>
        <w:t xml:space="preserve"> based, multiple, regression, scale; EU scope not established. This is a provisional connection, not an outcome finding.</w:t>
      </w:r>
    </w:p>
    <w:p>
      <w:pPr>
        <w:pStyle w:val="SourceNote"/>
      </w:pPr>
      <w:r>
        <w:rPr>
          <w:b/>
        </w:rPr>
        <w:t>Available abstract (not full text):</w:t>
      </w:r>
      <w:r>
        <w:t xml:space="preserve"> With the acceleration of the industrialization process, global problems such as resource shortage and ecological environment deterioration have become increasingly prominent. To uphold the concept of sustainable development, a real, feasible and scientific indicator: green GDP needs to be established urgently. But it is still difficult to promote green GDP on a global scale due to a lack of ideas and technology. In order to calculate and predict GGDP, resource and environmental factors are taken into account. Based on entropy weight method (EWM) and multiple linear regression, an improved global GGDP accounting method is constructed. The future development should pay attention to pollution prevention and ecological environment protection.</w:t>
      </w:r>
    </w:p>
    <w:p>
      <w:pPr/>
      <w:r>
        <w:rPr>
          <w:b/>
        </w:rPr>
        <w:t>POSSIBLE 2023:</w:t>
      </w:r>
      <w:r>
        <w:t xml:space="preserve"> Investment Demand Forecast for Grid Companies Based on Multiple Linear Regression Analysis — https://doi.org/10.4108/eai.19-5-2023.2334303</w:t>
      </w:r>
    </w:p>
    <w:p>
      <w:pPr/>
      <w:r>
        <w:rPr>
          <w:b/>
        </w:rPr>
        <w:t>Shared claim-specific concepts:</w:t>
      </w:r>
      <w:r>
        <w:t xml:space="preserve"> based, multiple, regression, population; EU scope not established. This is a provisional connection, not an outcome finding.</w:t>
      </w:r>
    </w:p>
    <w:p>
      <w:pPr>
        <w:pStyle w:val="SourceNote"/>
      </w:pPr>
      <w:r>
        <w:rPr>
          <w:b/>
        </w:rPr>
        <w:t>Available abstract (not full text):</w:t>
      </w:r>
      <w:r>
        <w:t xml:space="preserve"> Grid investment demand refers to the investment made by provincial power companies to ensure that strategic projects and decisions are steadily promoted, while building a safe and reliable grid according to the needs of social and economic development. First, the role of population, GDP, total energ</w:t>
      </w:r>
    </w:p>
    <w:p>
      <w:pPr>
        <w:pStyle w:val="Heading2"/>
      </w:pPr>
      <w:r>
        <w:t>584.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European Union/United Kingdom — https://doi.org/10.1093/law/9780198849155.003.0063</w:t>
      </w:r>
    </w:p>
    <w:p>
      <w:pPr/>
      <w:r>
        <w:rPr>
          <w:b/>
        </w:rPr>
        <w:t>Shared claim-specific concepts:</w:t>
      </w:r>
      <w:r>
        <w:t xml:space="preserve"> application, looks, three, role; EU scope visible. This is a provisional connection, not an outcome finding.</w:t>
      </w:r>
    </w:p>
    <w:p>
      <w:pPr>
        <w:pStyle w:val="SourceNote"/>
      </w:pPr>
      <w:r>
        <w:rPr>
          <w:b/>
        </w:rPr>
        <w:t>Available abstract (not full text):</w:t>
      </w:r>
      <w:r>
        <w:t xml:space="preserve">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pPr/>
      <w:r>
        <w:rPr>
          <w:b/>
        </w:rPr>
        <w:t>POSSIBLE 2021:</w:t>
      </w:r>
      <w:r>
        <w:t xml:space="preserve"> Complex Projects and Transition-Driven Evaluation: The Case of the easyRights European Project — https://doi.org/10.3390/su13042343</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More and more, the evaluation of complex projects is being related to the capacity of the project to deal with crucial social, economic, and environmental issues that society is responsible for and with the activation of systemic changes. Within this “mission” perspective, growing attention is given to learning in action. This paper aims at (i) conceptualizing a methodological framework for complex project evaluation within the context of the Triple-Loop Learning mechanism and (ii) showing its application in a European project as well as including the toolbox developed in coherence with the elaborated framework. It does so by looking at the case of an ongoing Horizon 2020 project aiming to develop language-oriented technologies supporting the inclusion of migrants in Europe. In particular, the paper looks at Triple-Loop Learning as pushed by the reflection on three dimensions: the “what”, the “how”, and the “why” of collective actions in complex projects. The consequent learning process is expected to have transformational potentials at the individual, institutional/organizational, and (in the long term) up to the societal scale. By exploring the opportunities offered by the evaluation tools in the easyRights project, the study highlights the potential of nurturing a wider, arguably neglected as yet, learning space for understanding, engaging, and transforming real contexts and</w:t>
      </w:r>
    </w:p>
    <w:p>
      <w:pPr>
        <w:pStyle w:val="Heading2"/>
      </w:pPr>
      <w:r>
        <w:t>585.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2022:</w:t>
      </w:r>
      <w:r>
        <w:t xml:space="preserve"> ‘Confused about Predicting whether This Kid is Good or Not’ — https://doi.org/10.53088/eej.v1i2.556</w:t>
      </w:r>
    </w:p>
    <w:p>
      <w:pPr/>
      <w:r>
        <w:rPr>
          <w:b/>
        </w:rPr>
        <w:t>Shared claim-specific concepts:</w:t>
      </w:r>
      <w:r>
        <w:t xml:space="preserve"> not, about, predicting; EU scope not established. This is a provisional connection, not an outcome finding.</w:t>
      </w:r>
    </w:p>
    <w:p>
      <w:pPr>
        <w:pStyle w:val="SourceNote"/>
      </w:pPr>
      <w:r>
        <w:rPr>
          <w:b/>
        </w:rPr>
        <w:t>Available abstract (not full text):</w:t>
      </w:r>
      <w:r>
        <w:t xml:space="preserve">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pPr/>
      <w:r>
        <w:rPr>
          <w:b/>
        </w:rPr>
        <w:t>POSSIBLE 2021:</w:t>
      </w:r>
      <w:r>
        <w:t xml:space="preserve"> What big data in health care can teach us about predictive policing — https://doi.org/10.4324/9780429265365-6</w:t>
      </w:r>
    </w:p>
    <w:p>
      <w:pPr/>
      <w:r>
        <w:rPr>
          <w:b/>
        </w:rPr>
        <w:t>Shared claim-specific concepts:</w:t>
      </w:r>
      <w:r>
        <w:t xml:space="preserve"> about, forefront, come; EU scope not established. This is a provisional connection, not an outcome finding.</w:t>
      </w:r>
    </w:p>
    <w:p>
      <w:pPr>
        <w:pStyle w:val="SourceNote"/>
      </w:pPr>
      <w:r>
        <w:rPr>
          <w:b/>
        </w:rPr>
        <w:t>Available abstract (not full text):</w:t>
      </w:r>
      <w:r>
        <w:t xml:space="preserve"> The chapter examines how the established use of predictive analytics in one field—policing—can offer insights for its newer application in another—health care—and vice versa. Predictive policing has now been around for decades, employed by police departments across the United States and studied by scholars and policymakers alike. The use of predictive analytics in health care, by contrast, is only now starting to come to the forefront of the profession. Placing the fields side-by-side reveals substantial and important areas of overlap: the balance between privacy and innovation; how professional roles must adapt to new technologies; when reliance on big data changes from blessing to curse; how regulatory regimes should evolve; and many more. As we explore, to the degree that lessons can be learned from this dialogue, they go in both directions.</w:t>
      </w:r>
    </w:p>
    <w:p>
      <w:pPr/>
      <w:r>
        <w:rPr>
          <w:b/>
        </w:rPr>
        <w:t>POSSIBLE 2021:</w:t>
      </w:r>
      <w:r>
        <w:t xml:space="preserve"> Communication processes about predictive genetic testing within high-risk breast cancer families: a two-phase study design — https://doi.org/10.1038/s41598-021-98737-8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Abstract Background: The detection of a pathogenic variant in the BRCA1 or BRCA2 gene has medical and psychological consequences for both, affected mutation carriers and their relatives. This study analyzed the psychological impact of genetic testing and mutation-positive test result as well as associated family communication processes from the perspective of BRCA1 or BRCA2 mutation carriers and their family members.Methods: We conducted a two-phase study with explanatory sequential mixed methods design to understand the perspective of psychological process regarding genetic testing more efficiently. First, we analyzed a survey data of 79 carriers of a BRCA1 or BRCA2 mutation. Second, we conducted focus group interviews of 10 family members to deepen understanding of communication processes in high-risk families.Results: The average age of the BRCA1 or BRCA2 mutation carriers was 48 years, 58% had a history of cancer. The majority (64.6%) had general psychological distress independent of cancer diagnosis in the patients’ history. The point prevalence of depression was 16.9%. The main motives for undergoing genetic testing were desire for safety, prevention and risk assessment for the own children. The mutation carriers were satisfied with the decision to undergo genetic testing. Contrary to their subjective perception, the respondents' knowledge about those mutations was modera</w:t>
      </w:r>
    </w:p>
    <w:p>
      <w:pPr>
        <w:pStyle w:val="Heading2"/>
      </w:pPr>
      <w:r>
        <w:t>586.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2021:</w:t>
      </w:r>
      <w:r>
        <w:t xml:space="preserve"> Early Detection of Failing Automotive Batteries Using Gas Sensors — https://doi.org/10.3390/batteries7020025</w:t>
      </w:r>
    </w:p>
    <w:p>
      <w:pPr/>
      <w:r>
        <w:rPr>
          <w:b/>
        </w:rPr>
        <w:t>Shared claim-specific concepts:</w:t>
      </w:r>
      <w:r>
        <w:t xml:space="preserve"> produced, failing, case; EU scope not established. This is a provisional connection, not an outcome finding.</w:t>
      </w:r>
    </w:p>
    <w:p>
      <w:pPr>
        <w:pStyle w:val="SourceNote"/>
      </w:pPr>
      <w:r>
        <w:rPr>
          <w:b/>
        </w:rPr>
        <w:t>Available abstract (not full text):</w:t>
      </w:r>
      <w:r>
        <w:t xml:space="preserve">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pPr/>
      <w:r>
        <w:rPr>
          <w:b/>
        </w:rPr>
        <w:t>POSSIBLE 2021:</w:t>
      </w:r>
      <w:r>
        <w:t xml:space="preserve"> Influence of Aging on the Failing Behavior of Automotive Lithium-Ion Batteries — https://doi.org/10.3390/batteries7020023</w:t>
      </w:r>
    </w:p>
    <w:p>
      <w:pPr/>
      <w:r>
        <w:rPr>
          <w:b/>
        </w:rPr>
        <w:t>Shared claim-specific concepts:</w:t>
      </w:r>
      <w:r>
        <w:t xml:space="preserve"> three, produced, failing; EU scope not established. This is a provisional connection, not an outcome finding.</w:t>
      </w:r>
    </w:p>
    <w:p>
      <w:pPr>
        <w:pStyle w:val="SourceNote"/>
      </w:pPr>
      <w:r>
        <w:rPr>
          <w:b/>
        </w:rPr>
        <w:t>Available abstract (not full text):</w:t>
      </w:r>
      <w:r>
        <w:t xml:space="preserve">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pPr/>
      <w:r>
        <w:rPr>
          <w:b/>
        </w:rPr>
        <w:t>POSSIBLE 2021:</w:t>
      </w:r>
      <w:r>
        <w:t xml:space="preserve"> Failure and failing, an ethos of the (self) exiled? The case of the playwright William Saroyan — https://doi.org/10.4000/agon.8325</w:t>
      </w:r>
    </w:p>
    <w:p>
      <w:pPr/>
      <w:r>
        <w:rPr>
          <w:b/>
        </w:rPr>
        <w:t>Shared claim-specific concepts:</w:t>
      </w:r>
      <w:r>
        <w:t xml:space="preserve"> failing, case, status; EU scope not established. This is a provisional connection, not an outcome finding.</w:t>
      </w:r>
    </w:p>
    <w:p>
      <w:pPr>
        <w:pStyle w:val="SourceNote"/>
      </w:pPr>
      <w:r>
        <w:rPr>
          <w:b/>
        </w:rPr>
        <w:t>Available abstract (not full text):</w:t>
      </w:r>
      <w:r>
        <w:t xml:space="preserve">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pStyle w:val="Heading2"/>
      </w:pPr>
      <w:r>
        <w:t>587.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used, regional, climate, simulations, euro-cordex, rcp8;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regional, climate, present;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r>
        <w:rPr>
          <w:b/>
        </w:rPr>
        <w:t>POSSIBLE 2025:</w:t>
      </w:r>
      <w:r>
        <w:t xml:space="preserve"> Local Climate Risks in sight of realistic climate targets: Projecting Co-occurrence of Heat Extremes in Central Europe Using Downscaled CMIP6 and Regional Scenarios — https://doi.org/10.5194/ems2025-241</w:t>
      </w:r>
    </w:p>
    <w:p>
      <w:pPr/>
      <w:r>
        <w:rPr>
          <w:b/>
        </w:rPr>
        <w:t>Shared claim-specific concepts:</w:t>
      </w:r>
      <w:r>
        <w:t xml:space="preserve"> regional, climate, warming, levels, case; EU scope visible. This is a provisional connection, not an outcome finding.</w:t>
      </w:r>
    </w:p>
    <w:p>
      <w:pPr>
        <w:pStyle w:val="SourceNote"/>
      </w:pPr>
      <w:r>
        <w:rPr>
          <w:b/>
        </w:rPr>
        <w:t>Available abstract (not full text):</w:t>
      </w:r>
      <w:r>
        <w:t xml:space="preserve">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Assessing the effects of heat and droughts on forest-climate interactions in Europe using a regional climate model with an interactively coupled vegetation module — https://doi.org/10.5194/egusphere-egu24-10675</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effects of heat and droughts on forest-climate interactions in Europe using a regional climate model with an interactively coupled vegetation module — https://doi.org/10.5281/zenodo.20128050</w:t>
      </w:r>
    </w:p>
    <w:p>
      <w:pPr/>
      <w:r>
        <w:rPr>
          <w:b/>
        </w:rPr>
        <w:t>Shared claim-specific concepts:</w:t>
      </w:r>
      <w:r>
        <w:t xml:space="preserve"> regional, climate, simulations, euro-cordex, between; EU scope visible. This is a provisional connection, not an outcome finding.</w:t>
      </w:r>
    </w:p>
    <w:p>
      <w:pPr>
        <w:pStyle w:val="SourceNote"/>
      </w:pPr>
      <w:r>
        <w:rPr>
          <w:b/>
        </w:rPr>
        <w:t>Available abstract (not full text):</w:t>
      </w:r>
      <w:r>
        <w:t xml:space="preserve">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regional, climate, simulations, between;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regional, climate, simulations;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Did the Bronze Age deforestation of Europe affect its climate? A regional climate model study using pollen-based land cover reconstructions — https://doi.org/10.5194/cp-19-1507-2023</w:t>
      </w:r>
    </w:p>
    <w:p>
      <w:pPr/>
      <w:r>
        <w:rPr>
          <w:b/>
        </w:rPr>
        <w:t>Shared claim-specific concepts:</w:t>
      </w:r>
      <w:r>
        <w:t xml:space="preserve"> used, regional, climate, simulations, representing, between; EU scope visible. This is a provisional connection, not an outcome finding.</w:t>
      </w:r>
    </w:p>
    <w:p>
      <w:pPr>
        <w:pStyle w:val="SourceNote"/>
      </w:pPr>
      <w:r>
        <w:rPr>
          <w:b/>
        </w:rPr>
        <w:t>Available abstract (not full text):</w:t>
      </w:r>
      <w:r>
        <w:t xml:space="preserve"> Abstract. This paper studies the impact of land use and land-cover change (LULCC) on the climate around 2 500 years ago (2.5 ka), a period of rapid transitions across the European landscape. One global climate model was used to force two regional climate models (RCMs). The RCMs used two land cover descriptions. The first was from a dynamical vegetation model representing potential land cover; the second a land cover description reconstructed from pollen data by statistical interpolation. The two different land covers enable us to study the impact of land cover on climate conditions. Since the difference in landscape openness between potential and reconstructed land cover is mostly due to LULCC, this can be taken as a measure of early anthropogenic effects on climate. The use of two RCMs enables us to study how sensitive climate models can be to land-cover changes. The results show that the simulated 2.5 ka climate was warmer than the simulated pre-industrial (PI) climate. The largest differences are seen in northern Europe, where the 2.5 ka climate is 2–4 °C warmer than PI. In summer, the difference between the simulated 2.5 ka and PI climates is smaller (0–3 °C), with the smallest differences in southern Europe. Differences in seasonal precipitation are mostly within ±10 %. In parts of northern Europe, the 2.5 ka climate is up to 30 % wetter in winter than that of PI. In summe</w:t>
      </w:r>
    </w:p>
    <w:p>
      <w:pPr/>
      <w:r>
        <w:rPr>
          <w:b/>
        </w:rPr>
        <w:t>POSSIBLE 2023:</w:t>
      </w:r>
      <w:r>
        <w:t xml:space="preserve"> Review of "High resolution LGM climate over Europe and the Alpine region using the regional climate model WRF" by E. Russo and coauthors — https://doi.org/10.5194/egusphere-2023-1197-rc2</w:t>
      </w:r>
    </w:p>
    <w:p>
      <w:pPr/>
      <w:r>
        <w:rPr>
          <w:b/>
        </w:rPr>
        <w:t>Shared claim-specific concepts:</w:t>
      </w:r>
      <w:r>
        <w:t xml:space="preserve"> used, regional, climate, case, between, present;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Supplementary material to "High resolution LGM climate over Europe and the Alpine region using the regional climate model WRF" — https://doi.org/10.5194/egusphere-2023-1197-supplement</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Unavailable</w:t>
      </w:r>
    </w:p>
    <w:p>
      <w:pPr>
        <w:pStyle w:val="Heading2"/>
      </w:pPr>
      <w:r>
        <w:t>588.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2023:</w:t>
      </w:r>
      <w:r>
        <w:t xml:space="preserve"> Contesting Europe: Eurosceptic Dissent and Integration Polarization in the European Parliament — https://doi.org/10.1111/jcms.13448</w:t>
      </w:r>
    </w:p>
    <w:p>
      <w:pPr/>
      <w:r>
        <w:rPr>
          <w:b/>
        </w:rPr>
        <w:t>Shared claim-specific concepts:</w:t>
      </w:r>
      <w:r>
        <w:t xml:space="preserve"> abstract, article, provides, comprehensive; EU scope visible. This is a provisional connection, not an outcome finding.</w:t>
      </w:r>
    </w:p>
    <w:p>
      <w:pPr>
        <w:pStyle w:val="SourceNote"/>
      </w:pPr>
      <w:r>
        <w:rPr>
          <w:b/>
        </w:rPr>
        <w:t>Available abstract (not full text):</w:t>
      </w:r>
      <w:r>
        <w:t xml:space="preserve">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pPr/>
      <w:r>
        <w:rPr>
          <w:b/>
        </w:rPr>
        <w:t>POSSIBLE 2023:</w:t>
      </w:r>
      <w:r>
        <w:t xml:space="preserve"> Selective European Solidarity: How Recipient Country Characteristics Shape Support for International Redistribution in Europe — https://doi.org/10.1111/jcms.13506</w:t>
      </w:r>
    </w:p>
    <w:p>
      <w:pPr/>
      <w:r>
        <w:rPr>
          <w:b/>
        </w:rPr>
        <w:t>Shared claim-specific concepts:</w:t>
      </w:r>
      <w:r>
        <w:t xml:space="preserve"> abstract, article, union, also; EU scope visible. This is a provisional connection, not an outcome finding.</w:t>
      </w:r>
    </w:p>
    <w:p>
      <w:pPr>
        <w:pStyle w:val="SourceNote"/>
      </w:pPr>
      <w:r>
        <w:rPr>
          <w:b/>
        </w:rPr>
        <w:t>Available abstract (not full text):</w:t>
      </w:r>
      <w:r>
        <w:t xml:space="preserve">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pPr/>
      <w:r>
        <w:rPr>
          <w:b/>
        </w:rPr>
        <w:t>POSSIBLE 2022:</w:t>
      </w:r>
      <w:r>
        <w:t xml:space="preserve"> Two Ways of Completing the European Fundamental Rights Union: Amendment to vs. Reinterpretation of Article 51 of the EU Charter of Fundamental Rights — https://doi.org/10.1017/cel.2022.5</w:t>
      </w:r>
    </w:p>
    <w:p>
      <w:pPr/>
      <w:r>
        <w:rPr>
          <w:b/>
        </w:rPr>
        <w:t>Shared claim-specific concepts:</w:t>
      </w:r>
      <w:r>
        <w:t xml:space="preserve"> abstract, article, union, law, also; EU scope visible. This is a provisional connection, not an outcome finding.</w:t>
      </w:r>
    </w:p>
    <w:p>
      <w:pPr>
        <w:pStyle w:val="SourceNote"/>
      </w:pPr>
      <w:r>
        <w:rPr>
          <w:b/>
        </w:rPr>
        <w:t>Available abstract (not full text):</w:t>
      </w:r>
      <w:r>
        <w:t xml:space="preserve"> Abstract The aim of this Article is to show that the enforcement of Article 2 of the Treaty on European Union (‘TEU’) values vis-à-vis Member States could benefit from the application of the EU Charter of Fundamental Rights (‘CFR’) also in instances where the current interpretation of Article 51(1) CFR prevents this. This would be the case if the CFR were also applicable to purely domestic cases, eg—but not only—with regard to fundamental rights-relevant violations related to the values enshrined in Article 2 TEU. In this case, the European Court of Justice, which has already partly taken this path recently, could prevent the violation of core EU values. The most important historical challenge to those values in Europe today is the systematic dismantling of the rule of law and democracy in certain Member States. It is the very purpose of fundamental rights to provide answers to such dangers. When one speaks of the rule of law and democracy, one necessarily also means fundamental rights. This Article thus advocates an EU which perceives itself as a complete fundamental rights union. While the traditional interpretation of Article 51(1) CFR had a balanced division of competence between the EU and its Member States in mind, the disregard of Article 2 TEU values triggers a clausula rebus sic stantibus: the neat federal balance can only be upheld if both ends stick to the original p</w:t>
      </w:r>
    </w:p>
    <w:p>
      <w:pPr/>
      <w:r>
        <w:rPr>
          <w:b/>
        </w:rPr>
        <w:t>POSSIBLE 2022:</w:t>
      </w:r>
      <w:r>
        <w:t xml:space="preserve"> Wind erosion in European agricultural landscapes: More than physics — https://doi.org/10.1002/pan3.10418</w:t>
      </w:r>
    </w:p>
    <w:p>
      <w:pPr/>
      <w:r>
        <w:rPr>
          <w:b/>
        </w:rPr>
        <w:t>Shared claim-specific concepts:</w:t>
      </w:r>
      <w:r>
        <w:t xml:space="preserve"> abstract, article, climate; EU scope visible. This is a provisional connection, not an outcome finding.</w:t>
      </w:r>
    </w:p>
    <w:p>
      <w:pPr>
        <w:pStyle w:val="SourceNote"/>
      </w:pPr>
      <w:r>
        <w:rPr>
          <w:b/>
        </w:rPr>
        <w:t>Available abstract (not full text):</w:t>
      </w:r>
      <w:r>
        <w:t xml:space="preserve">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pPr/>
      <w:r>
        <w:rPr>
          <w:b/>
        </w:rPr>
        <w:t>POSSIBLE 2022:</w:t>
      </w:r>
      <w:r>
        <w:t xml:space="preserve"> European Union Litigation — https://doi.org/10.1515/ercl-2022-2049</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European Union Litigation — https://doi.org/10.1515/ercl-2022-2038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2021:</w:t>
      </w:r>
      <w:r>
        <w:t xml:space="preserve"> The Integrated Carbon Observation System in Europe — https://doi.org/10.1175/bams-d-19-0364.1</w:t>
      </w:r>
    </w:p>
    <w:p>
      <w:pPr/>
      <w:r>
        <w:rPr>
          <w:b/>
        </w:rPr>
        <w:t>Shared claim-specific concepts:</w:t>
      </w:r>
      <w:r>
        <w:t xml:space="preserve"> abstract, article, provides, climate, also;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2021:</w:t>
      </w:r>
      <w:r>
        <w:t xml:space="preserve"> European Union Litigation — https://doi.org/10.1515/ercl-2021-2028</w:t>
      </w:r>
    </w:p>
    <w:p>
      <w:pPr/>
      <w:r>
        <w:rPr>
          <w:b/>
        </w:rPr>
        <w:t>Shared claim-specific concepts:</w:t>
      </w:r>
      <w:r>
        <w:t xml:space="preserve"> abstract, article, provides, overview, union, law;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Pandemic Politics: The European Union in Times of the Coronavirus Emergency — https://doi.org/10.1111/jcms.13303</w:t>
      </w:r>
    </w:p>
    <w:p>
      <w:pPr/>
      <w:r>
        <w:rPr>
          <w:b/>
        </w:rPr>
        <w:t>Shared claim-specific concepts:</w:t>
      </w:r>
      <w:r>
        <w:t xml:space="preserve"> abstract, article, provides, union, law; EU scope visible. This is a provisional connection, not an outcome finding.</w:t>
      </w:r>
    </w:p>
    <w:p>
      <w:pPr>
        <w:pStyle w:val="SourceNote"/>
      </w:pPr>
      <w:r>
        <w:rPr>
          <w:b/>
        </w:rPr>
        <w:t>Available abstract (not full text):</w:t>
      </w:r>
      <w:r>
        <w:t xml:space="preserve"> Abstract This article provides an assessment of the EU institutions' response to the coronavirus pandemic. By building on a synthesis of the new intergovernmentalism and the emergency politics approach it contends that the effectiveness and legitimacy of de novo bodies like the European Stability Mechanism (ESM) and the European Investment Bank (EIB) have fallen prey to its intergovernmental decision‐making structure, whereas the ECB has proven to be more resilient. The European Commission as the traditional engine of European integration was able to fill the gap with its large‐scale recovery instrument termed ‘Next Generation EU’ and via the creation of a temporary loan‐based instrument to support national short‐term work schemes (SURE). The historic July 2020 European Council produced policy outputs such as the ‘emergency brake’ and the diluted ‘rule of law mechanism’ that have the potential to deepen the rift between polarized member states.</w:t>
      </w:r>
    </w:p>
    <w:p>
      <w:pPr>
        <w:pStyle w:val="Heading2"/>
      </w:pPr>
      <w:r>
        <w:t>589.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2024:</w:t>
      </w:r>
      <w:r>
        <w:t xml:space="preserve"> Unequal geographies of gender-affirming care: A comparative typology of trans-specific healthcare systems across Europe — https://doi.org/10.1016/j.socscimed.2024.117145</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pPr/>
      <w:r>
        <w:rPr>
          <w:b/>
        </w:rPr>
        <w:t>POSSIBLE 2024:</w:t>
      </w:r>
      <w:r>
        <w:t xml:space="preserve"> A survey-based assessment of attitudes and needs regarding tinnitus healthcare among patients and healthcare professionals in Europe — https://doi.org/10.3389/fauot.2024.1347283</w:t>
      </w:r>
    </w:p>
    <w:p>
      <w:pPr/>
      <w:r>
        <w:rPr>
          <w:b/>
        </w:rPr>
        <w:t>Shared claim-specific concepts:</w:t>
      </w:r>
      <w:r>
        <w:t xml:space="preserve"> between, overall, healthcare, based; EU scope visible. This is a provisional connection, not an outcome finding.</w:t>
      </w:r>
    </w:p>
    <w:p>
      <w:pPr>
        <w:pStyle w:val="SourceNote"/>
      </w:pPr>
      <w:r>
        <w:rPr>
          <w:b/>
        </w:rPr>
        <w:t>Available abstract (not full text):</w:t>
      </w:r>
      <w:r>
        <w:t xml:space="preserve">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pPr/>
      <w:r>
        <w:rPr>
          <w:b/>
        </w:rPr>
        <w:t>POSSIBLE 2023:</w:t>
      </w:r>
      <w:r>
        <w:t xml:space="preserve"> Racism against racialized migrants in healthcare in Europe: a scoping review — https://doi.org/10.1186/s12939-023-02014-1</w:t>
      </w:r>
    </w:p>
    <w:p>
      <w:pPr/>
      <w:r>
        <w:rPr>
          <w:b/>
        </w:rPr>
        <w:t>Shared claim-specific concepts:</w:t>
      </w:r>
      <w:r>
        <w:t xml:space="preserve"> between, healthcare, three; EU scope visible. This is a provisional connection, not an outcome finding.</w:t>
      </w:r>
    </w:p>
    <w:p>
      <w:pPr>
        <w:pStyle w:val="SourceNote"/>
      </w:pPr>
      <w:r>
        <w:rPr>
          <w:b/>
        </w:rPr>
        <w:t>Available abstract (not full text):</w:t>
      </w:r>
      <w:r>
        <w:t xml:space="preserve">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pPr/>
      <w:r>
        <w:rPr>
          <w:b/>
        </w:rPr>
        <w:t>POSSIBLE 2023:</w:t>
      </w:r>
      <w:r>
        <w:t xml:space="preserve"> Socio-demographic and regional differences in unmet healthcare needs among migrants in Europe — https://doi.org/10.1371/journal.pone.0285886</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pPr/>
      <w:r>
        <w:rPr>
          <w:b/>
        </w:rPr>
        <w:t>POSSIBLE 2022:</w:t>
      </w:r>
      <w:r>
        <w:t xml:space="preserve"> P1034: HEALTHCARE UTILIZATION OF PATIENTS WITH HYPEREOSINOPHILIC SYNDROME IN EUROPE — https://doi.org/10.1097/01.hs9.0000847004.53726.7b</w:t>
      </w:r>
    </w:p>
    <w:p>
      <w:pPr/>
      <w:r>
        <w:rPr>
          <w:b/>
        </w:rPr>
        <w:t>Shared claim-specific concepts:</w:t>
      </w:r>
      <w:r>
        <w:t xml:space="preserve"> between, overall, healthcare, burden; EU scope visible. This is a provisional connection, not an outcome finding.</w:t>
      </w:r>
    </w:p>
    <w:p>
      <w:pPr>
        <w:pStyle w:val="SourceNote"/>
      </w:pPr>
      <w:r>
        <w:rPr>
          <w:b/>
        </w:rPr>
        <w:t>Available abstract (not full text):</w:t>
      </w:r>
      <w:r>
        <w:t xml:space="preserve">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pPr/>
      <w:r>
        <w:rPr>
          <w:b/>
        </w:rPr>
        <w:t>POSSIBLE 2022:</w:t>
      </w:r>
      <w:r>
        <w:t xml:space="preserve"> Work schedule characteristics associated with sleep disturbance among healthcare professionals in Europe and South Korea: a report from two cross-sectional surveys — https://doi.org/10.1186/s12912-022-00974-3</w:t>
      </w:r>
    </w:p>
    <w:p>
      <w:pPr/>
      <w:r>
        <w:rPr>
          <w:b/>
        </w:rPr>
        <w:t>Shared claim-specific concepts:</w:t>
      </w:r>
      <w:r>
        <w:t xml:space="preserve"> between, overall, healthcare, factors; EU scope visible. This is a provisional connection, not an outcome finding.</w:t>
      </w:r>
    </w:p>
    <w:p>
      <w:pPr>
        <w:pStyle w:val="SourceNote"/>
      </w:pPr>
      <w:r>
        <w:rPr>
          <w:b/>
        </w:rPr>
        <w:t>Available abstract (not full text):</w:t>
      </w:r>
      <w:r>
        <w:t xml:space="preserve"> BACKGROUND: Healthcare professionals worldwide are prone to sleep disturbance. Such sleep disturbance is associated with lower patient safety and quality of care. Therefore, this study aimed to identify the prevalence of sleep disturbance and determine the effect of work schedule characteristics on sleep disturbance among healthcare professionals in Europe and South Korea. METHODS: We used the sixth European Working Conditions Survey and the fifth Korean Working Conditions Survey for analyses. The study included 2285 healthcare professionals aged 18-65 years. Work schedule characteristics included shift work, night work, working hours per week, long work hours (i.e., more than 10 hours per shift), quick return to work, having to come to work on short notice, and changes in work schedules. A multiple logistic regression analysis was performed. RESULTS: The overall prevalence of sleep disturbance was 37.7%. The multivariate logistic regression model indicated that long work hours, quick return to, having to come to work on short notice, and changes in work schedules were significant factors associated with sleep disturbance among healthcare professionals. CONCLUSION: The findings revealed that several work schedule-related factors were associated with sleep disturbances in healthcare professionals in Europe and Korea. Institutions and policymakers should implement strategies and </w:t>
      </w:r>
    </w:p>
    <w:p>
      <w:pPr/>
      <w:r>
        <w:rPr>
          <w:b/>
        </w:rPr>
        <w:t>POSSIBLE 2022:</w:t>
      </w:r>
      <w:r>
        <w:t xml:space="preserve"> Sex differences in the association between social capital and healthcare use—Results from the Survey of Health, Ageing and Retirement in Europe (SHARE) — https://doi.org/10.1111/hsc.13889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Females and males frequently report substantial differences in social capital indicators and may use healthcare distinctly. Nevertheless, the potential effect of sex on the relation between social capital and healthcare use remains unclear. This study aims to quantify the association between different indicators of individuals' social capital and healthcare use, according to sex. Data were retrieved from the Sixth Wave of the Survey of Health, Ageing and Retirement in Europe (SHARE), which was conducted in 2015, and included 68,188 participants from 18 countries. Adjusted odds ratios (AOR) and 95% confidence intervals (95%CI) were computed using logistic regression. Overall, males and females with smaller social networks, those who live alone or with any other relatives besides their partners, and those whose first close confidant was a family member or a neighbour reported fewer contacts with medical doctors or nurses, as well as with dentists or dental hygienists. Amongst females, participation in educational or training courses (AOR = 1.67, 95%CI:1.40-2.00; p for interaction = 0.035) and sport, social or any other club (AOR = 1.79, 95%CI:1.58-2.02; p for interaction = 0.043) was associated with a more frequent contact with dentists or dental hygienists. Females who participated in volunteer or charity work (AOR = 0.76, 95%CI:0.64-0.91; p for interaction = 0.042) and politica</w:t>
      </w:r>
    </w:p>
    <w:p>
      <w:pPr/>
      <w:r>
        <w:rPr>
          <w:b/>
        </w:rPr>
        <w:t>POSSIBLE 2021:</w:t>
      </w:r>
      <w:r>
        <w:t xml:space="preserve"> Access to healthcare for people aged 50+ in Europe during the COVID-19 outbreak — https://doi.org/10.1007/s10433-021-00631-9</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 40,919) with institutional and epidemic-related country characteristics to investigate healthcare access for Europeans aged 50+ during the outbreak of COVID-19. We use a micro-macro approach to examine whether and to what extent barriers to accessing healthcare measured by reported unmet healthcare needs vary within and between countries. We consider various aspects of barriers and distinguish among: (1) respondents who forewent medical treatment because they were afraid of becoming infected with the Coronavirus; (2) respondents who had pre-scheduled medical appointments postponed by health providers due to the outbreak; and (3) respondents who tried to arrange a medical appointment but were denied one. Limited access to healthcare during the initial outbreak was more common for the occupationally active, women, the more educated and those living in urban areas. A bad economic situation, poor overall health and higher healthcare utilisation were robust predictors of unmet healthcare. People aged 50+ in countries of 'Old' Europe, countries with higher universal health coverage and stricter containment and closure policies were more likely to have medical services postponed. Policymakers should address the healthcare needs of older people with chronic health conditions and a poor socio-economic status who were made more vulnerable by this pandemic. In the aftermath of the healt</w:t>
      </w:r>
    </w:p>
    <w:p>
      <w:pPr/>
      <w:r>
        <w:rPr>
          <w:b/>
        </w:rPr>
        <w:t>POSSIBLE 2021:</w:t>
      </w:r>
      <w:r>
        <w:t xml:space="preserve"> Venture capital healthcare investments and health care sector growth: A panel data analysis of Europe — https://doi.org/10.1016/j.bir.2021.06.008</w:t>
      </w:r>
    </w:p>
    <w:p>
      <w:pPr/>
      <w:r>
        <w:rPr>
          <w:b/>
        </w:rPr>
        <w:t>Shared claim-specific concepts:</w:t>
      </w:r>
      <w:r>
        <w:t xml:space="preserve"> between, overall, healthcare, increase, trends; EU scope visible. This is a provisional connection, not an outcome finding.</w:t>
      </w:r>
    </w:p>
    <w:p>
      <w:pPr>
        <w:pStyle w:val="SourceNote"/>
      </w:pPr>
      <w:r>
        <w:rPr>
          <w:b/>
        </w:rPr>
        <w:t>Available abstract (not full text):</w:t>
      </w:r>
      <w:r>
        <w:t xml:space="preserve"> We examine the effect of venture capital investments on health sector growth, using a macro sample data from EVCA (now Invest Europe), World Bank, OECD and Eurostat databases covering 23 EU/EEA countries between 2000 and 2019. We follow the system GLS fixed effect and random effect approach, posit and find evidence that VC healthcare investments and age of VC industry increase healthcare sector growth in Europe. Life expectancy (one of the proxy variables for health sector growth) shows increasing trends in Europe. We also find that innovation, financial sector development, macroeconomic variables and healthcare infrastructure significantly increase health sector growth. We conjecture that VC investors may enjoy returns on investments which decipher into social returns to health sector outcomes. Our study makes justification for private-public partnership to support health sector growth. We recommend more funding support and inducement policy models tailor-made to reap benefits from overall health sector growth.</w:t>
      </w:r>
    </w:p>
    <w:p>
      <w:pPr/>
      <w:r>
        <w:rPr>
          <w:b/>
        </w:rPr>
        <w:t>POSSIBLE 2021:</w:t>
      </w:r>
      <w:r>
        <w:t xml:space="preserve"> Access to Healthcare for Migrant Patients in Europe: Healthcare Discrimination and Translation Services — https://doi.org/10.3390/ijerph18157901</w:t>
      </w:r>
    </w:p>
    <w:p>
      <w:pPr/>
      <w:r>
        <w:rPr>
          <w:b/>
        </w:rPr>
        <w:t>Shared claim-specific concepts:</w:t>
      </w:r>
      <w:r>
        <w:t xml:space="preserve"> healthcare, three, based, factors; EU scope visible. This is a provisional connection, not an outcome finding.</w:t>
      </w:r>
    </w:p>
    <w:p>
      <w:pPr>
        <w:pStyle w:val="SourceNote"/>
      </w:pPr>
      <w:r>
        <w:rPr>
          <w:b/>
        </w:rPr>
        <w:t>Available abstract (not full text):</w:t>
      </w:r>
      <w:r>
        <w:t xml:space="preserve"> BACKGROUND: Discrimination based on ethnicity and the lack of translation services in healthcare have been identified as main barriers to healthcare access. However, the actual experiences of migrant patients in Europe are rarely present in the literature. OBJECTIVES: The aim of this study was to assess healthcare discrimination as perceived by migrants themselves and the availability of translation services in the healthcare systems of Europe. METHODS: A total of 1407 migrants in 10 European Union countries (consortium members of the Mig-HealthCare project) were surveyed concerning healthcare discrimination, access to healthcare services, and need of translation services using an interviewer-administered questionnaire. Migrants in three countries were excluded from the analysis, due to small sample size, and the new sample consisted of N = 1294 migrants. Descriptive statistics and multivariable regression analyses were conducted to investigate the risk factors on perceived healthcare discrimination for migrants and refugees in the EU. RESULTS: Mean age was 32 (±11) years and 816 (63.26%) participants were males. The majority came from Syria, Afghanistan, Iraq, Nigeria, and Iran. Older migrants reported better treatment experience. Migrants in Italy (0.191; 95% CI [0.029, 0.352]) and Austria (0.167; 95% CI [0.012, 0.323]) scored higher in the Discrimination Scale to Medical Set</w:t>
      </w:r>
    </w:p>
    <w:p>
      <w:pPr>
        <w:pStyle w:val="Heading2"/>
      </w:pPr>
      <w:r>
        <w:t>590.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591.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presents, three, poland;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2023:</w:t>
      </w:r>
      <w:r>
        <w:t xml:space="preserve"> EU enlargement in wartime Europe: three dimensions and scenarios — https://doi.org/10.1080/21582041.2023.2289661</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A Lexicographic Practice Map of Europe — https://doi.org/10.1093/ijl/ecad023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r>
        <w:rPr>
          <w:b/>
        </w:rPr>
        <w:t>POSSIBLE 2022:</w:t>
      </w:r>
      <w:r>
        <w:t xml:space="preserve"> Abortion: legislation and statistics in Europe — https://doi.org/10.1080/13625187.2022.2057469</w:t>
      </w:r>
    </w:p>
    <w:p>
      <w:pPr/>
      <w:r>
        <w:rPr>
          <w:b/>
        </w:rPr>
        <w:t>Shared claim-specific concepts:</w:t>
      </w:r>
      <w:r>
        <w:t xml:space="preserve"> article, presents, three, union; EU scope visible. This is a provisional connection, not an outcome finding.</w:t>
      </w:r>
    </w:p>
    <w:p>
      <w:pPr>
        <w:pStyle w:val="SourceNote"/>
      </w:pPr>
      <w:r>
        <w:rPr>
          <w:b/>
        </w:rPr>
        <w:t>Available abstract (not full text):</w:t>
      </w:r>
      <w:r>
        <w:t xml:space="preserve"> Objective: The Parliamentary Assembly invited the member states of the Council of Europe to ‘guarantee women's effective exercise of their right of access to a safe and legal abortion’. While abortion legislation and statistics give an impression of the legislative, cultural, and religious views of the societies and the socio-economic health of the female population, only one study conducted in 2011 looked into the current legislation and trends in terminations of pregnancy in the European Union.Materials and Methods: From January 2017 to December 2018, a group of experts, the authors of the present article, liaised with colleagues practising in 32 European countries to collect data on abortion legislation and statistics using three different questionnaires.Results: The article presents the results of this initiative and compares the status quo and recent trends in abortion legislation and statistics across Europe.Conclusions: The European legislations are still very heterogenous and abortion rates vary widely between countries, confirming that laws do not correlate with abortion rates. This compilation of data, also available on a website (www.abort-report.eu), may help to change laws to better meet the needs of women who decided to have an abortion as a solution to the underlying problem of an unwanted pregnancy.</w:t>
      </w:r>
    </w:p>
    <w:p>
      <w:pPr/>
      <w:r>
        <w:rPr>
          <w:b/>
        </w:rPr>
        <w:t>POSSIBLE 2022:</w:t>
      </w:r>
      <w:r>
        <w:t xml:space="preserve"> The Current Status and Work of Three Rs Centres and Platforms in Europe* — https://doi.org/10.1177/02611929221140909</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adoption of Directive 2010/63/EU on the protection of animals used for scientific purposes has given a major push to the formation of Three Rs initiatives in the form of centres and platforms. These centres and platforms are dedicated to the so-called Three Rs, which are the Replacement, Reduction and Refinement of animal use in experiments. ATLA’s 50th Anniversary year has seen the publication of two articles on European Three Rs centres and platforms. The first of these was about the progressive rise in their numbers and about their founding history; this second part focuses on their current status and activities. This article takes a closer look at their financial and organisational structures, describes their Three Rs focus and core activities (dissemination, education, implementation, scientific quality/translatability, ethics), and presents their areas of responsibility and projects in detail. This overview of the work and diverse structures of the Three Rs centres and platforms is not only intended to bring them closer to the reader, but also to provide role models and show examples of how such Three Rs centres and platforms could be made sustainable. The Three Rs centres and platforms are very important focal points and play an immense role as facilitators of Directive 2010/63/EU ‘on the ground’ in their respective countries. They are also invaluable for the wide di</w:t>
      </w:r>
    </w:p>
    <w:p>
      <w:pPr/>
      <w:r>
        <w:rPr>
          <w:b/>
        </w:rPr>
        <w:t>POSSIBLE 2022:</w:t>
      </w:r>
      <w:r>
        <w:t xml:space="preserve"> The Regional Development Trap in Europe — https://doi.org/10.1080/00130095.2022.2080655</w:t>
      </w:r>
    </w:p>
    <w:p>
      <w:pPr/>
      <w:r>
        <w:rPr>
          <w:b/>
        </w:rPr>
        <w:t>Shared claim-specific concepts:</w:t>
      </w:r>
      <w:r>
        <w:t xml:space="preserve"> article,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DESIGNING SPACE IN MUSEUM FACILITIES IN EUROPE — https://doi.org/10.21005/pif.2022.49.b-03</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The article presents research on the conscious shaping of museum spaces in Europe. The research focused on elements of architectural composition and spatial treatments experienced on three levels: pre-narratives, protonarrations and procedural narratives of the unconscious (Dimaggio, Semerari, 2001, 14: 1-23), as based solely on past experiences. sensual user. Selected elements influencing the user were divided into three categories: causing action, focusing attention or causing a reaction, and building awareness of space.</w:t>
      </w:r>
    </w:p>
    <w:p>
      <w:pPr>
        <w:pStyle w:val="Heading2"/>
      </w:pPr>
      <w:r>
        <w:t>592.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2023:</w:t>
      </w:r>
      <w:r>
        <w:t xml:space="preserve"> A Study on Trade Damage and Trade Adjustment Assistance(TAA) — https://doi.org/10.18104/kalc.2023.38.1.31</w:t>
      </w:r>
    </w:p>
    <w:p>
      <w:pPr/>
      <w:r>
        <w:rPr>
          <w:b/>
        </w:rPr>
        <w:t>Shared claim-specific concepts:</w:t>
      </w:r>
      <w:r>
        <w:t xml:space="preserve"> damage, trade, related, but; EU scope not established. This is a provisional connection, not an outcome finding.</w:t>
      </w:r>
    </w:p>
    <w:p>
      <w:pPr>
        <w:pStyle w:val="SourceNote"/>
      </w:pPr>
      <w:r>
        <w:rPr>
          <w:b/>
        </w:rPr>
        <w:t>Available abstract (not full text):</w:t>
      </w:r>
      <w:r>
        <w:t xml:space="preserve">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pPr/>
      <w:r>
        <w:rPr>
          <w:b/>
        </w:rPr>
        <w:t>POSSIBLE 2023:</w:t>
      </w:r>
      <w:r>
        <w:t xml:space="preserve"> Trade, Transport Emissions and Multimarket Collusion with Border Adjustments — https://doi.org/10.1007/s10640-023-00799-x</w:t>
      </w:r>
    </w:p>
    <w:p>
      <w:pPr/>
      <w:r>
        <w:rPr>
          <w:b/>
        </w:rPr>
        <w:t>Shared claim-specific concepts:</w:t>
      </w:r>
      <w:r>
        <w:t xml:space="preserve"> damage, trade, but; EU scope not established. This is a provisional connection, not an outcome finding.</w:t>
      </w:r>
    </w:p>
    <w:p>
      <w:pPr>
        <w:pStyle w:val="SourceNote"/>
      </w:pPr>
      <w:r>
        <w:rPr>
          <w:b/>
        </w:rPr>
        <w:t>Available abstract (not full text):</w:t>
      </w:r>
      <w:r>
        <w:t xml:space="preserve">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pPr/>
      <w:r>
        <w:rPr>
          <w:b/>
        </w:rPr>
        <w:t>POSSIBLE 2022:</w:t>
      </w:r>
      <w:r>
        <w:t xml:space="preserve"> Damage — https://doi.org/10.1093/he/9780198869917.003.0034</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Abstract This chapter examines one element that a claimant must prove to sustain a passing off action: the requirement that they have suffered, or are likely to suffer, damage as a result of the defendant’s misrepresentation. It first considers four types of damage that have been recognized by the courts in connection with misrepresentation: loss of existing trade and profits; loss of potential trade and profits; damage to reputation; and dilution. It then discusses the notion of extended passing off and its three elements: goodwill, misrepresentation, and damage. It also looks at the principles of unfair competition.</w:t>
      </w:r>
    </w:p>
    <w:p>
      <w:pPr/>
      <w:r>
        <w:rPr>
          <w:b/>
        </w:rPr>
        <w:t>POSSIBLE 2022:</w:t>
      </w:r>
      <w:r>
        <w:t xml:space="preserve"> Conflict and Intergroup Trade: Evidence from the 2014 Russia-Ukraine Crisis — https://doi.org/10.1257/aer.20191701</w:t>
      </w:r>
    </w:p>
    <w:p>
      <w:pPr/>
      <w:r>
        <w:rPr>
          <w:b/>
        </w:rPr>
        <w:t>Shared claim-specific concepts:</w:t>
      </w:r>
      <w:r>
        <w:t xml:space="preserve"> trade, after; EU scope not established. This is a provisional connection, not an outcome finding.</w:t>
      </w:r>
    </w:p>
    <w:p>
      <w:pPr>
        <w:pStyle w:val="SourceNote"/>
      </w:pPr>
      <w:r>
        <w:rPr>
          <w:b/>
        </w:rPr>
        <w:t>Available abstract (not full text):</w:t>
      </w:r>
      <w:r>
        <w:t xml:space="preserve"> Does armed conflict reduce trade, even in noncombat areas, through the destruction of intergroup social capital? We analyze Ukrainian trade transactions before and after the 2014 Russia-Ukraine conflict. In a difference-in-differences framework, we find that Ukrainian firms from districts with fewer ethnic Russians experienced a deeper decline in trade with Russia. This decline is economically signifi-cant, persistent, and can be explained by erosion of intergroup trust. Affected Ukrainian firms suffered a decrease in performance and diverted trade to other countries. Our results suggest that, through social effects, conflict can be economically damaging even away from combat areas. (JEL D74, F14, F51, J15, P31, P33, Z13)</w:t>
      </w:r>
    </w:p>
    <w:p>
      <w:pPr/>
      <w:r>
        <w:rPr>
          <w:b/>
        </w:rPr>
        <w:t>POSSIBLE 2021:</w:t>
      </w:r>
      <w:r>
        <w:t xml:space="preserve"> Neural Network in the Forecast of Compensation for Ecological Environment Damage Caused by Trade — https://doi.org/10.25236/ijfs.2021.031313</w:t>
      </w:r>
    </w:p>
    <w:p>
      <w:pPr/>
      <w:r>
        <w:rPr>
          <w:b/>
        </w:rPr>
        <w:t>Shared claim-specific concepts:</w:t>
      </w:r>
      <w:r>
        <w:t xml:space="preserve"> damage, trade, after, but; EU scope not established. This is a provisional connection, not an outcome finding.</w:t>
      </w:r>
    </w:p>
    <w:p>
      <w:pPr>
        <w:pStyle w:val="SourceNote"/>
      </w:pPr>
      <w:r>
        <w:rPr>
          <w:b/>
        </w:rPr>
        <w:t>Available abstract (not full text):</w:t>
      </w:r>
      <w:r>
        <w:t xml:space="preserve"> With the rapid growth of China's trade, the aggravation of environmental damage, research on trade growth and environmental damage forecasting issues is of great significance for the formulation and coordination of trade policies, environmental policies, and industrial policies. This article mainly studies the application of neural network in the prediction of compensation for ecological environment damage caused by trade. In this paper, the neural network model is applied to time series forecasting and panel data forecasting respectively, and the MATLAB tool is used to simulate the model, and the environmental damage compensation caused by trade is predicted. After L = 7613 iteration training, the total error value gradually decreases, and the given total error accuracy is 0.001. At this point, training is complete. After training, the BP neural network has been able to correctly predict these training samples. The prediction accuracy of this study reached 98%. This shows that the BP neural network model established in this paper not only meets the overall classification accuracy, but also has high accuracy in predicting the compensation of the ecological environment damage of each sample data. The research results show that the model is applied to the prediction of compensation for eco-environmental damage caused by trade. It has the advantages of fewer samples, high predicti</w:t>
      </w:r>
    </w:p>
    <w:p>
      <w:pPr/>
      <w:r>
        <w:rPr>
          <w:b/>
        </w:rPr>
        <w:t>POSSIBLE 2021:</w:t>
      </w:r>
      <w:r>
        <w:t xml:space="preserve"> The choice of cap-and-trade and carbon tax regulations in a cap-dependent carbon trading price setting — https://doi.org/10.1108/k-09-2020-0610</w:t>
      </w:r>
    </w:p>
    <w:p>
      <w:pPr/>
      <w:r>
        <w:rPr>
          <w:b/>
        </w:rPr>
        <w:t>Shared claim-specific concepts:</w:t>
      </w:r>
      <w:r>
        <w:t xml:space="preserve"> damage, two, related; EU scope not established. This is a provisional connection, not an outcome finding.</w:t>
      </w:r>
    </w:p>
    <w:p>
      <w:pPr>
        <w:pStyle w:val="SourceNote"/>
      </w:pPr>
      <w:r>
        <w:rPr>
          <w:b/>
        </w:rPr>
        <w:t>Available abstract (not full text):</w:t>
      </w:r>
      <w:r>
        <w:t xml:space="preserve"> Purpose The purpose of this paper is to analyze the operational decisions of a manufacturer who produces multiple products and the government's selection of cap-and-trade and carbon tax regulations. Design/methodology/approach This paper explores the production decisions of a multi-product manufacturer under cap-and-trade and carbon tax regulations in a cap-dependent carbon trading price setting and compares carbon emission, the manufacturer's profits and social welfare under the two regulations. Game theory and extreme value theory are used to analyze our models. Findings First, the authors find that the optimal profit of the manufacturer (the optimal cap) increases and then decreases with the cap (the unit carbon emission of product). Second, if the environmental damage coefficient is moderate, the optimal cap of unit environmental damage coefficient is independent of the product carbon emission or other related product parameters. Ultimately, cap-and-trade regulation always generates more carbon emission than carbon tax regulation. And cap-and-trade regulation (carbon tax regulation) can generate more social welfare if the environmental damage coefficient is low (high), and the social welfare under the two regulations is equal to each other, or otherwise. Originality/value This paper contributes the prior literature by considering the inverse relationship of the allocated ca</w:t>
      </w:r>
    </w:p>
    <w:p>
      <w:pPr>
        <w:pStyle w:val="Heading2"/>
      </w:pPr>
      <w:r>
        <w:t>593.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2021:</w:t>
      </w:r>
      <w:r>
        <w:t xml:space="preserve"> Type 1 diabetes in 2017: global estimates of incident and prevalent cases in children and adults — https://doi.org/10.1007/s00125-021-05571-8</w:t>
      </w:r>
    </w:p>
    <w:p>
      <w:pPr/>
      <w:r>
        <w:rPr>
          <w:b/>
        </w:rPr>
        <w:t>Shared claim-specific concepts:</w:t>
      </w:r>
      <w:r>
        <w:t xml:space="preserve"> estimated, incident, prevalent, cases; EU scope visible. This is a provisional connection, not an outcome finding.</w:t>
      </w:r>
    </w:p>
    <w:p>
      <w:pPr>
        <w:pStyle w:val="SourceNote"/>
      </w:pPr>
      <w:r>
        <w:rPr>
          <w:b/>
        </w:rPr>
        <w:t>Available abstract (not full text):</w:t>
      </w:r>
      <w:r>
        <w:t xml:space="preserve">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pPr/>
      <w:r>
        <w:rPr>
          <w:b/>
        </w:rPr>
        <w:t>POSSIBLE 2021:</w:t>
      </w:r>
      <w:r>
        <w:t xml:space="preserve"> Financial losses for Dutch stakeholders during the 2013 aflatoxin incident in Maize in Europe — https://doi.org/10.1007/s12550-021-00429-9</w:t>
      </w:r>
    </w:p>
    <w:p>
      <w:pPr/>
      <w:r>
        <w:rPr>
          <w:b/>
        </w:rPr>
        <w:t>Shared claim-specific concepts:</w:t>
      </w:r>
      <w:r>
        <w:t xml:space="preserve"> estimated, incident, million; EU scope visible. This is a provisional connection, not an outcome finding.</w:t>
      </w:r>
    </w:p>
    <w:p>
      <w:pPr>
        <w:pStyle w:val="SourceNote"/>
      </w:pPr>
      <w:r>
        <w:rPr>
          <w:b/>
        </w:rPr>
        <w:t>Available abstract (not full text):</w:t>
      </w:r>
      <w:r>
        <w:t xml:space="preserve">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pPr/>
      <w:r>
        <w:rPr>
          <w:b/>
        </w:rPr>
        <w:t>POSSIBLE 2021:</w:t>
      </w:r>
      <w:r>
        <w:t xml:space="preserve"> SCORE2-OP risk prediction algorithms: estimating incident cardiovascular event risk in older persons in four geographical risk regions — https://doi.org/10.1093/eurheartj/ehab312</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pPr/>
      <w:r>
        <w:rPr>
          <w:b/>
        </w:rPr>
        <w:t>POSSIBLE 2021:</w:t>
      </w:r>
      <w:r>
        <w:t xml:space="preserve"> Milk intake and incident stroke and CHD in populations of European descent: a Mendelian randomisation study — https://doi.org/10.1017/s0007114521004244</w:t>
      </w:r>
    </w:p>
    <w:p>
      <w:pPr/>
      <w:r>
        <w:rPr>
          <w:b/>
        </w:rPr>
        <w:t>Shared claim-specific concepts:</w:t>
      </w:r>
      <w:r>
        <w:t xml:space="preserve"> estimated, additional, incident, cases; EU scope visible. This is a provisional connection, not an outcome finding.</w:t>
      </w:r>
    </w:p>
    <w:p>
      <w:pPr>
        <w:pStyle w:val="SourceNote"/>
      </w:pPr>
      <w:r>
        <w:rPr>
          <w:b/>
        </w:rPr>
        <w:t>Available abstract (not full text):</w:t>
      </w:r>
      <w:r>
        <w:t xml:space="preserve">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pPr/>
      <w:r>
        <w:rPr>
          <w:b/>
        </w:rPr>
        <w:t>POSSIBLE 2021:</w:t>
      </w:r>
      <w:r>
        <w:t xml:space="preserve"> Risk of Incident Heart Failure in Individuals With Early-Onset Type 2 Diabetes — https://doi.org/10.1210/clinem/dgab620</w:t>
      </w:r>
    </w:p>
    <w:p>
      <w:pPr/>
      <w:r>
        <w:rPr>
          <w:b/>
        </w:rPr>
        <w:t>Shared claim-specific concepts:</w:t>
      </w:r>
      <w:r>
        <w:t xml:space="preserve"> estimated, additional, incident; EU scope visible. This is a provisional connection, not an outcome finding.</w:t>
      </w:r>
    </w:p>
    <w:p>
      <w:pPr>
        <w:pStyle w:val="SourceNote"/>
      </w:pPr>
      <w:r>
        <w:rPr>
          <w:b/>
        </w:rPr>
        <w:t>Available abstract (not full text):</w:t>
      </w:r>
      <w:r>
        <w:t xml:space="preserve">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pPr/>
      <w:r>
        <w:rPr>
          <w:b/>
        </w:rPr>
        <w:t>POSSIBLE 2021:</w:t>
      </w:r>
      <w:r>
        <w:t xml:space="preserve"> Risk of incident atrial fibrillation with low-to-moderate alcohol consumption is associated with gender, region, alcohol category: a systematic review and meta-analysis — https://doi.org/10.1093/europace/euab266</w:t>
      </w:r>
    </w:p>
    <w:p>
      <w:pPr/>
      <w:r>
        <w:rPr>
          <w:b/>
        </w:rPr>
        <w:t>Shared claim-specific concepts:</w:t>
      </w:r>
      <w:r>
        <w:t xml:space="preserve"> estimated, additional, incident; EU scope not established. This is a provisional connection, not an outcome finding.</w:t>
      </w:r>
    </w:p>
    <w:p>
      <w:pPr>
        <w:pStyle w:val="SourceNote"/>
      </w:pPr>
      <w:r>
        <w:rPr>
          <w:b/>
        </w:rPr>
        <w:t>Available abstract (not full text):</w:t>
      </w:r>
      <w:r>
        <w:t xml:space="preserve"> AIMS: The association between low-to-moderate alcohol consumption and atrial fibrillation (AF) has yet to be fully elucidated. The main purpose of this meta-analysis was to estimate the risk of incident AF related to low-to-moderate alcohol consumption. METHODS AND RESULTS: A meta-analysis was performed on 13 publications discussing the estimated risk for AF with habitual low-to-moderate alcohol intake in 10 266 315 participants. Graphical augmentations to the funnel plots were used to illustrate the potential impact of additional evidence on the current meta-analysis. Thirteen eligible studies were included in this meta-analysis. We found that moderate alcohol consumption was associated with an increased risk of incident AF in males [hazard ratio (HR) 1.09, 95% confidence interval (CI): 1.07-1.11, P &lt; 0.00001], Europeans (HR 1.32, 95% CI: 1.23-1.42, P &lt; 0.00001), and Asians (HR 1.09, 95% CI: 1.07-1.11, P &lt; 0.00001). Moderate beer consumption was associated with an increased risk of developing AF (HR 1.11, 95% CI: 1.02-1.21, P = 0.01). Low alcohol consumption conferred an increased risk of AF in males (HR 1.14, 95% CI: 1.01-1.28, P = 0.04) and Europeans (HR 1.12, 95% CI: 1.07-1.17, P &lt; 0.00001). CONCLUSIONS: This analysis represents the increased risk of incident AF in males, Europeans, and Asians at moderate alcohol consumption levels and in males and Europeans at low alcohol </w:t>
      </w:r>
    </w:p>
    <w:p>
      <w:pPr/>
      <w:r>
        <w:rPr>
          <w:b/>
        </w:rPr>
        <w:t>POSSIBLE 2021:</w:t>
      </w:r>
      <w:r>
        <w:t xml:space="preserve"> Epigenetic Age and the Risk of Incident Atrial Fibrillation — https://doi.org/10.1161/circulationaha.121.056456</w:t>
      </w:r>
    </w:p>
    <w:p>
      <w:pPr/>
      <w:r>
        <w:rPr>
          <w:b/>
        </w:rPr>
        <w:t>Shared claim-specific concepts:</w:t>
      </w:r>
      <w:r>
        <w:t xml:space="preserve"> additional, incident, cases; EU scope not established. This is a provisional connection, not an outcome finding.</w:t>
      </w:r>
    </w:p>
    <w:p>
      <w:pPr>
        <w:pStyle w:val="SourceNote"/>
      </w:pPr>
      <w:r>
        <w:rPr>
          <w:b/>
        </w:rPr>
        <w:t>Available abstract (not full text):</w:t>
      </w:r>
      <w:r>
        <w:t xml:space="preserve"> Background: The most prominent risk factor for atrial fibrillation (AF) is chronological age; however, underlying mechanisms are unexplained. Algorithms using epigenetic modifications to the human genome effectively predict chronological age. Chronological and epigenetic predicted ages may diverge in a phenomenon referred to as epigenetic age acceleration (EAA), which may reflect accelerated biological aging. We sought to evaluate for associations between epigenetic age measures and incident AF. Methods: Measures for 4 epigenetic clocks (Horvath, Hannum, DNA methylation [DNAm] PhenoAge, and DNAm GrimAge) and an epigenetic predictor of PAI-1 (plasminogen activator inhibitor-1) levels (ie, DNAm PAI-1) were determined for study participants from 3 population-based cohort studies. Cox models evaluated for associations with incident AF and results were combined via random-effects meta-analyses. Two-sample summary-level Mendelian randomization analyses evaluated for associations between genetic instruments of the EAA measures and AF. Results: Among 5600 participants (mean age, 65.5 years; female, 60.1%; Black, 50.7%), there were 905 incident AF cases during a mean follow-up of 12.9 years. Unadjusted analyses revealed all 4 epigenetic clocks and the DNAm PAI-1 predictor were associated with statistically significant higher hazards of incident AF, though the magnitudes of their point e</w:t>
      </w:r>
    </w:p>
    <w:p>
      <w:pPr>
        <w:pStyle w:val="Heading2"/>
      </w:pPr>
      <w:r>
        <w:t>594.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2021:</w:t>
      </w:r>
      <w:r>
        <w:t xml:space="preserve"> The European Nucleotide Archive in 2021 — https://doi.org/10.1093/nar/gkab1051</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Here, we outline the major updates to ENA's services and infrastructure that have been delivered over the past year.</w:t>
      </w:r>
    </w:p>
    <w:p>
      <w:pPr>
        <w:pStyle w:val="Heading2"/>
      </w:pPr>
      <w:r>
        <w:t>595.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2023:</w:t>
      </w:r>
      <w:r>
        <w:t xml:space="preserve"> The suspension of the Democratic Governance Facility in Uganda: the illusion of “politically smart aid” — https://doi.org/10.1080/09614524.2023.2238915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pPr/>
      <w:r>
        <w:rPr>
          <w:b/>
        </w:rPr>
        <w:t>POSSIBLE 2022:</w:t>
      </w:r>
      <w:r>
        <w:t xml:space="preserve"> China’s Evolving Approach to Foreign Aid — https://doi.org/10.55163/wtnj4163</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pPr/>
      <w:r>
        <w:rPr>
          <w:b/>
        </w:rPr>
        <w:t>POSSIBLE 2022:</w:t>
      </w:r>
      <w:r>
        <w:t xml:space="preserve"> The European Union's migration management aid: Developing democracies or supporting authoritarianism? — https://doi.org/10.1111/imig.13075</w:t>
      </w:r>
    </w:p>
    <w:p>
      <w:pPr/>
      <w:r>
        <w:rPr>
          <w:b/>
        </w:rPr>
        <w:t>Shared claim-specific concepts:</w:t>
      </w:r>
      <w:r>
        <w:t xml:space="preserve"> argue, aid; EU scope visible. This is a provisional connection, not an outcome finding.</w:t>
      </w:r>
    </w:p>
    <w:p>
      <w:pPr>
        <w:pStyle w:val="SourceNote"/>
      </w:pPr>
      <w:r>
        <w:rPr>
          <w:b/>
        </w:rPr>
        <w:t>Available abstract (not full text):</w:t>
      </w:r>
      <w:r>
        <w:t xml:space="preserve">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pPr/>
      <w:r>
        <w:rPr>
          <w:b/>
        </w:rPr>
        <w:t>POSSIBLE 2022:</w:t>
      </w:r>
      <w:r>
        <w:t xml:space="preserve"> The European Commission and the COVID-19 pandemic: a pluri-institutional approach — https://doi.org/10.1080/13501763.2022.2140821</w:t>
      </w:r>
    </w:p>
    <w:p>
      <w:pPr/>
      <w:r>
        <w:rPr>
          <w:b/>
        </w:rPr>
        <w:t>Shared claim-specific concepts:</w:t>
      </w:r>
      <w:r>
        <w:t xml:space="preserve"> argue, approach, support; EU scope visible. This is a provisional connection, not an outcome finding.</w:t>
      </w:r>
    </w:p>
    <w:p>
      <w:pPr>
        <w:pStyle w:val="SourceNote"/>
      </w:pPr>
      <w:r>
        <w:rPr>
          <w:b/>
        </w:rPr>
        <w:t>Available abstract (not full text):</w:t>
      </w:r>
      <w:r>
        <w:t xml:space="preserve">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pPr/>
      <w:r>
        <w:rPr>
          <w:b/>
        </w:rPr>
        <w:t>POSSIBLE 2021:</w:t>
      </w:r>
      <w:r>
        <w:t xml:space="preserve"> Replication Data for: "A Sectoral Approach to the Politics of State Aid in the European Union: an Analysis of the European Automotive Industry" — https://doi.org/10.7910/dvn/ejijkf</w:t>
      </w:r>
    </w:p>
    <w:p>
      <w:pPr/>
      <w:r>
        <w:rPr>
          <w:b/>
        </w:rPr>
        <w:t>Shared claim-specific concepts:</w:t>
      </w:r>
      <w:r>
        <w:t xml:space="preserve"> approach, aid, help; EU scope visible. This is a provisional connection, not an outcome finding.</w:t>
      </w:r>
    </w:p>
    <w:p>
      <w:pPr>
        <w:pStyle w:val="SourceNote"/>
      </w:pPr>
      <w:r>
        <w:rPr>
          <w:b/>
        </w:rPr>
        <w:t>Available abstract (not full text):</w:t>
      </w:r>
      <w:r>
        <w:t xml:space="preserve"> A growing body of scholarship has been focusing on the determinants of subsidy spending. Yet, this literature has mostly overlooked sectoral approaches to explain variation in aid allocations, which can provide useful insights about state-business relations that macroanalyses cannot. The article explores the political determinants of state aid in a key sector of the European economy, the automotive industry, which represents a crucial test case to analyse the relationship between big firms and the state. The article argues that there are two mechanisms through which governments may choose to allocate aid: achievement of policy goals and electoral competition. The resulting hypotheses are tested on an original dataset of over 120 state aid measures in 16 member states of the European Union (EU) where an automotive industry is present between 1992 and 2011. The results show that aid allocations are seldom found to be determined by a government’s preferences over its policy objectives. Instead, electoral rules such as the cultivation of a personal reputation by distribution of targeted benefits to a constituency may help legislators in their chances of being re-elected. The article concludes with limitations of the present study and suggestions for future research.</w:t>
      </w:r>
    </w:p>
    <w:p>
      <w:pPr/>
      <w:r>
        <w:rPr>
          <w:b/>
        </w:rPr>
        <w:t>POSSIBLE 2021:</w:t>
      </w:r>
      <w:r>
        <w:t xml:space="preserve"> Poland towards a new approach to state aid policy after accession to the European Union — https://doi.org/10.33119/978-83-8030-468-0_2021_37_56</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Taking into consideration all changes in the EU law after Poland’s accession, one can assume, that directions and scope of public interventions should be similar among the EU Member States. At the same time, it is obvious, that they should take account of financial constraints, starting points and national/government preferences. Therefore, the primary goal of the chapter is to present Poland’s performance in the EU in terms of state aid granted after the EU accession. To this end we introduced two indices, which are based on works on trade by distinguished authors: Relative State Aid Intensity Index and State Aid Similarity Index. Our research allows us to formulate two observations: first, that state aid in Poland is subordinated to EU multiannual financial programmes in terms of available/offered financial sources, and second, the structure of state aid offered in Poland does not match the structure of public financial assistance observed in most other EU Member States. Poland still grants mailny regional investment aid, which does not require any sophisticated criteria, and only a small percentage of aid for environmental protection and energy, which would support innovation and, at the same time, is desirable in the face of climate change.</w:t>
      </w:r>
    </w:p>
    <w:p>
      <w:pPr/>
      <w:r>
        <w:rPr>
          <w:b/>
        </w:rPr>
        <w:t>POSSIBLE 2021:</w:t>
      </w:r>
      <w:r>
        <w:t xml:space="preserve"> Research Handbook on European State Aid Law — https://doi.org/10.4337/9781789909258</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chapter reviews the political science research on European Union (EU) State aid policy. The literature focuses primarily on the evolution of State aid control and on the institutions and actors who play a role in the policy. Resting on Treaty provisions that were little used in the first decades of the European Community, the Commission’s incremental soft law approach, supportive jurisprudence from the Court of Justice of the European Union (CJEU), and the involvement private complainants have helped bring together Commission and Member State interests in support of State aid control. The Commission’s handling of the financial crisis, a test for the more mature regime, has been largely judged a success. Over time policy initiatives have helped to reduce and target national subsidies, and the enforcement of and compliance with the Treaty provisions have improved dramatically since the late 1980s. The political dimension of the policy seems to have less resonance these days, as there are fewer high-profile controversial cases than in the past, but there are still interesting questions to be addressed about the way in which competition, regional, environmental, cultural and industrial policies are balanced against each other in the design and application of the EU-level policy and decision-making, and what the implications of UK’s departure from the EU and the emergence of po</w:t>
      </w:r>
    </w:p>
    <w:p>
      <w:pPr>
        <w:pStyle w:val="Heading2"/>
      </w:pPr>
      <w:r>
        <w:t>596.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2021:</w:t>
      </w:r>
      <w:r>
        <w:t xml:space="preserve"> The unfinished business of Church history — https://doi.org/10.4102/ve.v42i1.2329</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pStyle w:val="Heading2"/>
      </w:pPr>
      <w:r>
        <w:t>597.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2025:</w:t>
      </w:r>
      <w:r>
        <w:t xml:space="preserve"> Spatiotemporal characteristics of meteorological and hydrological droughts across Europe — https://doi.org/10.1080/19475705.2025.2567413</w:t>
      </w:r>
    </w:p>
    <w:p>
      <w:pPr/>
      <w:r>
        <w:rPr>
          <w:b/>
        </w:rPr>
        <w:t>Shared claim-specific concepts:</w:t>
      </w:r>
      <w:r>
        <w:t xml:space="preserve"> hydrological, droughts, across, warming, water; EU scope visible. This is a provisional connection, not an outcome finding.</w:t>
      </w:r>
    </w:p>
    <w:p>
      <w:pPr>
        <w:pStyle w:val="SourceNote"/>
      </w:pPr>
      <w:r>
        <w:rPr>
          <w:b/>
        </w:rPr>
        <w:t>Available abstract (not full text):</w:t>
      </w:r>
      <w:r>
        <w:t xml:space="preserve">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pPr/>
      <w:r>
        <w:rPr>
          <w:b/>
        </w:rPr>
        <w:t>POSSIBLE 2025:</w:t>
      </w:r>
      <w:r>
        <w:t xml:space="preserve"> Intergenerational inequity from hydrological drought in a warming world — https://doi.org/10.1016/j.jenvman.2025.125988</w:t>
      </w:r>
    </w:p>
    <w:p>
      <w:pPr/>
      <w:r>
        <w:rPr>
          <w:b/>
        </w:rPr>
        <w:t>Shared claim-specific concepts:</w:t>
      </w:r>
      <w:r>
        <w:t xml:space="preserve"> shows, hydrological, droughts, across, warming, river; EU scope visible. This is a provisional connection, not an outcome finding.</w:t>
      </w:r>
    </w:p>
    <w:p>
      <w:pPr>
        <w:pStyle w:val="SourceNote"/>
      </w:pPr>
      <w:r>
        <w:rPr>
          <w:b/>
        </w:rPr>
        <w:t>Available abstract (not full text):</w:t>
      </w:r>
      <w:r>
        <w:t xml:space="preserve">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hydrological, droughts, warming, river, simulations,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Hydrological Drought Generation Processes and Severity Are Changing in the Alps — https://doi.org/10.1029/2022gl101776</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Abstract Streamflow droughts are governed by different hydro‐meteorological processes, whose relative importance may change over time, with potential impacts on drought severity. Here, we assess changes in the importance of different hydrological drought generation processes in the European Alps by applying a standardized drought type classification scheme to two time periods—one in the distant (1970–1993) and one in the recent past (1994–2017). Our findings show that changes in the relative importance of different drought generation processes are stronger in high‐elevation catchments, where we detect clear changes in drought seasonality, than in low‐elevation catchments. Furthermore, they suggest that changes in drought severity and generation processes are related because increasingly frequent snowmelt‐deficit droughts in high‐elevation catchments have larger deficits than droughts caused by decreasingly frequent cold temperatures. These changes might persist into the future, because of continuing decreases in snow cover and increases in evapotranspiration, with potential implications for water management.</w:t>
      </w:r>
    </w:p>
    <w:p>
      <w:pPr/>
      <w:r>
        <w:rPr>
          <w:b/>
        </w:rPr>
        <w:t>POSSIBLE 2023:</w:t>
      </w:r>
      <w:r>
        <w:t xml:space="preserve"> A pan-European analysis of drought events and impacts — https://doi.org/10.5194/egusphere-egu23-12961</w:t>
      </w:r>
    </w:p>
    <w:p>
      <w:pPr/>
      <w:r>
        <w:rPr>
          <w:b/>
        </w:rPr>
        <w:t>Shared claim-specific concepts:</w:t>
      </w:r>
      <w:r>
        <w:t xml:space="preserve"> hydrological, droughts, across, index, river, simulations; EU scope visible. This is a provisional connection, not an outcome finding.</w:t>
      </w:r>
    </w:p>
    <w:p>
      <w:pPr>
        <w:pStyle w:val="SourceNote"/>
      </w:pPr>
      <w:r>
        <w:rPr>
          <w:b/>
        </w:rPr>
        <w:t>Available abstract (not full text):</w:t>
      </w:r>
      <w:r>
        <w:t xml:space="preserve"> A drought is a slowly developing natural phenomenon that can occur in all climatic zones, and propagates through the entire hydrological cycle with long-term economic and environmental impacts. Climate change has made drought one of the greatest natural hazards in Europe, affecting large areas and populations. Different definitions of drought exist, i.e. meteorological, hydrological, and agricultural droughts, which vary according to the time horizon considered and differ in the variable used to define them. Just as there is no single definition of drought, there is no single index that accounts for all the types of droughts. As a consequence, capturing the evolution of drought dynamics and associated impacts across different temporal and spatial scales remains a critical challenge.In this work, we analyze existing standardized drought indexes in terms of their ability in detecting drought events at the pan-European scale using data from HydroGFD2.0 reanalysis and E-HYPE hydrological model simulations over the time period 1993-2018. We firstly compare the frequency and mean duration of drought events detected by different indexes to identify the river basins mostly affected by droughts and to assess similarities and differences in the information provided by different indexes. We then compare them with the drought impacts recorded in the Geocoded Disasters (GDIS) dataset to exa</w:t>
      </w:r>
    </w:p>
    <w:p>
      <w:pPr/>
      <w:r>
        <w:rPr>
          <w:b/>
        </w:rPr>
        <w:t>POSSIBLE 2023:</w:t>
      </w:r>
      <w:r>
        <w:t xml:space="preserve"> The Development of a Hydrological Drought Index for Lithuania — https://doi.org/10.3390/w15081512</w:t>
      </w:r>
    </w:p>
    <w:p>
      <w:pPr/>
      <w:r>
        <w:rPr>
          <w:b/>
        </w:rPr>
        <w:t>Shared claim-specific concepts:</w:t>
      </w:r>
      <w:r>
        <w:t xml:space="preserve"> hydrological, droughts, increasing, levels, index, river; EU scope visible. This is a provisional connection, not an outcome finding.</w:t>
      </w:r>
    </w:p>
    <w:p>
      <w:pPr>
        <w:pStyle w:val="SourceNote"/>
      </w:pPr>
      <w:r>
        <w:rPr>
          <w:b/>
        </w:rPr>
        <w:t>Available abstract (not full text):</w:t>
      </w:r>
      <w:r>
        <w:t xml:space="preserve"> Recently, the number and intensity of hydrological droughts have been increasing; thus, it is necessary to identify and respond to them quickly. Since the primary hydrological data in Lithuania are water levels, and converting these data into discharge takes additional time, there is a need to develop a methodology or adapt these data to analyze and detect hydrological droughts. This paper examines the concept of the standardized water level index (SWLI) calculation, which is based on the standardized precipitation index (SPI) and streamflow drought index (SDI) methods. SDI and SWLI data were compared; SWLI was used to analyze the situation in the past and future. A total of 15 main sub-basins were considered, and the future discharge of three rivers was estimated; SWLI showed good compatibility with SDI. To better analyze droughts, the use of severe drought threshold values (SDTV) was suggested as some river data (especially those for small rivers) needed to be corrected due to dense riverine flora. The dry years and trends identified by SWLI are consistent with previous studies.</w:t>
      </w:r>
    </w:p>
    <w:p>
      <w:pPr/>
      <w:r>
        <w:rPr>
          <w:b/>
        </w:rPr>
        <w:t>POSSIBLE 2022:</w:t>
      </w:r>
      <w:r>
        <w:t xml:space="preserve"> The Complex and Spatially Diverse Patterns of Hydrological Droughts Across Europe — https://doi.org/10.1029/2022wr031976</w:t>
      </w:r>
    </w:p>
    <w:p>
      <w:pPr/>
      <w:r>
        <w:rPr>
          <w:b/>
        </w:rPr>
        <w:t>Shared claim-specific concepts:</w:t>
      </w:r>
      <w:r>
        <w:t xml:space="preserve"> hydrological, droughts, across; EU scope visible. This is a provisional connection, not an outcome finding.</w:t>
      </w:r>
    </w:p>
    <w:p>
      <w:pPr>
        <w:pStyle w:val="SourceNote"/>
      </w:pPr>
      <w:r>
        <w:rPr>
          <w:b/>
        </w:rPr>
        <w:t>Available abstract (not full text):</w:t>
      </w:r>
      <w:r>
        <w:t xml:space="preserve">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pPr/>
      <w:r>
        <w:rPr>
          <w:b/>
        </w:rPr>
        <w:t>POSSIBLE 2022:</w:t>
      </w:r>
      <w:r>
        <w:t xml:space="preserve"> The timing of unprecedented hydrological drought under climate change — https://doi.org/10.1038/s41467-022-30729-2</w:t>
      </w:r>
    </w:p>
    <w:p>
      <w:pPr/>
      <w:r>
        <w:rPr>
          <w:b/>
        </w:rPr>
        <w:t>Shared claim-specific concepts:</w:t>
      </w:r>
      <w:r>
        <w:t xml:space="preserve"> hydrological, droughts, low-flow, river, discharge, simulations; EU scope visible. This is a provisional connection, not an outcome finding.</w:t>
      </w:r>
    </w:p>
    <w:p>
      <w:pPr>
        <w:pStyle w:val="SourceNote"/>
      </w:pPr>
      <w:r>
        <w:rPr>
          <w:b/>
        </w:rPr>
        <w:t>Available abstract (not full text):</w:t>
      </w:r>
      <w:r>
        <w:t xml:space="preserve"> Droughts that exceed the magnitudes of historical variation ranges could occur increasingly frequently under future climate conditions. However, the time of the emergence of unprecedented drought conditions under climate change has rarely been examined. Here, using multimodel hydrological simulations, we investigate the changes in the frequency of hydrological drought (defined as abnormally low river discharge) under high and low greenhouse gas concentration scenarios and existing water resource management measures and estimate the time of the first emergence of unprecedented regional drought conditions centered on the low-flow season. The times are detected for several subcontinental-scale regions, and three regions, namely, Southwestern South America, Mediterranean Europe, and Northern Africa, exhibit particularly robust results under the high-emission scenario. These three regions are expected to confront unprecedented conditions within the next 30 years with a high likelihood regardless of the emission scenarios. In addition, the results obtained herein demonstrate the benefits of the lower-emission pathway in reducing the likelihood of emergence. The Paris Agreement goals are shown to be effective in reducing the likelihood to the unlikely level in most regions. However, appropriate and prior adaptation measures are considered indispensable when facing unprecedented drough</w:t>
      </w:r>
    </w:p>
    <w:p>
      <w:pPr/>
      <w:r>
        <w:rPr>
          <w:b/>
        </w:rPr>
        <w:t>POSSIBLE 2022:</w:t>
      </w:r>
      <w:r>
        <w:t xml:space="preserve"> Hydrological Retrospective and Historical Drought Analysis in a Brazilian Savanna Basin — https://doi.org/10.3390/w14142178</w:t>
      </w:r>
    </w:p>
    <w:p>
      <w:pPr/>
      <w:r>
        <w:rPr>
          <w:b/>
        </w:rPr>
        <w:t>Shared claim-specific concepts:</w:t>
      </w:r>
      <w:r>
        <w:t xml:space="preserve"> hydrological, droughts, index, water; EU scope visible. This is a provisional connection, not an outcome finding.</w:t>
      </w:r>
    </w:p>
    <w:p>
      <w:pPr>
        <w:pStyle w:val="SourceNote"/>
      </w:pPr>
      <w:r>
        <w:rPr>
          <w:b/>
        </w:rPr>
        <w:t>Available abstract (not full text):</w:t>
      </w:r>
      <w:r>
        <w:t xml:space="preserve"> Analyzing historical droughts is essential to improve the assessment of future hydrological risks and to understand the effects of climate variability on streamflow. However, prolonged and consistent hydrological time series are scarce in the Brazilian savanna region. This study aimed to analyze the performance of climate reanalysis products in precipitation estimation, hydrological modeling, and historical drought analysis in a Brazilian savanna basin. For this purpose, precipitation data from the twentieth-century atmospheric model ensemble (ERA-20CM) and the land component of the fifth generation of European ReAnalysis (ERA5-Land) with bias correction were used. The weather variables were obtained from the Climatic Research Unit (CRU) and the hydrological modeling was performed using the Soil and Water Assessment Tool (SWAT). The Standardized Streamflow Index (SSI) was used to calculate hydrological drought in the basin. Overall, ERA5-Land performed satisfactorily in precipitation estimation, mainly on the monthly time scale, hydrological modeling, and drought prediction. Since ERA-20CM showed unsatisfactory values for the performance statistics in all analyses, the hydrologic drought (1950 to 2018) was performed with ERA5-Land. The results showed both an increase in the number of dry months and a decrease in wet months in recent decades.</w:t>
      </w:r>
    </w:p>
    <w:p>
      <w:pPr>
        <w:pStyle w:val="Heading2"/>
      </w:pPr>
      <w:r>
        <w:t>598.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Ranking of Alzheimer's disease and related dementia among the leading causes of death in the US varies depending on NCHS or WHO definitions — https://doi.org/10.1002/dad2.12442</w:t>
      </w:r>
    </w:p>
    <w:p>
      <w:pPr/>
      <w:r>
        <w:rPr>
          <w:b/>
        </w:rPr>
        <w:t>Shared claim-specific concepts:</w:t>
      </w:r>
      <w:r>
        <w:t xml:space="preserve"> dementia, leading, disease, health; EU scope not established. This is a provisional connection, not an outcome finding.</w:t>
      </w:r>
    </w:p>
    <w:p>
      <w:pPr>
        <w:pStyle w:val="SourceNote"/>
      </w:pPr>
      <w:r>
        <w:rPr>
          <w:b/>
        </w:rPr>
        <w:t>Available abstract (not full text):</w:t>
      </w:r>
      <w:r>
        <w:t xml:space="preserve">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pPr/>
      <w:r>
        <w:rPr>
          <w:b/>
        </w:rPr>
        <w:t>POSSIBLE 2023:</w:t>
      </w:r>
      <w:r>
        <w:t xml:space="preserve"> The worldwide costs of dementia in 2019 — https://doi.org/10.1002/alz.12901</w:t>
      </w:r>
    </w:p>
    <w:p>
      <w:pPr/>
      <w:r>
        <w:rPr>
          <w:b/>
        </w:rPr>
        <w:t>Shared claim-specific concepts:</w:t>
      </w:r>
      <w:r>
        <w:t xml:space="preserve"> dementia, leading, cause, care; EU scope not established. This is a provisional connection, not an outcome finding.</w:t>
      </w:r>
    </w:p>
    <w:p>
      <w:pPr>
        <w:pStyle w:val="SourceNote"/>
      </w:pPr>
      <w:r>
        <w:rPr>
          <w:b/>
        </w:rPr>
        <w:t>Available abstract (not full text):</w:t>
      </w:r>
      <w:r>
        <w:t xml:space="preserve"> INTRODUCTION: Dementia is a leading cause of death and disability globally. Estimating total societal costs demonstrates the wide impact of dementia and its main direct and indirect economic components. METHODS: We constructed a global cost model for dementia, presenting costs as cumulated global and regional costs. RESULTS: In 2019, the annual global societal costs of dementia were estimated at US $1313.4 billion for 55.2 million people with dementia, corresponding to US $23,796 per person with dementia. Of the total, US $213.2 billion (16%) were direct medical costs, US $448.7 billion (34%) direct social sector costs (including long-term care), and US $651.4 billion (50%) costs of informal care. DISCUSSION: The huge costs of dementia worldwide place enormous strains on care systems and families alike. Although most people with dementia live in low- and middle-income countries, highest total and per-person costs are seen in high-income countries. HIGHLIGHTS: Global economic costs of dementia were estimated to reach US $1313.4 in 2019. Sixty-one percent of people with dementia live in low-and middle-income countries, whereas 74% of the costs occur in high-income countries. The impact of informal care accounts for about 50% of the global costs. The development of a long-term care infrastructure is a great challenge for low-and middle-income countries. There is a great need for m</w:t>
      </w:r>
    </w:p>
    <w:p>
      <w:pPr/>
      <w:r>
        <w:rPr>
          <w:b/>
        </w:rPr>
        <w:t>POSSIBLE 2023:</w:t>
      </w:r>
      <w:r>
        <w:t xml:space="preserve"> Dementia: Dementia Types. — https://openalex.org/W4388801546</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Dementia, also called major neurocognitive disorder, is characterized by a chronic progressive loss of cognitive function in the absence of fluctuating consciousness. It represents a primarily geriatric syndrome that may be caused by one of several underlying conditions. There is insufficient evidence to support universal screening for cognitive impairment in older adults; however, clinicians should be alert to patient and caregiver concerns about cognitive changes and investigate such concerns with validated cognitive assessment tools. Alzheimer disease is the leading cause and prototypical form of dementia, presenting insidiously and causing progressive cognitive impairment with increasing severity over a period of years. Vascular dementia is the second most common form of dementia and often co-occurs with other progressive cognitive disorders. Lewy body dementias encompass Parkinson disease dementia and dementia with Lewy bodies, which have similar features and are differentiated primarily by the order of motor and cognitive symptom onset. Frontotemporal dementias occur earlier than other forms of dementia, progress rapidly, and often have a genetic component. An understanding of the conditions that cause dementia will assist clinicians in making an accurate diagnosis and providing appropriate treatment recommendations and counseling regarding the diagnosis and prognosis.</w:t>
      </w:r>
    </w:p>
    <w:p>
      <w:pPr/>
      <w:r>
        <w:rPr>
          <w:b/>
        </w:rPr>
        <w:t>POSSIBLE 2023:</w:t>
      </w:r>
      <w:r>
        <w:t xml:space="preserve"> The use of neuroimaging techniques in the early and differential diagnosis of dementia — https://doi.org/10.1038/s41380-023-02215-8</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Abstract Dementia is a leading cause of disability and death worldwide. At present there is no disease modifying treatment for any of the most common types of dementia such as Alzheimer’s disease (AD), Vascular dementia, Lewy Body Dementia (LBD) and Frontotemporal dementia (FTD). Early and accurate diagnosis of dementia subtype is critical to improving clinical care and developing better treatments. Structural and molecular imaging has contributed to a better understanding of the pathophysiology of neurodegenerative dementias and is increasingly being adopted into clinical practice for early and accurate diagnosis. In this review we summarise the contribution imaging has made with particular focus on multimodal magnetic resonance imaging (MRI) and positron emission tomography imaging (PET). Structural MRI is widely used in clinical practice and can help exclude reversible causes of memory problems but has relatively low sensitivity for the early and differential diagnosis of dementia subtypes. 18 F-fluorodeoxyglucose PET has high sensitivity and specificity for AD and FTD, while PET with ligands for amyloid and tau can improve the differential diagnosis of AD and non-AD dementias, including recognition at prodromal stages. Dopaminergic imaging can assist with the diagnosis of LBD. The lack of a validated tracer for α-synuclein or TAR DNA-binding protein 43 (TDP-43) imaging rema</w:t>
      </w:r>
    </w:p>
    <w:p>
      <w:pPr/>
      <w:r>
        <w:rPr>
          <w:b/>
        </w:rPr>
        <w:t>POSSIBLE 2023:</w:t>
      </w:r>
      <w:r>
        <w:t xml:space="preserve"> Dementia Related Deaths: A Multiple Cause Coding Study — https://doi.org/10.52403/ijhsr.20231034</w:t>
      </w:r>
    </w:p>
    <w:p>
      <w:pPr/>
      <w:r>
        <w:rPr>
          <w:b/>
        </w:rPr>
        <w:t>Shared claim-specific concepts:</w:t>
      </w:r>
      <w:r>
        <w:t xml:space="preserve"> dementia, leading, cause, mortality, disease, all; EU scope not established. This is a provisional connection, not an outcome finding.</w:t>
      </w:r>
    </w:p>
    <w:p>
      <w:pPr>
        <w:pStyle w:val="SourceNote"/>
      </w:pPr>
      <w:r>
        <w:rPr>
          <w:b/>
        </w:rPr>
        <w:t>Available abstract (not full text):</w:t>
      </w:r>
      <w:r>
        <w:t xml:space="preserve"> Background: A multiple cause coding of death certificates is a new way of looking at mortality statistics. Death is attributed to a network of interacting pathological conditions, not just to one disease. For dementia - the leading cause of death in many countries today - this implies a revaluation on its role as cause of death. Methods: All records mentioning dementia in the 2014-2017 Dutch cause-of-death registry were selected (n = 98 718, 18% of all records). Two internationals agreed on measures for multiple cause coding were calculated: the standardized rate of dementia begin mentioned versus dementia being underlying cause of death (SRMU) and the cause of death association index (CDAI) for relationships between dementia and other diseases or disorders mentioned on the same death certificate. Results: Dementia was the underlying cause of death in 59% of the death certificates mentioning dementia. The SRMU was 1.68 for all forms of dementia and decreased with an increase of diagnostic specification. For men the SRMU was higher than for women. With regard to all causes being mentioned on a death certificate, several clusters causing death could be identified: 1. Dementia associated with cachexia and dehydration, 2. Dementia associated with infections (pneumonia, urinary tract), 3. Dementia associated with falls, 4. Dementia associated with cardiovascular disorders. Conclusio</w:t>
      </w:r>
    </w:p>
    <w:p>
      <w:pPr/>
      <w:r>
        <w:rPr>
          <w:b/>
        </w:rPr>
        <w:t>POSSIBLE 2023:</w:t>
      </w:r>
      <w:r>
        <w:t xml:space="preserve"> Dementia in Diabetes: The Role of Hypoglycemia — https://doi.org/10.3390/ijms24129846</w:t>
      </w:r>
    </w:p>
    <w:p>
      <w:pPr/>
      <w:r>
        <w:rPr>
          <w:b/>
        </w:rPr>
        <w:t>Shared claim-specific concepts:</w:t>
      </w:r>
      <w:r>
        <w:t xml:space="preserve"> dementia, leading, cause, mortality; EU scope not established. This is a provisional connection, not an outcome finding.</w:t>
      </w:r>
    </w:p>
    <w:p>
      <w:pPr>
        <w:pStyle w:val="SourceNote"/>
      </w:pPr>
      <w:r>
        <w:rPr>
          <w:b/>
        </w:rPr>
        <w:t>Available abstract (not full text):</w:t>
      </w:r>
      <w:r>
        <w:t xml:space="preserve"> Hypoglycemia, a common consequence of diabetes treatment, is associated with severe morbidity and mortality and has become a major barrier to intensifying antidiabetic therapy. Severe hypoglycemia, defined as abnormally low blood glucose requiring the assistance of another person, is associated with seizures and comas, but even mild hypoglycemia can cause troubling symptoms such as anxiety, palpitations, and confusion. Dementia generally refers to the loss of memory, language, problem-solving, and other cognitive functions, which can interfere with daily life, and there is growing evidence that diabetes is associated with an increased risk of both vascular and non-vascular dementia. Neuroglycopenia resulting from a hypoglycemic episode in diabetic patients can lead to the degeneration of brain cells, with a resultant cognitive decline, leading to dementia. In light of new evidence, a deeper understating of the relationship between hypoglycemia and dementia can help to inform and guide preventative strategies. In this review, we discuss the epidemiology of dementia among patients with diabetes, and the emerging mechanisms thought to underlie the association between hypoglycemia and dementia. Furthermore, we discuss the risks of various pharmacological therapies, emerging therapies to combat hypoglycemia-induced dementia, as well as risk minimization strategies.</w:t>
      </w:r>
    </w:p>
    <w:p>
      <w:pPr/>
      <w:r>
        <w:rPr>
          <w:b/>
        </w:rPr>
        <w:t>POSSIBLE 2022:</w:t>
      </w:r>
      <w:r>
        <w:t xml:space="preserve"> Occupational Therapy Utilization in Veterans With Dementia: A Retrospective Review of Root Cause Analyses of Falls Leading to Adverse Events. — https://doi.org/10.1097/pts.0000000000000860</w:t>
      </w:r>
    </w:p>
    <w:p>
      <w:pPr/>
      <w:r>
        <w:rPr>
          <w:b/>
        </w:rPr>
        <w:t>Shared claim-specific concepts:</w:t>
      </w:r>
      <w:r>
        <w:t xml:space="preserve"> dementia, leading, cause, mortality, health, all; EU scope not established. This is a provisional connection, not an outcome finding.</w:t>
      </w:r>
    </w:p>
    <w:p>
      <w:pPr>
        <w:pStyle w:val="SourceNote"/>
      </w:pPr>
      <w:r>
        <w:rPr>
          <w:b/>
        </w:rPr>
        <w:t>Available abstract (not full text):</w:t>
      </w:r>
      <w:r>
        <w:t xml:space="preserve"> INTRODUCTION: Falls in persons with dementia are associated with increased mortality. Occupational therapy (OT) is a rehabilitation discipline, which has, among its goals, the promotion of safety and fall prevention in older adults and those with dementia. The purpose of this study was to evaluate root cause analysis (RCA) data to identify causes of falls with adverse events in patients with dementia who were referred to or receiving OT services within the Veterans Health Administration (VHA). METHODS: This study used retrospective review of RCAs within the National Center for Patient Safety database for the VHA. The RCA database was searched using these terms: falls with adverse events, dementia, and OT. Descriptive statistical analysis of demographic information, location, occurrence of orthopedic fracture, and mortality was used. All root causes were qualitatively categorized using thematic analysis of determined causes. RESULTS: Eighty RCAs were included in analysis. Mean age of veterans included was 80 years; 96% were male; 76% resulted in hip fracture; and 20% died as a result of the fall. Occupational therapy evaluations occurred within 7 days of admission to VHA and falls most frequently occurred within 4 days of OT evaluation. Most common causes included inappropriate or lack of equipment (21%), need for falls/rehabilitation assessment (20%), compliance/training to fal</w:t>
      </w:r>
    </w:p>
    <w:p>
      <w:pPr>
        <w:pStyle w:val="Heading2"/>
      </w:pPr>
      <w:r>
        <w:t>599.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2022:</w:t>
      </w:r>
      <w:r>
        <w:t xml:space="preserve"> Change in Global Environmental Politics — https://doi.org/10.1017/9781009165877</w:t>
      </w:r>
    </w:p>
    <w:p>
      <w:pPr/>
      <w:r>
        <w:rPr>
          <w:b/>
        </w:rPr>
        <w:t>Shared claim-specific concepts:</w:t>
      </w:r>
      <w:r>
        <w:t xml:space="preserve"> political, world; EU scope not established. This is a provisional connection, not an outcome finding.</w:t>
      </w:r>
    </w:p>
    <w:p>
      <w:pPr>
        <w:pStyle w:val="SourceNote"/>
      </w:pPr>
      <w:r>
        <w:rPr>
          <w:b/>
        </w:rPr>
        <w:t>Available abstract (not full text):</w:t>
      </w:r>
      <w:r>
        <w:t xml:space="preserve"> As wildfires rage, pollution thickens, and species disappear, the world confronts environmental crisis with a set of global institutions in urgent need of reform. Yet, these institutions have proved frustratingly resistant to change. Introducing the concept of Temporal Focal Points, Manulak shows how change occurs in world politics. By re-envisioning the role of timing and temporality in social relations, his analysis presents a new approach to understanding transformative phases in international cooperation. We may now be entering such a phase, he argues, and global actors must be ready to realize the opportunities presented. Charting the often colorful and intensely political history of change in global environmental politics, this book sheds new light on the actors and institutions that shape humanity's response to planetary decline. It will be of interest to scholars and advanced students of international relations, international organization and environmental politics and history.</w:t>
      </w:r>
    </w:p>
    <w:p>
      <w:pPr/>
      <w:r>
        <w:rPr>
          <w:b/>
        </w:rPr>
        <w:t>POSSIBLE 2022:</w:t>
      </w:r>
      <w:r>
        <w:t xml:space="preserve"> Livestock, methane, and climate change: The politics of global assessments — https://doi.org/10.1002/wcc.790</w:t>
      </w:r>
    </w:p>
    <w:p>
      <w:pPr/>
      <w:r>
        <w:rPr>
          <w:b/>
        </w:rPr>
        <w:t>Shared claim-specific concepts:</w:t>
      </w:r>
      <w:r>
        <w:t xml:space="preserve"> political, scientific; EU scope not established. This is a provisional connection, not an outcome finding.</w:t>
      </w:r>
    </w:p>
    <w:p>
      <w:pPr>
        <w:pStyle w:val="SourceNote"/>
      </w:pPr>
      <w:r>
        <w:rPr>
          <w:b/>
        </w:rPr>
        <w:t>Available abstract (not full text):</w:t>
      </w:r>
      <w:r>
        <w:t xml:space="preserve"> The relationship between livestock production and climate change is the subject of hot debate, with arguments for major shifts in diets and a reduction in livestock production. This Perspective examines how global assessments of livestock-derived methane emissions are framed, identifying assumptions and data gaps that influence standard life-cycle analysis approaches. These include inadequate data due to a focus on industrial not extensive systems; errors arising due to inappropriate emission factors being applied; questions of how global warming potentials are derived for different greenhouse gases and debates about what baselines are appropriate. The article argues for a holistic systems approach that takes account of diverse livestock systems-both intensive and extensive-including both positive and negative impacts. In particular, the potential benefits of extensive livestock systems are highlighted, including supporting livelihoods, providing high-quality nutrition, enhancing biodiversity, protecting landscapes, and sequestering carbon. By failing to differentiate between livestock systems, global assessments may mislead. Inappropriate measurement, verification and reporting processes linked to global climate change policy may in turn result in interventions that can undermine the livelihoods of extensive livestock-keepers in marginal areas, including mobile pastoralists. I</w:t>
      </w:r>
    </w:p>
    <w:p>
      <w:pPr/>
      <w:r>
        <w:rPr>
          <w:b/>
        </w:rPr>
        <w:t>POSSIBLE 2021:</w:t>
      </w:r>
      <w:r>
        <w:t xml:space="preserve"> Generic, growing, green?: The changing political economy of the global pesticide complex — https://doi.org/10.1080/03066150.2020.1839053</w:t>
      </w:r>
    </w:p>
    <w:p>
      <w:pPr/>
      <w:r>
        <w:rPr>
          <w:b/>
        </w:rPr>
        <w:t>Shared claim-specific concepts:</w:t>
      </w:r>
      <w:r>
        <w:t xml:space="preserve"> political, complex; EU scope not established. This is a provisional connection, not an outcome finding.</w:t>
      </w:r>
    </w:p>
    <w:p>
      <w:pPr>
        <w:pStyle w:val="SourceNote"/>
      </w:pPr>
      <w:r>
        <w:rPr>
          <w:b/>
        </w:rPr>
        <w:t>Available abstract (not full text):</w:t>
      </w:r>
      <w:r>
        <w:t xml:space="preserve"> Agriculture is now more dependent on pesticides than ever. The value of global pesticide imports increased 3x faster in the 2000s than in the 1990s. Structural transformations in the industry – including reduced innovation, increased regulatory costs, consolidation, and a dramatic shift to generic pesticides largely produced in China – have shifted prices, supply chains and formulations. The ‘supermarket revolution’, migration, and rising labor costs are driving an increase in demand. The result is a pesticide complex that is multipolar, where commodity chains and environmental impacts are less legible, requiring a hard look at the chemical nature of agrarian capitalism.</w:t>
      </w:r>
    </w:p>
    <w:p>
      <w:pPr/>
      <w:r>
        <w:rPr>
          <w:b/>
        </w:rPr>
        <w:t>POSSIBLE 2021:</w:t>
      </w:r>
      <w:r>
        <w:t xml:space="preserve"> The Climate Crisis, Renewable Energy, and the Changing Landscape of Global Energy Politics — https://doi.org/10.1177/03043754211040698</w:t>
      </w:r>
    </w:p>
    <w:p>
      <w:pPr/>
      <w:r>
        <w:rPr>
          <w:b/>
        </w:rPr>
        <w:t>Shared claim-specific concepts:</w:t>
      </w:r>
      <w:r>
        <w:t xml:space="preserve"> political, world, era, collapse, energy; EU scope not established. This is a provisional connection, not an outcome finding.</w:t>
      </w:r>
    </w:p>
    <w:p>
      <w:pPr>
        <w:pStyle w:val="SourceNote"/>
      </w:pPr>
      <w:r>
        <w:rPr>
          <w:b/>
        </w:rPr>
        <w:t>Available abstract (not full text):</w:t>
      </w:r>
      <w:r>
        <w:t xml:space="preserve"> Abstract This essay reviews three recent books on the changing landscape of global energy politics in the era of climate change. Key questions that the authors investigate include: how will the renewable energy transition reshape the global balance of power? How will political-economic interdependencies and geopolitical alignments shift? Will contemporary petro-states adapt or collapse? And what new patterns of peace and conflict may emerge in a decarbonized world order? The authors provide different perspectives on the likely speed of the energy transition and its geopolitical implications. However, they occlude deeper questions about the depth of the transformations needed to prevent climate catastrophe—particularly in the nature of capitalism and military power—and the potential for more radical perspectives on energy futures. In contrast, I will argue that we should advance a critical research agenda on the global energy transition that accounts for the possibility of more far-reaching transformations in the political-economic, military, and ideological bases of world politics and highlights diverse movements fighting for their realization. These possible transformations include (1) transitions to post-growth political economies; (2) a radical shrinkage of emissions-intensive military–industrial complexes; and (3) decolonizing ideologies of “progress.” If struggles for alte</w:t>
      </w:r>
    </w:p>
    <w:p>
      <w:pPr>
        <w:pStyle w:val="Heading2"/>
      </w:pPr>
      <w:r>
        <w:t>600.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demonstrate, climate, mitigation;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Natural Hazards in a Changing World: Methods for Analyzing Trends and Non‐Linear Changes — https://doi.org/10.1029/2023ef003553</w:t>
      </w:r>
    </w:p>
    <w:p>
      <w:pPr/>
      <w:r>
        <w:rPr>
          <w:b/>
        </w:rPr>
        <w:t>Shared claim-specific concepts:</w:t>
      </w:r>
      <w:r>
        <w:t xml:space="preserve"> types, dynamics, assess; EU scope visible. This is a provisional connection, not an outcome finding.</w:t>
      </w:r>
    </w:p>
    <w:p>
      <w:pPr>
        <w:pStyle w:val="SourceNote"/>
      </w:pPr>
      <w:r>
        <w:rPr>
          <w:b/>
        </w:rPr>
        <w:t>Available abstract (not full text):</w:t>
      </w:r>
      <w:r>
        <w:t xml:space="preserve">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pPr/>
      <w:r>
        <w:rPr>
          <w:b/>
        </w:rPr>
        <w:t>POSSIBLE 2023:</w:t>
      </w:r>
      <w:r>
        <w:t xml:space="preserve"> Reduced grazing and changes in the area of agroforestry in Europe — https://doi.org/10.3389/fenvs.2023.1258697</w:t>
      </w:r>
    </w:p>
    <w:p>
      <w:pPr/>
      <w:r>
        <w:rPr>
          <w:b/>
        </w:rPr>
        <w:t>Shared claim-specific concepts:</w:t>
      </w:r>
      <w:r>
        <w:t xml:space="preserve"> types, food, system;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Deep learning-based classification of atmospheric circulation types over Europe in a CMIP6 Large Ensemble — https://doi.org/10.5194/ems2023-327</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pPr/>
      <w:r>
        <w:rPr>
          <w:b/>
        </w:rPr>
        <w:t>POSSIBLE 2022:</w:t>
      </w:r>
      <w:r>
        <w:t xml:space="preserve"> COSMOS-Europe: a European network of cosmic-ray neutron soil moisture sensors — https://doi.org/10.5194/essd-14-1125-2022</w:t>
      </w:r>
    </w:p>
    <w:p>
      <w:pPr/>
      <w:r>
        <w:rPr>
          <w:b/>
        </w:rPr>
        <w:t>Shared claim-specific concepts:</w:t>
      </w:r>
      <w:r>
        <w:t xml:space="preserve"> demonstrate, types, climate, presents; EU scope visible. This is a provisional connection, not an outcome finding.</w:t>
      </w:r>
    </w:p>
    <w:p>
      <w:pPr>
        <w:pStyle w:val="SourceNote"/>
      </w:pPr>
      <w:r>
        <w:rPr>
          <w:b/>
        </w:rPr>
        <w:t>Available abstract (not full text):</w:t>
      </w:r>
      <w:r>
        <w:t xml:space="preserve"> Abstract. Climate change increases the occurrence and severity of droughts due to increasing temperatures, altered circulation patterns, and reduced snow occurrence. While Europe has suffered from drought events in the last decade unlike ever seen since the beginning of weather recordings, harmonized long-term datasets across the continent are needed to monitor change and support predictions. Here we present soil moisture data from 66 cosmic-ray neutron sensors (CRNSs) in Europe (COSMOS-Europe for short) covering recent drought events. The CRNS sites are distributed across Europe and cover all major land use types and climate zones in Europe. The raw neutron count data from the CRNS stations were provided by 24 research institutions and processed using state-of-the-art methods. The harmonized processing included correction of the raw neutron counts and a harmonized methodology for the conversion into soil moisture based on available in situ information. In addition, the uncertainty estimate is provided with the dataset, information that is particularly useful for remote sensing and modeling applications. This paper presents the current spatiotemporal coverage of CRNS stations in Europe and describes the protocols for data processing from raw measurements to consistent soil moisture products. The data of the presented COSMOS-Europe network open up a manifold of potential applica</w:t>
      </w:r>
    </w:p>
    <w:p>
      <w:pPr/>
      <w:r>
        <w:rPr>
          <w:b/>
        </w:rPr>
        <w:t>POSSIBLE 2022:</w:t>
      </w:r>
      <w:r>
        <w:t xml:space="preserve"> Classification of atmospheric circulation types over Europe in a CMIP6 Large Ensemble using Deep Learning — https://doi.org/10.5194/egusphere-egu22-10421</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The 29 circulation types by Hess &amp; Brezowsky, called “Großwetterlagen”, are one of the most established classification schemes of the large-scale atmospheric circulation patterns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 data, only very few studies examine future trends in the frequency distribution of these circulation types using climate models. Among the potential limitations for the application of “Großwetterlagen” to climate models are the lack of an open-source classification method and the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the classification of the “Großwetterlagen” using deep learning and we apply this method to the SMHI-LENS, an initia</w:t>
      </w:r>
    </w:p>
    <w:p>
      <w:pPr/>
      <w:r>
        <w:rPr>
          <w:b/>
        </w:rPr>
        <w:t>POSSIBLE 2022:</w:t>
      </w:r>
      <w:r>
        <w:t xml:space="preserve"> Ellenberg‐type indicator values for European vascular plant species — https://doi.org/10.1111/jvs.13168</w:t>
      </w:r>
    </w:p>
    <w:p>
      <w:pPr/>
      <w:r>
        <w:rPr>
          <w:b/>
        </w:rPr>
        <w:t>Shared claim-specific concepts:</w:t>
      </w:r>
      <w:r>
        <w:t xml:space="preserve"> original, system, aims;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2021:</w:t>
      </w:r>
      <w:r>
        <w:t xml:space="preserve"> Scaling up nature-based solutions for climate-change adaptation: Potential and benefits in three European cities — https://doi.org/10.1016/j.ufug.2021.127450</w:t>
      </w:r>
    </w:p>
    <w:p>
      <w:pPr/>
      <w:r>
        <w:rPr>
          <w:b/>
        </w:rPr>
        <w:t>Shared claim-specific concepts:</w:t>
      </w:r>
      <w:r>
        <w:t xml:space="preserve"> types, quantities, along, climate, mitigation, aims; EU scope visible. This is a provisional connection, not an outcome finding.</w:t>
      </w:r>
    </w:p>
    <w:p>
      <w:pPr>
        <w:pStyle w:val="SourceNote"/>
      </w:pPr>
      <w:r>
        <w:rPr>
          <w:b/>
        </w:rPr>
        <w:t>Available abstract (not full text):</w:t>
      </w:r>
      <w:r>
        <w:t xml:space="preserve">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601.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2024:</w:t>
      </w:r>
      <w:r>
        <w:t xml:space="preserve"> Critical diameter for a single-tank molten salt storage – Parametric study on structural tank design — https://doi.org/10.1016/j.est.2024.113870</w:t>
      </w:r>
    </w:p>
    <w:p>
      <w:pPr/>
      <w:r>
        <w:rPr>
          <w:b/>
        </w:rPr>
        <w:t>Shared claim-specific concepts:</w:t>
      </w:r>
      <w:r>
        <w:t xml:space="preserve"> show, tank, best; EU scope not established. This is a provisional connection, not an outcome finding.</w:t>
      </w:r>
    </w:p>
    <w:p>
      <w:pPr>
        <w:pStyle w:val="SourceNote"/>
      </w:pPr>
      <w:r>
        <w:rPr>
          <w:b/>
        </w:rPr>
        <w:t>Available abstract (not full text):</w:t>
      </w:r>
      <w:r>
        <w:t xml:space="preserve">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pPr/>
      <w:r>
        <w:rPr>
          <w:b/>
        </w:rPr>
        <w:t>POSSIBLE 2023:</w:t>
      </w:r>
      <w:r>
        <w:t xml:space="preserve"> Design and optimization of a type-C tank for liquid hydrogen marine transport — https://doi.org/10.1016/j.ijhydene.2023.05.102</w:t>
      </w:r>
    </w:p>
    <w:p>
      <w:pPr/>
      <w:r>
        <w:rPr>
          <w:b/>
        </w:rPr>
        <w:t>Shared claim-specific concepts:</w:t>
      </w:r>
      <w:r>
        <w:t xml:space="preserve"> outcomes, tank, transport; EU scope not established. This is a provisional connection, not an outcome finding.</w:t>
      </w:r>
    </w:p>
    <w:p>
      <w:pPr>
        <w:pStyle w:val="SourceNote"/>
      </w:pPr>
      <w:r>
        <w:rPr>
          <w:b/>
        </w:rPr>
        <w:t>Available abstract (not full text):</w:t>
      </w:r>
      <w:r>
        <w:t xml:space="preserve">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pPr/>
      <w:r>
        <w:rPr>
          <w:b/>
        </w:rPr>
        <w:t>POSSIBLE 2022:</w:t>
      </w:r>
      <w:r>
        <w:t xml:space="preserve"> Teaching Acoustics at the EELISA THINK TANK on SUSTAINABLE BUILDINGS — https://doi.org/10.61782/fa.2023.1301</w:t>
      </w:r>
    </w:p>
    <w:p>
      <w:pPr/>
      <w:r>
        <w:rPr>
          <w:b/>
        </w:rPr>
        <w:t>Shared claim-specific concepts:</w:t>
      </w:r>
      <w:r>
        <w:t xml:space="preserve"> outcomes, tank, all; EU scope visible. This is a provisional connection, not an outcome finding.</w:t>
      </w:r>
    </w:p>
    <w:p>
      <w:pPr>
        <w:pStyle w:val="SourceNote"/>
      </w:pPr>
      <w:r>
        <w:rPr>
          <w:b/>
        </w:rPr>
        <w:t>Available abstract (not full text):</w:t>
      </w:r>
      <w:r>
        <w:t xml:space="preserve">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pPr/>
      <w:r>
        <w:rPr>
          <w:b/>
        </w:rPr>
        <w:t>POSSIBLE 2021:</w:t>
      </w:r>
      <w:r>
        <w:t xml:space="preserve"> The media and think tanks in China: The construction and propagation of a think tank — https://doi.org/10.1080/01296612.2021.1899785</w:t>
      </w:r>
    </w:p>
    <w:p>
      <w:pPr/>
      <w:r>
        <w:rPr>
          <w:b/>
        </w:rPr>
        <w:t>Shared claim-specific concepts:</w:t>
      </w:r>
      <w:r>
        <w:t xml:space="preserve"> show, tank, policies; EU scope not established. This is a provisional connection, not an outcome finding.</w:t>
      </w:r>
    </w:p>
    <w:p>
      <w:pPr>
        <w:pStyle w:val="SourceNote"/>
      </w:pPr>
      <w:r>
        <w:rPr>
          <w:b/>
        </w:rPr>
        <w:t>Available abstract (not full text):</w:t>
      </w:r>
      <w:r>
        <w:t xml:space="preserve"> With China's rapid growth as a regional and global power, think tanks in China have received increasing attention from politicians and academics, mostly due to the achievements of academic and processing policies. Recently, collaborations between the media and think tanks have become increasingly tight. This article aims to explore China's think tank industry and their relationship with the media by interviewing two members of staff from one of China’s most prominent think tanks and observing the Institute for six months. This study has found that China’s think tanks have a close relationship with the government and the media. The traditional Chinese Confucian culture and the "bureaucracy-oriented tradition" have a significant role in the think tanks' political behavior. This leads the think tanks to play the role of being an advocate of the government. Although social media, to some extent, liberalizes the work style of China's think tanks, the think tanks' use of social media still follows the traditional media logic to facilitate the government's interests. Overall, the study argues that Chinese think tanks show features of being a “Government-lead non-governmental organization" with a semi-official identity to complement the official authorities.</w:t>
      </w:r>
    </w:p>
    <w:p>
      <w:pPr>
        <w:pStyle w:val="Heading2"/>
      </w:pPr>
      <w:r>
        <w:t>602.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r>
        <w:rPr>
          <w:b/>
        </w:rPr>
        <w:t>POSSIBLE 2022:</w:t>
      </w:r>
      <w:r>
        <w:t xml:space="preserve"> Large-scale circulation patterns and their influence on European winter windstorm predictions — https://doi.org/10.1007/s00382-022-06455-2</w:t>
      </w:r>
    </w:p>
    <w:p>
      <w:pPr/>
      <w:r>
        <w:rPr>
          <w:b/>
        </w:rPr>
        <w:t>Shared claim-specific concepts:</w:t>
      </w:r>
      <w:r>
        <w:t xml:space="preserve"> prediction, events, weather; EU scope visible. This is a provisional connection, not an outcome finding.</w:t>
      </w:r>
    </w:p>
    <w:p>
      <w:pPr>
        <w:pStyle w:val="SourceNote"/>
      </w:pPr>
      <w:r>
        <w:rPr>
          <w:b/>
        </w:rPr>
        <w:t>Available abstract (not full text):</w:t>
      </w:r>
      <w:r>
        <w:t xml:space="preserve">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pPr/>
      <w:r>
        <w:rPr>
          <w:b/>
        </w:rPr>
        <w:t>POSSIBLE 2022:</w:t>
      </w:r>
      <w:r>
        <w:t xml:space="preserve"> On the Intersection of Explainable and Reliable AI for Physical Fatigue Prediction — https://doi.org/10.1109/access.2022.3191907</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pPr/>
      <w:r>
        <w:rPr>
          <w:b/>
        </w:rPr>
        <w:t>POSSIBLE 2022:</w:t>
      </w:r>
      <w:r>
        <w:t xml:space="preserve"> Data-Driven Prediction for Reliable Mission-Critical Communications — https://doi.org/10.54337/aau473636365</w:t>
      </w:r>
    </w:p>
    <w:p>
      <w:pPr/>
      <w:r>
        <w:rPr>
          <w:b/>
        </w:rPr>
        <w:t>Shared claim-specific concepts:</w:t>
      </w:r>
      <w:r>
        <w:t xml:space="preserve"> reliable, prediction, tool, power; EU scope visible. This is a provisional connection, not an outcome finding.</w:t>
      </w:r>
    </w:p>
    <w:p>
      <w:pPr>
        <w:pStyle w:val="SourceNote"/>
      </w:pPr>
      <w:r>
        <w:rPr>
          <w:b/>
        </w:rPr>
        <w:t>Available abstract (not full text):</w:t>
      </w:r>
      <w:r>
        <w:t xml:space="preserve">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pPr/>
      <w:r>
        <w:rPr>
          <w:b/>
        </w:rPr>
        <w:t>POSSIBLE 2022:</w:t>
      </w:r>
      <w:r>
        <w:t xml:space="preserve"> Omen: discovering sequential patterns with reliable prediction delays — https://doi.org/10.1007/s10115-022-01660-1</w:t>
      </w:r>
    </w:p>
    <w:p>
      <w:pPr/>
      <w:r>
        <w:rPr>
          <w:b/>
        </w:rPr>
        <w:t>Shared claim-specific concepts:</w:t>
      </w:r>
      <w:r>
        <w:t xml:space="preserve"> reliable, prediction, events; EU scope not established. This is a provisional connection, not an outcome finding.</w:t>
      </w:r>
    </w:p>
    <w:p>
      <w:pPr>
        <w:pStyle w:val="SourceNote"/>
      </w:pPr>
      <w:r>
        <w:rPr>
          <w:b/>
        </w:rPr>
        <w:t>Available abstract (not full text):</w:t>
      </w:r>
      <w:r>
        <w:t xml:space="preserve">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pPr/>
      <w:r>
        <w:rPr>
          <w:b/>
        </w:rPr>
        <w:t>POSSIBLE 2021:</w:t>
      </w:r>
      <w:r>
        <w:t xml:space="preserve"> Seasonal prediction of European summer heatwaves — https://doi.org/10.1007/s00382-021-05828-3</w:t>
      </w:r>
    </w:p>
    <w:p>
      <w:pPr/>
      <w:r>
        <w:rPr>
          <w:b/>
        </w:rPr>
        <w:t>Shared claim-specific concepts:</w:t>
      </w:r>
      <w:r>
        <w:t xml:space="preserve"> prediction, tool, affecting; EU scope visible. This is a provisional connection, not an outcome finding.</w:t>
      </w:r>
    </w:p>
    <w:p>
      <w:pPr>
        <w:pStyle w:val="SourceNote"/>
      </w:pPr>
      <w:r>
        <w:rPr>
          <w:b/>
        </w:rPr>
        <w:t>Available abstract (not full text):</w:t>
      </w:r>
      <w:r>
        <w:t xml:space="preserve"> Abstract Under the influence of global warming, heatwaves are becoming a major threat in many parts of the world, affecting human health and mortality, food security, forest fires, biodiversity, energy consumption, as well as the production and transportation networks. Seasonal forecasting is a promising tool to help mitigate these impacts on society. Previous studies have highlighted some predictive capacity of seasonal forecast systems for specific strong heatwaves such as those of 2003 and 2010. To our knowledge, this study is thus the first of its kind to systematically assess the prediction skill of heatwaves over Europe in a state-of-the-art seasonal forecast system. One major prerequisite to do so is to appropriately define heatwaves. Existing heatwave indices, built to measure heatwave duration and severity, are often designed for specific impacts and thus have limited robustness for an analysis of heatwave variability. In this study, we investigate the seasonal prediction skill of European summer heatwaves in the ECMWF System 5 operational forecast system by means of several dedicated metrics, as well as its added-value compared to a simple statistical model based on the linear trend. We are able to show, for the first time, that seasonal forecasts initialized in early May can provide potentially useful information of summer heatwave propensity, which is the tendency o</w:t>
      </w:r>
    </w:p>
    <w:p>
      <w:pPr/>
      <w:r>
        <w:rPr>
          <w:b/>
        </w:rPr>
        <w:t>POSSIBLE 2021:</w:t>
      </w:r>
      <w:r>
        <w:t xml:space="preserve"> Reliable Evapotranspiration Predictions with a Probabilistic Machine Learning Framework — https://doi.org/10.3390/w13040557</w:t>
      </w:r>
    </w:p>
    <w:p>
      <w:pPr/>
      <w:r>
        <w:rPr>
          <w:b/>
        </w:rPr>
        <w:t>Shared claim-specific concepts:</w:t>
      </w:r>
      <w:r>
        <w:t xml:space="preserve"> reliable, prediction, tool, radiation; EU scope not established. This is a provisional connection, not an outcome finding.</w:t>
      </w:r>
    </w:p>
    <w:p>
      <w:pPr>
        <w:pStyle w:val="SourceNote"/>
      </w:pPr>
      <w:r>
        <w:rPr>
          <w:b/>
        </w:rPr>
        <w:t>Available abstract (not full text):</w:t>
      </w:r>
      <w:r>
        <w:t xml:space="preserve"> Evapotranspiration is often expressed in terms of reference crop evapotranspiration (ETo), actual evapotranspiration (ETa), or surface water evaporation (Esw), and their reliable predictions are critical for groundwater, irrigation, and aquatic ecosystem management in semi-arid regions. We demonstrated that a newly developed probabilistic machine learning (ML) model, using a hybridized “boosting” framework, can simultaneously predict the daily ETo, Esw, &amp; ETa from local hydroclimate data with high accuracy. The probabilistic approach exhibited great potential to overcome data uncertainties, in which 100% of the ETo, 89.9% of the Esw, and 93% of the ETa test data at three watersheds were within the models’ 95% prediction intervals. The modeling results revealed that the hybrid boosting framework can be used as a reliable computational tool to predict ETo while bypassing net solar radiation calculations, estimate Esw while overcoming uncertainties associated with pan evaporation &amp; pan coefficients, and predict ETa while offsetting high capital &amp; operational costs of EC towers. In addition, using the Shapley analysis built on a coalition game theory, we identified the order of importance and interactions between the hydroclimatic variables to enhance the models’ transparency and trustworthiness.</w:t>
      </w:r>
    </w:p>
    <w:p>
      <w:pPr>
        <w:pStyle w:val="Heading2"/>
      </w:pPr>
      <w:r>
        <w:t>603.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2023:</w:t>
      </w:r>
      <w:r>
        <w:t xml:space="preserve"> The Compliance of Lithuanian Environmental NGO’s Objectives with European Green Deal — https://doi.org/10.5755/j01.eis.1.17.34002</w:t>
      </w:r>
    </w:p>
    <w:p>
      <w:pPr/>
      <w:r>
        <w:rPr>
          <w:b/>
        </w:rPr>
        <w:t>Shared claim-specific concepts:</w:t>
      </w:r>
      <w:r>
        <w:t xml:space="preserve"> one, key, objectives, economy; EU scope visible. This is a provisional connection, not an outcome finding.</w:t>
      </w:r>
    </w:p>
    <w:p>
      <w:pPr>
        <w:pStyle w:val="SourceNote"/>
      </w:pPr>
      <w:r>
        <w:rPr>
          <w:b/>
        </w:rPr>
        <w:t>Available abstract (not full text):</w:t>
      </w:r>
      <w:r>
        <w:t xml:space="preserve">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pPr/>
      <w:r>
        <w:rPr>
          <w:b/>
        </w:rPr>
        <w:t>POSSIBLE 2023:</w:t>
      </w:r>
      <w:r>
        <w:t xml:space="preserve"> The European Union One Health 2022 Zoonoses Report — https://doi.org/10.2903/j.efsa.2023.8442</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pPr/>
      <w:r>
        <w:rPr>
          <w:b/>
        </w:rPr>
        <w:t>POSSIBLE 2023:</w:t>
      </w:r>
      <w:r>
        <w:t xml:space="preserve"> Multi-objective optimization of an energy community: an integrated and dynamic approach for full decarbonisation in the European Alps — https://doi.org/10.54337/ijsepm.7607</w:t>
      </w:r>
    </w:p>
    <w:p>
      <w:pPr/>
      <w:r>
        <w:rPr>
          <w:b/>
        </w:rPr>
        <w:t>Shared claim-specific concepts:</w:t>
      </w:r>
      <w:r>
        <w:t xml:space="preserve"> one, key, total; EU scope visible. This is a provisional connection, not an outcome finding.</w:t>
      </w:r>
    </w:p>
    <w:p>
      <w:pPr>
        <w:pStyle w:val="SourceNote"/>
      </w:pPr>
      <w:r>
        <w:rPr>
          <w:b/>
        </w:rPr>
        <w:t>Available abstract (not full text):</w:t>
      </w:r>
      <w:r>
        <w:t xml:space="preserve">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pPr/>
      <w:r>
        <w:rPr>
          <w:b/>
        </w:rPr>
        <w:t>POSSIBLE 2022:</w:t>
      </w:r>
      <w:r>
        <w:t xml:space="preserve"> Supporting access to key pan-European research infrastructures and international cooperation — https://doi.org/10.1051/epjn/2022032</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Large research infrastructures, especially nuclear ones, are extremely expensive to build and operate. Therefore, to develop expertise and competences in nuclear research is more efficient to have a limited number of complementary specialized large nuclear research infrastructures, shared by European researchers from different countries. This paper describes three different actions to improve the European collaboration in the experimental nuclear research, namely open access to the nuclear research infrastructure of the JRC, the optimization of the use of research reactors in Europe and operation planning of the Jules Horowitz reactor currently under construction. Supporting access to key pan-European research infrastructures strengthens research and innovation, avoiding duplication and optimising resources. It contributes to the European Research Area (ERA) and the European Strategy Forum on Research Infrastructures (ESFRI), as well as to maintaining competence in the EU, which is one of the objectives of the Euratom research and training programme.</w:t>
      </w:r>
    </w:p>
    <w:p>
      <w:pPr/>
      <w:r>
        <w:rPr>
          <w:b/>
        </w:rPr>
        <w:t>POSSIBLE 2022:</w:t>
      </w:r>
      <w:r>
        <w:t xml:space="preserve"> The novelties of the regulation on health technology assessment, a key achievement for the European union health policies — https://doi.org/10.1515/cclm-2022-0228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Abstract Health technology assessment is a key tool for ensuring healthcare quality, accessibility, and sustainability. The novel European Union (EU) Health Technology Assessment (HTA) regulation of 15 December 2021, in harmonizing the laws of the Member States about the procedures and criteria for the evaluation of health technologies (i.e., medical devices and in vitro diagnostic tools), constitutes a significant achievement in the definition of EU health policies. On the one hand, for the European Union, it constitutes an essential driving force for the development of a competitive market for health technologies and, on the other, for European citizens, it guarantees the application of superordinate safety and quality standards with an impact positive on access to health technologies, including expressly also in vitro diagnostic medical devices classified in class D by art. 47 of Reg. (EU) 2017/746. As pointed out by the European Commissioner for Healthcare, the regulation identifies a new way for the Member States to cooperate on healthcare matters in the Union. The clinical efficacy and safety of drugs and devices are legal assets that today find their protection in a binding and directly applicable regulatory instrument, superordinate in the hierarchy of sources. Implementing the regulation will also be essential to achieve the objectives of the Union’s pharmaceutical str</w:t>
      </w:r>
    </w:p>
    <w:p>
      <w:pPr/>
      <w:r>
        <w:rPr>
          <w:b/>
        </w:rPr>
        <w:t>POSSIBLE 2022:</w:t>
      </w:r>
      <w:r>
        <w:t xml:space="preserve"> The Development of Renewable Energy Sources in the European Union in the Light of the European Green Deal — https://doi.org/10.3390/en15155576</w:t>
      </w:r>
    </w:p>
    <w:p>
      <w:pPr/>
      <w:r>
        <w:rPr>
          <w:b/>
        </w:rPr>
        <w:t>Shared claim-specific concepts:</w:t>
      </w:r>
      <w:r>
        <w:t xml:space="preserve"> one, key, union, transition; EU scope visible. This is a provisional connection, not an outcome finding.</w:t>
      </w:r>
    </w:p>
    <w:p>
      <w:pPr>
        <w:pStyle w:val="SourceNote"/>
      </w:pPr>
      <w:r>
        <w:rPr>
          <w:b/>
        </w:rPr>
        <w:t>Available abstract (not full text):</w:t>
      </w:r>
      <w:r>
        <w:t xml:space="preserve">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pPr/>
      <w:r>
        <w:rPr>
          <w:b/>
        </w:rPr>
        <w:t>POSSIBLE 2021:</w:t>
      </w:r>
      <w:r>
        <w:t xml:space="preserve"> FERTILIZER MANAGEMENT IN POLAND IN LIGHT OF EUROPEAN GREEN DEAL OBJECTIVES — https://doi.org/10.5604/01.3001.0015.2696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aim of the paper is to outline the problem areas of fertilizer management in Poland, taking the need to achieve European Green Deal (EGD) objectives into account. Fertilizer management is one of the key elements of future agricultural policy, to which the European Green Deal refers, and is closer to the Farm to Fork strategy. The emphasis on the need to promote rational fertilizer management in European documents stemmed from the pressures of this economic activity on the natural environment. The paper focuses on the main determinants of fertilizer management, including the costs and quantities of mineral fertilizers used and the results of the NPK fertilizer balance, using the gross balance and indicator method. The study used Statistics Poland data 2007 and 2016 from the Farm Structure Survey and agricultural accountancy FADN 2014-2019. It was found that, at the level of the agricultural sector, the results of fertilizer balances do not create surpluses and problematic issues concern a significant share of farms with an understated balance of main NPK macroelements. The expected reduction in the level of fertilization under the EGD may result in a reduction in production and economic performance from a farm and negatively affect the state of the natural environment. The fertilizer balance and nutrient efficiency level should be used as measurable indicators for setting re</w:t>
      </w:r>
    </w:p>
    <w:p>
      <w:pPr>
        <w:pStyle w:val="Heading2"/>
      </w:pPr>
      <w:r>
        <w:t>604.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2025:</w:t>
      </w:r>
      <w:r>
        <w:t xml:space="preserve"> The ‘Date’ on Two Dated Palmyran Funerary Reliefs — https://doi.org/10.34780/3j1vr152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pPr/>
      <w:r>
        <w:rPr>
          <w:b/>
        </w:rPr>
        <w:t>POSSIBLE 2025:</w:t>
      </w:r>
      <w:r>
        <w:t xml:space="preserve"> The Use of Articles in Toponymic Phrases in English and Albanian — https://doi.org/10.51558/2490-3647.2025.10.1.213</w:t>
      </w:r>
    </w:p>
    <w:p>
      <w:pPr/>
      <w:r>
        <w:rPr>
          <w:b/>
        </w:rPr>
        <w:t>Shared claim-specific concepts:</w:t>
      </w:r>
      <w:r>
        <w:t xml:space="preserve"> article, examines, two, also; EU scope not established. This is a provisional connection, not an outcome finding.</w:t>
      </w:r>
    </w:p>
    <w:p>
      <w:pPr>
        <w:pStyle w:val="SourceNote"/>
      </w:pPr>
      <w:r>
        <w:rPr>
          <w:b/>
        </w:rPr>
        <w:t>Available abstract (not full text):</w:t>
      </w:r>
      <w:r>
        <w:t xml:space="preserve">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pPr/>
      <w:r>
        <w:rPr>
          <w:b/>
        </w:rPr>
        <w:t>POSSIBLE 2024:</w:t>
      </w:r>
      <w:r>
        <w:t xml:space="preserve"> Use of AI Language Engine ChatGPT 4.0 to Write a Scientific Review Article Examining the Intersection of Alzheimer’s Disease and Bone — https://doi.org/10.1007/s11914-023-00853-z</w:t>
      </w:r>
    </w:p>
    <w:p>
      <w:pPr/>
      <w:r>
        <w:rPr>
          <w:b/>
        </w:rPr>
        <w:t>Shared claim-specific concepts:</w:t>
      </w:r>
      <w:r>
        <w:t xml:space="preserve"> article, two, but; EU scope not established. This is a provisional connection, not an outcome finding.</w:t>
      </w:r>
    </w:p>
    <w:p>
      <w:pPr>
        <w:pStyle w:val="SourceNote"/>
      </w:pPr>
      <w:r>
        <w:rPr>
          <w:b/>
        </w:rPr>
        <w:t>Available abstract (not full text):</w:t>
      </w:r>
      <w:r>
        <w:t xml:space="preserve">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pPr/>
      <w:r>
        <w:rPr>
          <w:b/>
        </w:rPr>
        <w:t>POSSIBLE 2024:</w:t>
      </w:r>
      <w:r>
        <w:t xml:space="preserve"> Determinante e doppio determinante nel code-switching arabo-italiano — https://doi.org/10.36253/qulso-2421-7220-16575</w:t>
      </w:r>
    </w:p>
    <w:p>
      <w:pPr/>
      <w:r>
        <w:rPr>
          <w:b/>
        </w:rPr>
        <w:t>Shared claim-specific concepts:</w:t>
      </w:r>
      <w:r>
        <w:t xml:space="preserve"> article, two, also; EU scope not established. This is a provisional connection, not an outcome finding.</w:t>
      </w:r>
    </w:p>
    <w:p>
      <w:pPr>
        <w:pStyle w:val="SourceNote"/>
      </w:pPr>
      <w:r>
        <w:rPr>
          <w:b/>
        </w:rPr>
        <w:t>Available abstract (not full text):</w:t>
      </w:r>
      <w:r>
        <w:t xml:space="preserve"> This article explores the phenomenon of code-switching, specifically focusing on bilingual Arabic-Italian determiner phrases which consist of a determiner, such as an article or a demonstrative, followed by a noun phrase as a complement. The data examined were selected from a corpus of Arabic-Italian spontaneous speech with the aim of (1) comparing and describing the characteristics and differences of the determiner systems of the two languages; (2) illustrating the features of code-switching in determiner phrases and the various types found in the collected data; and (3) studying the mutual influence of the two languages in contact contexts. The data analysis revealed two types of code-switching: switching at the beginning of a determiner phrase, where both the determiner and its complement are in the same language, and switching within a determiner phrase, where the determiner and the head noun are from different languages. This latter category also includes determiner phrases with double determiners, which will be analyzed in detail in this article to discuss the features of this linguistic structure in Arabic-Italian bilingual phrases.</w:t>
      </w:r>
    </w:p>
    <w:p>
      <w:pPr/>
      <w:r>
        <w:rPr>
          <w:b/>
        </w:rPr>
        <w:t>POSSIBLE 2023:</w:t>
      </w:r>
      <w:r>
        <w:t xml:space="preserve"> Two Approaches to Aesthetic Experience — https://doi.org/10.5406/15437809.57.4.01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Abstract This article examines two approaches to aesthetic experience, especially with respect to the practice of art criticism. The two approaches are (1) aesthetic experience construed as experience necessarily valued for its own sake and (2) aesthetic experience characterized in terms of its content. In this article, the content approach is defended as the one most suitable to the practice of art criticism.</w:t>
      </w:r>
    </w:p>
    <w:p>
      <w:pPr/>
      <w:r>
        <w:rPr>
          <w:b/>
        </w:rPr>
        <w:t>POSSIBLE 2023:</w:t>
      </w:r>
      <w:r>
        <w:t xml:space="preserve"> A Tale of Two Spice Towers — https://doi.org/10.3828/arsjudaica.2023.19.4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two spice towers in the collection of London’s Victoria and Albert Museum. The first of these (Inv. number 2090-1855) has been published as the earliest surviving example and the only one extant from Sepharad – an attribution that will be questioned. The second (Inv. number M.40&amp;:1-1951) is now exhibited as an Italian fifteenth-century spice tower which was later converted into a reliquary. This study will present the pair’s shifting identities as a cautionary tale for those seeking an accurate picture of Jewish material culture, in particular the Sephardi legacy.</w:t>
      </w:r>
    </w:p>
    <w:p>
      <w:pPr/>
      <w:r>
        <w:rPr>
          <w:b/>
        </w:rPr>
        <w:t>POSSIBLE 2021:</w:t>
      </w:r>
      <w:r>
        <w:t xml:space="preserve"> Comparing Learners’ Interactions in Conventional and Virtual Classes of Distance Education University: Examining Two Approaches of Teaching Grammar (Research Article) — https://doi.org/10.22034/elt.2021.44749.2352</w:t>
      </w:r>
    </w:p>
    <w:p>
      <w:pPr/>
      <w:r>
        <w:rPr>
          <w:b/>
        </w:rPr>
        <w:t>Shared claim-specific concepts:</w:t>
      </w:r>
      <w:r>
        <w:t xml:space="preserve"> article, two, education, also; EU scope not established. This is a provisional connection, not an outcome finding.</w:t>
      </w:r>
    </w:p>
    <w:p>
      <w:pPr>
        <w:pStyle w:val="SourceNote"/>
      </w:pPr>
      <w:r>
        <w:rPr>
          <w:b/>
        </w:rPr>
        <w:t>Available abstract (not full text):</w:t>
      </w:r>
      <w:r>
        <w:t xml:space="preserve"> Collaborative technologies provide opportunities for English foreign language learners (EFL) to have interactive learning and access to online interactive environments. Interactions that take place between teachers and their students in a classroom context affect learners’ language learning. As such, this research compared interactions between the instructor and her students and between students themselves that took place in conventional and Learning Management Systems (LMS) classes. Second, two different approaches of teaching grammar (implicit and explicit) in conventional and LMS classes were examined. The participants of this study were selected from 94 students of EFL freshmen at two groups of different teaching classes namely, virtual and conventional classes. Having administered a test of homogeneity, the researcher selected 60 learners. They were assigned into four groups, two experimental and two comparative groups. After the treatment, the results of the pre-and post-tests confirmed the positive effect of teaching grammar both explicitly and implicitly in LMS classes. In addition, examination of interaction patterns revealed that teaching through LMS was student-centered and dynamic in contradiction with the comparative groups. The study can help instructors understand the prospective benefits of teaching on LMS and also improve social interactions among uncommunicati</w:t>
      </w:r>
    </w:p>
    <w:p>
      <w:pPr>
        <w:pStyle w:val="Heading2"/>
      </w:pPr>
      <w:r>
        <w:t>605.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2025:</w:t>
      </w:r>
      <w:r>
        <w:t xml:space="preserve"> Application of the Analytical Hierarchy Process in the management of private ambulance care systems in three selected European countries: a strategic decision-making framework — https://doi.org/10.3389/fpubh.2025.1526586</w:t>
      </w:r>
    </w:p>
    <w:p>
      <w:pPr/>
      <w:r>
        <w:rPr>
          <w:b/>
        </w:rPr>
        <w:t>Shared claim-specific concepts:</w:t>
      </w:r>
      <w:r>
        <w:t xml:space="preserve"> three, strategic, integration, practices; EU scope visible. This is a provisional connection, not an outcome finding.</w:t>
      </w:r>
    </w:p>
    <w:p>
      <w:pPr>
        <w:pStyle w:val="SourceNote"/>
      </w:pPr>
      <w:r>
        <w:rPr>
          <w:b/>
        </w:rPr>
        <w:t>Available abstract (not full text):</w:t>
      </w:r>
      <w:r>
        <w:t xml:space="preserve">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pPr/>
      <w:r>
        <w:rPr>
          <w:b/>
        </w:rPr>
        <w:t>POSSIBLE 2025:</w:t>
      </w:r>
      <w:r>
        <w:t xml:space="preserve"> Steering the Green Transition in the European Union? Analysis of the European Commission's Strategic Communication — https://doi.org/10.1111/rego.70107</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pPr/>
      <w:r>
        <w:rPr>
          <w:b/>
        </w:rPr>
        <w:t>POSSIBLE 2023:</w:t>
      </w:r>
      <w:r>
        <w:t xml:space="preserve"> In Search of Digital Sovereignty and Strategic Autonomy: Normative Power Europe to the Test of Its Geopolitical Ambitions — https://doi.org/10.1111/jcms.13462</w:t>
      </w:r>
    </w:p>
    <w:p>
      <w:pPr/>
      <w:r>
        <w:rPr>
          <w:b/>
        </w:rPr>
        <w:t>Shared claim-specific concepts:</w:t>
      </w:r>
      <w:r>
        <w:t xml:space="preserve"> three, strategic, article; EU scope visible. This is a provisional connection, not an outcome finding.</w:t>
      </w:r>
    </w:p>
    <w:p>
      <w:pPr>
        <w:pStyle w:val="SourceNote"/>
      </w:pPr>
      <w:r>
        <w:rPr>
          <w:b/>
        </w:rPr>
        <w:t>Available abstract (not full text):</w:t>
      </w:r>
      <w:r>
        <w:t xml:space="preserve">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pPr/>
      <w:r>
        <w:rPr>
          <w:b/>
        </w:rPr>
        <w:t>POSSIBLE 2022:</w:t>
      </w:r>
      <w:r>
        <w:t xml:space="preserve"> Cyber conflict short of war: a European strategic vacuum — https://doi.org/10.1080/09662839.2022.2031991</w:t>
      </w:r>
    </w:p>
    <w:p>
      <w:pPr/>
      <w:r>
        <w:rPr>
          <w:b/>
        </w:rPr>
        <w:t>Shared claim-specific concepts:</w:t>
      </w:r>
      <w:r>
        <w:t xml:space="preserve"> three, strategic, article, concludes; EU scope visible. This is a provisional connection, not an outcome finding.</w:t>
      </w:r>
    </w:p>
    <w:p>
      <w:pPr>
        <w:pStyle w:val="SourceNote"/>
      </w:pPr>
      <w:r>
        <w:rPr>
          <w:b/>
        </w:rPr>
        <w:t>Available abstract (not full text):</w:t>
      </w:r>
      <w:r>
        <w:t xml:space="preserve"> Cyber conflict short of war plays an increasingly important role in contemporary security politics. Dedicated to a study of three European NATO members – the Netherlands, France and Norway, this article expands the existing focus of the study of cyber conflict short of war beyond its dominating US context. It compares and assesses how the countries perceive and respond to a changing strategic environment characterised by increasing cyber conflict short of war. The analysis demonstrates that all three countries acknowledge that cyber operations short of war alter the strategic environment and challenge the idea of deploying offensive cyber capabilities as purely a warfare matter. However, it also identifies a strategic vacuum, as none of them have formulated strategies that describe in detail how military and intelligence entities are supposed to approach and manage the new strategic environment. The article asserts that the current lack of strategic guidance is a fundamental challenge that puts European societies at risk and undermines democratic governance as navigating the new space of strategic cyber competition is a significant challenge to contemporary European statecraft. It concludes by noting three avenues for how to ameliorate this situation and fill the vacuum.</w:t>
      </w:r>
    </w:p>
    <w:p>
      <w:pPr/>
      <w:r>
        <w:rPr>
          <w:b/>
        </w:rPr>
        <w:t>POSSIBLE 2022:</w:t>
      </w:r>
      <w:r>
        <w:t xml:space="preserve"> Strategic European counterterrorism? An empirical analysis — https://doi.org/10.1080/09662839.2022.2029847</w:t>
      </w:r>
    </w:p>
    <w:p>
      <w:pPr/>
      <w:r>
        <w:rPr>
          <w:b/>
        </w:rPr>
        <w:t>Shared claim-specific concepts:</w:t>
      </w:r>
      <w:r>
        <w:t xml:space="preserve"> three, strategic, strategy, article;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2022:</w:t>
      </w:r>
      <w:r>
        <w:t xml:space="preserve"> Between Europe and Asia: Narrow Spaces for Strategic Hedging in New Europe — https://doi.org/10.1080/19448953.2022.2129324</w:t>
      </w:r>
    </w:p>
    <w:p>
      <w:pPr/>
      <w:r>
        <w:rPr>
          <w:b/>
        </w:rPr>
        <w:t>Shared claim-specific concepts:</w:t>
      </w:r>
      <w:r>
        <w:t xml:space="preserve"> three, strategic, strategy, developing; EU scope visible. This is a provisional connection, not an outcome finding.</w:t>
      </w:r>
    </w:p>
    <w:p>
      <w:pPr>
        <w:pStyle w:val="SourceNote"/>
      </w:pPr>
      <w:r>
        <w:rPr>
          <w:b/>
        </w:rPr>
        <w:t>Available abstract (not full text):</w:t>
      </w:r>
      <w:r>
        <w:t xml:space="preserve"> Since the end of the Cold War, the former Soviet states of Europe, located at the crossroads of Europe and Asia, have been the site of a political game between the great powers, gradually developing a left-right strategy. This paper constructs the explanatory theory of hedging strategy and argues that post-socialist European countries, collectively referred to as ‘New Europe’, have navigated a middle way between balance and followup strategies called compound hedging. Starting at the regional scale, this paper discusses three issues, i.e., whether the new Europe has adopted a hedging strategy, why they adopt a hedging strategy, and the policy performance and effectiveness of hedging in the security and economic fields. Specifically, New Europe has implemented diversified fuzzy strategies amidst the transatlantic alliances and Eurasian powers, avoided security risks from Russia through cooperation with NATO, and balanced interest risks caused by European Union pressure through contacts with the United States, Russia, China and other countries. Although New Europe has realized certain practical strategic effects, it still faces difficulties (e.g., structural pressure changes, divergences between old and New Europe, and a lack of hedging capacities and motivations), and its policy space remains narrow and uncertain.</w:t>
      </w:r>
    </w:p>
    <w:p>
      <w:pPr/>
      <w:r>
        <w:rPr>
          <w:b/>
        </w:rPr>
        <w:t>POSSIBLE 2021:</w:t>
      </w:r>
      <w:r>
        <w:t xml:space="preserve"> 9 Developing Strategic Autonomy for European Sovereignty — https://doi.org/10.5771/9781538161777-173</w:t>
      </w:r>
    </w:p>
    <w:p>
      <w:pPr/>
      <w:r>
        <w:rPr>
          <w:b/>
        </w:rPr>
        <w:t>Shared claim-specific concepts:</w:t>
      </w:r>
      <w:r>
        <w:t xml:space="preserve"> three, strategic, developing; EU scope visible. This is a provisional connection, not an outcome finding.</w:t>
      </w:r>
    </w:p>
    <w:p>
      <w:pPr>
        <w:pStyle w:val="SourceNote"/>
      </w:pPr>
      <w:r>
        <w:rPr>
          <w:b/>
        </w:rPr>
        <w:t>Available abstract (not full text):</w:t>
      </w:r>
      <w:r>
        <w:t xml:space="preserve"> Will the increased economic connectivity across the Eurasian supercontinent transform Europe into the western peninsula of Greater Eurasia? The unipolar era entailed the US organising the two other major economic regions of the world, Europe and Asia, under US leadership. The rise of “the rest”, primarily Asia with China at the centre, has ended the unipolar era and even 500-years of Western dominance. China and Russia are leading efforts to integrate Europe and Asia into one large region. The Greater Eurasian region is constructed with three categories of economic connectivity – strategic industries built on new and disruptive technologies; physical connectivity with bimodal transportation corridors; and financial connectivity with new development banks, trading currencies and payments systems. China strives for geoeconomic leadership by replacing the US leadership position, while Russia endeavours to reposition itself from the dual periphery of Europe and Asia to the centre of a grand Eurasian geoeconomic constellation. Europe, positioned between the trans-Atlantic region and Greater Eurasia, has to adapt to the new international distribution of power to preserve its strategic autonomy.</w:t>
      </w:r>
    </w:p>
    <w:p>
      <w:pPr>
        <w:pStyle w:val="Heading2"/>
      </w:pPr>
      <w:r>
        <w:t>606.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2024:</w:t>
      </w:r>
      <w:r>
        <w:t xml:space="preserve"> Exploring the Nexus between Greenhouse Emissions, Environmental Degradation and Green Energy in Europe: A Critique of the Environmental Kuznets Curve — https://doi.org/10.3390/en17205109</w:t>
      </w:r>
    </w:p>
    <w:p>
      <w:pPr/>
      <w:r>
        <w:rPr>
          <w:b/>
        </w:rPr>
        <w:t>Shared claim-specific concepts:</w:t>
      </w:r>
      <w:r>
        <w:t xml:space="preserve"> degradation, energy, not; EU scope visible. This is a provisional connection, not an outcome finding.</w:t>
      </w:r>
    </w:p>
    <w:p>
      <w:pPr>
        <w:pStyle w:val="SourceNote"/>
      </w:pPr>
      <w:r>
        <w:rPr>
          <w:b/>
        </w:rPr>
        <w:t>Available abstract (not full text):</w:t>
      </w:r>
      <w:r>
        <w:t xml:space="preserve">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pPr/>
      <w:r>
        <w:rPr>
          <w:b/>
        </w:rPr>
        <w:t>POSSIBLE 2024:</w:t>
      </w:r>
      <w:r>
        <w:t xml:space="preserve"> A screening method for plastic-degrading fungi — https://doi.org/10.1016/j.heliyon.2024.e31130</w:t>
      </w:r>
    </w:p>
    <w:p>
      <w:pPr/>
      <w:r>
        <w:rPr>
          <w:b/>
        </w:rPr>
        <w:t>Shared claim-specific concepts:</w:t>
      </w:r>
      <w:r>
        <w:t xml:space="preserve"> degradation, environment, water, not; EU scope not established. This is a provisional connection, not an outcome finding.</w:t>
      </w:r>
    </w:p>
    <w:p>
      <w:pPr>
        <w:pStyle w:val="SourceNote"/>
      </w:pPr>
      <w:r>
        <w:rPr>
          <w:b/>
        </w:rPr>
        <w:t>Available abstract (not full text):</w:t>
      </w:r>
      <w:r>
        <w:t xml:space="preserve">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pPr/>
      <w:r>
        <w:rPr>
          <w:b/>
        </w:rPr>
        <w:t>POSSIBLE 2023:</w:t>
      </w:r>
      <w:r>
        <w:t xml:space="preserve"> Remote sensing of soil degradation: Progress and perspective — https://doi.org/10.1016/j.iswcr.2023.03.002</w:t>
      </w:r>
    </w:p>
    <w:p>
      <w:pPr/>
      <w:r>
        <w:rPr>
          <w:b/>
        </w:rPr>
        <w:t>Shared claim-specific concepts:</w:t>
      </w:r>
      <w:r>
        <w:t xml:space="preserve"> degradation, environment, security, health, food, not; EU scope not established. This is a provisional connection, not an outcome finding.</w:t>
      </w:r>
    </w:p>
    <w:p>
      <w:pPr>
        <w:pStyle w:val="SourceNote"/>
      </w:pPr>
      <w:r>
        <w:rPr>
          <w:b/>
        </w:rPr>
        <w:t>Available abstract (not full text):</w:t>
      </w:r>
      <w:r>
        <w:t xml:space="preserve"> Soils constitute one of the most critical natural resources and maintaining their health is vital for agricultural development and ecological sustainability, providing many essential ecosystem services. Driven by climatic variations and anthropogenic activities, soil degradation has become a global issue that seriously threatens the ecological environment and food security. Remote sensing (RS) technologies have been widely used to investigate soil degradation as it is highly efficient, time-saving, and broad-scope. This review encompasses recent advances and the state-of-the-art of ground, proximal, and novel RS techniques in soil degradation-related studies. We reviewed the RS-related indicators that could be used for monitoring soil degradation-related properties. The direct indicators (mineral composition, organic matter, surface roughness, and moisture content of soil) and indirect proxies (vegetation condition and land use/land cover change) for evaluating soil degradation were comprehensively summarized. The results suggest that these above indicators are effective for monitoring soil degradation, however, no indicators system has been established for soil degradation monitoring to date. We also discussed the RS's mechanisms, data, and methods for identifying specific soil degradation-related phenomena (e.g., soil erosion, salinization, desertification, and contamination)</w:t>
      </w:r>
    </w:p>
    <w:p>
      <w:pPr/>
      <w:r>
        <w:rPr>
          <w:b/>
        </w:rPr>
        <w:t>POSSIBLE 2023:</w:t>
      </w:r>
      <w:r>
        <w:t xml:space="preserve"> Vulnerability of microplastics on marine environment: A review — https://doi.org/10.1016/j.ecolind.2023.111058</w:t>
      </w:r>
    </w:p>
    <w:p>
      <w:pPr/>
      <w:r>
        <w:rPr>
          <w:b/>
        </w:rPr>
        <w:t>Shared claim-specific concepts:</w:t>
      </w:r>
      <w:r>
        <w:t xml:space="preserve"> environment, water; EU scope not established. This is a provisional connection, not an outcome finding.</w:t>
      </w:r>
    </w:p>
    <w:p>
      <w:pPr>
        <w:pStyle w:val="SourceNote"/>
      </w:pPr>
      <w:r>
        <w:rPr>
          <w:b/>
        </w:rPr>
        <w:t>Available abstract (not full text):</w:t>
      </w:r>
      <w:r>
        <w:t xml:space="preserve"> Microplastics (MPs), which are small plastic particles measuring less than 5 mm in size, have emerged as a significant environmental concern in marine ecosystems worldwide. The presence of MPs in aquatic environments has increased due to the contributions from anthropogenic and terrestrial sources, raising concerns about their abundance in aquatic organisms. MPs primarily originate from the photo-degradation of larger plastic debris (macroplastics), with their release into the environment often occurring through the breakdown of additive compounds. The ingestion of MPs poses eco-toxicological risks to marine organisms, causing damage to the gastrointestinal (GI) tracts and stomachs of affected organisms. Approximately 80 % of MPs originate from terrestrial sources, which can be classified as either primary sources, such as those generated during the production of skincare products, tires, and the use of MPs as carriers for pharmaceutical products, or secondary sources resulting from the improper disposal of plastics near coastal areas and water bodies. The issue of MPs and their potential effects on the marine ecosystem demands significant attention. In conclusion, this review provides a comprehensive overview of the vulnerability of microplastics in marine environments, consolidating the current understanding of their sources, distribution, fate, and ecological impacts. It emp</w:t>
      </w:r>
    </w:p>
    <w:p>
      <w:pPr/>
      <w:r>
        <w:rPr>
          <w:b/>
        </w:rPr>
        <w:t>POSSIBLE 2021:</w:t>
      </w:r>
      <w:r>
        <w:t xml:space="preserve"> Editorial: Plastics in the Environment: Understanding Impacts and Identifying Solutions — https://doi.org/10.3389/fenvs.2021.699971</w:t>
      </w:r>
    </w:p>
    <w:p>
      <w:pPr/>
      <w:r>
        <w:rPr>
          <w:b/>
        </w:rPr>
        <w:t>Shared claim-specific concepts:</w:t>
      </w:r>
      <w:r>
        <w:t xml:space="preserve"> degradation, environment, health; EU scope visible. This is a provisional connection, not an outcome finding.</w:t>
      </w:r>
    </w:p>
    <w:p>
      <w:pPr>
        <w:pStyle w:val="SourceNote"/>
      </w:pPr>
      <w:r>
        <w:rPr>
          <w:b/>
        </w:rPr>
        <w:t>Available abstract (not full text):</w:t>
      </w:r>
      <w:r>
        <w:t xml:space="preserve"> Understanding Impacts and Identifying SolutionsPlastics are one of the most widely used materials in the world which society will always be dependent on.This dependency has been clearly highlighted by the requirements for hygiene and protection during the recent global COVID pandemic (Adyel, 2020;Prata et al., 2020).Plastics are broadly integrated into today's lifestyle and are present in almost all consumer and industrial sectors and their production continues to increase (Geyer et al., 2017).Unfortunately, one of the characteristics of plastics that make them so useful-their durability-also ensures that they persist in the environment for very long periods of time.Additionally, and because of their low cost, many plastic objects have long been perceived as disposable.The consequence of this, coupled with the difficulty in developing effective waste management strategies, has been the ubiquitous contamination of the entire planet by plastic debris.Even if proposed global actions to recycle more plastic or prevent the export of plastic waste to countries with poorly developed waste infrastructure through the Basel Convention are implemented, plastic emissions are expected to increase for the foreseeable future unless significant breakthroughs in plastic design or waste management are realized (Lau et al., 2020).Increasing emissions also imply that exposure to plastic pollution </w:t>
      </w:r>
    </w:p>
    <w:p>
      <w:pPr>
        <w:pStyle w:val="Heading2"/>
      </w:pPr>
      <w:r>
        <w:t>607.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2021:</w:t>
      </w:r>
      <w:r>
        <w:t xml:space="preserve"> Barriers to ecological restoration in Europe: expert perspectives — https://doi.org/10.1111/rec.13346</w:t>
      </w:r>
    </w:p>
    <w:p>
      <w:pPr/>
      <w:r>
        <w:rPr>
          <w:b/>
        </w:rPr>
        <w:t>Shared claim-specific concepts:</w:t>
      </w:r>
      <w:r>
        <w:t xml:space="preserve"> number, level, all, different;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608.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2021:</w:t>
      </w:r>
      <w:r>
        <w:t xml:space="preserve"> Foresight Capacity Building — https://doi.org/10.5281/zenodo.6630549</w:t>
      </w:r>
    </w:p>
    <w:p>
      <w:pPr/>
      <w:r>
        <w:rPr>
          <w:b/>
        </w:rPr>
        <w:t>Shared claim-specific concepts:</w:t>
      </w:r>
      <w:r>
        <w:t xml:space="preserve"> foresight, project, covered, time;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Becoming a forerunner in foresight : Key elements of success in organizational foresight — https://openalex.org/W3175285991</w:t>
      </w:r>
    </w:p>
    <w:p>
      <w:pPr/>
      <w:r>
        <w:rPr>
          <w:b/>
        </w:rPr>
        <w:t>Shared claim-specific concepts:</w:t>
      </w:r>
      <w:r>
        <w:t xml:space="preserve"> foresight, two, time; EU scope not established. This is a provisional connection, not an outcome finding.</w:t>
      </w:r>
    </w:p>
    <w:p>
      <w:pPr>
        <w:pStyle w:val="SourceNote"/>
      </w:pPr>
      <w:r>
        <w:rPr>
          <w:b/>
        </w:rPr>
        <w:t>Available abstract (not full text):</w:t>
      </w:r>
      <w:r>
        <w:t xml:space="preserve">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pPr/>
      <w:r>
        <w:rPr>
          <w:b/>
        </w:rPr>
        <w:t>POSSIBLE 2021:</w:t>
      </w:r>
      <w:r>
        <w:t xml:space="preserve"> Creativity, proactivity, and foresight — https://doi.org/10.1016/j.techfore.2021.121215</w:t>
      </w:r>
    </w:p>
    <w:p>
      <w:pPr/>
      <w:r>
        <w:rPr>
          <w:b/>
        </w:rPr>
        <w:t>Shared claim-specific concepts:</w:t>
      </w:r>
      <w:r>
        <w:t xml:space="preserve"> foresight, two, namely; EU scope not established. This is a provisional connection, not an outcome finding.</w:t>
      </w:r>
    </w:p>
    <w:p>
      <w:pPr>
        <w:pStyle w:val="SourceNote"/>
      </w:pPr>
      <w:r>
        <w:rPr>
          <w:b/>
        </w:rPr>
        <w:t>Available abstract (not full text):</w:t>
      </w:r>
      <w:r>
        <w:t xml:space="preserve">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pStyle w:val="Heading2"/>
      </w:pPr>
      <w:r>
        <w:t>609.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r>
        <w:rPr>
          <w:b/>
        </w:rPr>
        <w:t>POSSIBLE 2023:</w:t>
      </w:r>
      <w:r>
        <w:t xml:space="preserve"> FEATURES OF THE RESPONSIBILITY FOR VIOLATIONS OF TAX LEGISLATION IN UKRAINE AND THE COUNTRIES OF THE EUROPEAN UNION: THE QUESTION OF GUILT — https://doi.org/10.32782/2524-0374/2023-1/78</w:t>
      </w:r>
    </w:p>
    <w:p>
      <w:pPr/>
      <w:r>
        <w:rPr>
          <w:b/>
        </w:rPr>
        <w:t>Shared claim-specific concepts:</w:t>
      </w:r>
      <w:r>
        <w:t xml:space="preserve"> accordingly, questions, arise, ukrainian; EU scope visible. This is a provisional connection, not an outcome finding.</w:t>
      </w:r>
    </w:p>
    <w:p>
      <w:pPr>
        <w:pStyle w:val="SourceNote"/>
      </w:pPr>
      <w:r>
        <w:rPr>
          <w:b/>
        </w:rPr>
        <w:t>Available abstract (not full text):</w:t>
      </w:r>
      <w:r>
        <w:t xml:space="preserve">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pPr/>
      <w:r>
        <w:rPr>
          <w:b/>
        </w:rPr>
        <w:t>POSSIBLE 2023:</w:t>
      </w:r>
      <w:r>
        <w:t xml:space="preserve"> To the question of political ideologies and their significance for the state — https://doi.org/10.52340/isj.2022.26.03</w:t>
      </w:r>
    </w:p>
    <w:p>
      <w:pPr/>
      <w:r>
        <w:rPr>
          <w:b/>
        </w:rPr>
        <w:t>Shared claim-specific concepts:</w:t>
      </w:r>
      <w:r>
        <w:t xml:space="preserve"> accordingly, questions, arise, about, based, first; EU scope visible. This is a provisional connection, not an outcome finding.</w:t>
      </w:r>
    </w:p>
    <w:p>
      <w:pPr>
        <w:pStyle w:val="SourceNote"/>
      </w:pPr>
      <w:r>
        <w:rPr>
          <w:b/>
        </w:rPr>
        <w:t>Available abstract (not full text):</w:t>
      </w:r>
      <w:r>
        <w:t xml:space="preserve">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pPr/>
      <w:r>
        <w:rPr>
          <w:b/>
        </w:rPr>
        <w:t>POSSIBLE 2022:</w:t>
      </w:r>
      <w:r>
        <w:t xml:space="preserve"> English non-manner how-clauses as answers to deficient questions — https://doi.org/10.3765/salt.v31i0.5114</w:t>
      </w:r>
    </w:p>
    <w:p>
      <w:pPr/>
      <w:r>
        <w:rPr>
          <w:b/>
        </w:rPr>
        <w:t>Shared claim-specific concepts:</w:t>
      </w:r>
      <w:r>
        <w:t xml:space="preserve"> accordingly, questions, arise; EU scope not established. This is a provisional connection, not an outcome finding.</w:t>
      </w:r>
    </w:p>
    <w:p>
      <w:pPr>
        <w:pStyle w:val="SourceNote"/>
      </w:pPr>
      <w:r>
        <w:rPr>
          <w:b/>
        </w:rPr>
        <w:t>Available abstract (not full text):</w:t>
      </w:r>
      <w:r>
        <w:t xml:space="preserve"> English exhibits a variety of embedded how-clause that, while introduced by a canonically interrogative item, lacks an intuitive sense of interrogativity. This paper offers an analysis of the semantics of these clauses that is grounded interrogative semantics. On this view, how in these clauses introduces a degenerate, necessarily-singleton question set. Further, the paper observes that how here introduces a factive presupposition that cannot be reduced to the matrix predicate’s entailments. Accordingly, this paper supports a view on which factivity can arise from multiple sources. A diachronic-based account is also offered to explain the reccurence of how in non-manner embedded clauses cross-linguistically.</w:t>
      </w:r>
    </w:p>
    <w:p>
      <w:pPr/>
      <w:r>
        <w:rPr>
          <w:b/>
        </w:rPr>
        <w:t>POSSIBLE 2022:</w:t>
      </w:r>
      <w:r>
        <w:t xml:space="preserve"> Million dollar questions: why deliberation is more than information pooling — https://doi.org/10.1007/s00355-022-01392-9</w:t>
      </w:r>
    </w:p>
    <w:p>
      <w:pPr/>
      <w:r>
        <w:rPr>
          <w:b/>
        </w:rPr>
        <w:t>Shared claim-specific concepts:</w:t>
      </w:r>
      <w:r>
        <w:t xml:space="preserve"> questions, about, various; EU scope not established. This is a provisional connection, not an outcome finding.</w:t>
      </w:r>
    </w:p>
    <w:p>
      <w:pPr>
        <w:pStyle w:val="SourceNote"/>
      </w:pPr>
      <w:r>
        <w:rPr>
          <w:b/>
        </w:rPr>
        <w:t>Available abstract (not full text):</w:t>
      </w:r>
      <w:r>
        <w:t xml:space="preserve"> Abstract Models of collective deliberation often assume that the chief aim of a deliberative exchange is the sharing of information. In this paper, we argue that an equally important role of deliberation is to draw participants’ attention to pertinent questions, which can aid the assembly and processing of distributed information by drawing deliberators’ attention to new issues. The assumption of logical omniscience renders classical models of agents' informational states unsuitable for modelling this role of deliberation. Building on recent insights from psychology, linguistics and philosophy about the role of questions in speech and thought, we propose a different model in which beliefs are treated as answers directed at specific questions. Here, questions are formally represented as partitions of the space of possibilities and individuals’ information states as sets of questions and corresponding partial answers to them. The state of conversation is then characterised by individuals’ information together with the questions under discussion, which can be steered by various deliberative inputs. Using this model, deliberation is then shown to shape collective decisions in ways that classical models cannot capture, allowing for novel explanations of how group consensus is achieved.</w:t>
      </w:r>
    </w:p>
    <w:p>
      <w:pPr/>
      <w:r>
        <w:rPr>
          <w:b/>
        </w:rPr>
        <w:t>POSSIBLE 2022:</w:t>
      </w:r>
      <w:r>
        <w:t xml:space="preserve"> APPROACHES TO UNDERSTANDING NATIONAL MARTYRDOM: THEORETICAL AND EMPIRICAL ESSAY — https://doi.org/10.5281/zenodo.7472109</w:t>
      </w:r>
    </w:p>
    <w:p>
      <w:pPr/>
      <w:r>
        <w:rPr>
          <w:b/>
        </w:rPr>
        <w:t>Shared claim-specific concepts:</w:t>
      </w:r>
      <w:r>
        <w:t xml:space="preserve"> accordingly, questions, arise; EU scope visible. This is a provisional connection, not an outcome finding.</w:t>
      </w:r>
    </w:p>
    <w:p>
      <w:pPr>
        <w:pStyle w:val="SourceNote"/>
      </w:pPr>
      <w:r>
        <w:rPr>
          <w:b/>
        </w:rPr>
        <w:t>Available abstract (not full text):</w:t>
      </w:r>
      <w:r>
        <w:t xml:space="preserve"> Political martyrdom is a bright, but extremely little–researched phenomenon of world political, social and religious culture, which originates in the European New Age and is actively developing to this day. Since the XVIII century . it arose in a huge range of historical contexts: These are the "martyrs of freedom" in the era of the French Revolution, martyred presidents in the USA, heroes of the Easter Uprising of 1916 in Dublin, martyrdom in the fascist movements of Spain, Romania, Germany of the XX century, the civil religions of the USSR and China, as well as sacrificial ideologies in the context of decolonization and postcolonialism. Over time, the number of political cults of martyrs not only did not decrease, but also increased: Today, a civil holiday called "Martyrs' Day" is celebrated in more than 30 countries around the world, and related ideas continue to fuel many national liberation and separatist movements around the world - for example, Kurds, Tamils, Welsh, Catalans or Indian Maoists (Naxalites). Accordingly, questions arise – why do all these numerous nationalisms, established states and activist movements need martyrs, practices and ideologies associated with them? What is the nature of this new and newest martyrdom – religious, secular or otherwise? Finally, is the veneration of martyrs an expression of affect or a mobilization strategy that has some function</w:t>
      </w:r>
    </w:p>
    <w:p>
      <w:pPr/>
      <w:r>
        <w:rPr>
          <w:b/>
        </w:rPr>
        <w:t>POSSIBLE 2021:</w:t>
      </w:r>
      <w:r>
        <w:t xml:space="preserve"> Avian Coloration Genetics: Recent Advances and Emerging Questions — https://doi.org/10.1093/jhered/esab015</w:t>
      </w:r>
    </w:p>
    <w:p>
      <w:pPr/>
      <w:r>
        <w:rPr>
          <w:b/>
        </w:rPr>
        <w:t>Shared claim-specific concepts:</w:t>
      </w:r>
      <w:r>
        <w:t xml:space="preserve"> accordingly, questions, arise, among; EU scope not established. This is a provisional connection, not an outcome finding.</w:t>
      </w:r>
    </w:p>
    <w:p>
      <w:pPr>
        <w:pStyle w:val="SourceNote"/>
      </w:pPr>
      <w:r>
        <w:rPr>
          <w:b/>
        </w:rPr>
        <w:t>Available abstract (not full text):</w:t>
      </w:r>
      <w:r>
        <w:t xml:space="preserve"> The colorful phenotypes of birds have long provided rich source material for evolutionary biologists. Avian plumage, beaks, skin, and eggs-which exhibit a stunning range of cryptic and conspicuous forms-inspired early work on adaptive coloration. More recently, avian color has fueled discoveries on the physiological, developmental, and-increasingly-genetic mechanisms responsible for phenotypic variation. The relative ease with which avian color traits can be quantified has made birds an attractive system for uncovering links between phenotype and genotype. Accordingly, the field of avian coloration genetics is burgeoning. In this review, we highlight recent advances and emerging questions associated with the genetic underpinnings of bird color. We start by describing breakthroughs related to 2 pigment classes: carotenoids that produce red, yellow, and orange in most birds and psittacofulvins that produce similar colors in parrots. We then discuss structural colors, which are produced by the interaction of light with nanoscale materials and greatly extend the plumage palette. Structural color genetics remain understudied-but this paradigm is changing. We next explore how colors that arise from interactions among pigmentary and structural mechanisms may be controlled by genes that are co-expressed or co-regulated. We also identify opportunities to investigate genes mediating with</w:t>
      </w:r>
    </w:p>
    <w:p>
      <w:pPr>
        <w:pStyle w:val="Heading2"/>
      </w:pPr>
      <w:r>
        <w:t>610.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there, sustainable, well, carbon, not;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Paving the way for sustainable decarbonization of the European cement industry — https://doi.org/10.1038/s41893-024-01320-y</w:t>
      </w:r>
    </w:p>
    <w:p>
      <w:pPr/>
      <w:r>
        <w:rPr>
          <w:b/>
        </w:rPr>
        <w:t>Shared claim-specific concepts:</w:t>
      </w:r>
      <w:r>
        <w:t xml:space="preserve"> sustainable, carbon, only, but; EU scope visible. This is a provisional connection, not an outcome finding.</w:t>
      </w:r>
    </w:p>
    <w:p>
      <w:pPr>
        <w:pStyle w:val="SourceNote"/>
      </w:pPr>
      <w:r>
        <w:rPr>
          <w:b/>
        </w:rPr>
        <w:t>Available abstract (not full text):</w:t>
      </w:r>
      <w:r>
        <w:t xml:space="preserve">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pPr/>
      <w:r>
        <w:rPr>
          <w:b/>
        </w:rPr>
        <w:t>POSSIBLE 2023:</w:t>
      </w:r>
      <w:r>
        <w:t xml:space="preserve"> Circularity in Europe strengthens the sustainability of the global food system — https://doi.org/10.1038/s43016-023-00734-9</w:t>
      </w:r>
    </w:p>
    <w:p>
      <w:pPr/>
      <w:r>
        <w:rPr>
          <w:b/>
        </w:rPr>
        <w:t>Shared claim-specific concepts:</w:t>
      </w:r>
      <w:r>
        <w:t xml:space="preserve"> enough, all, bring, but; EU scope visible. This is a provisional connection, not an outcome finding.</w:t>
      </w:r>
    </w:p>
    <w:p>
      <w:pPr>
        <w:pStyle w:val="SourceNote"/>
      </w:pPr>
      <w:r>
        <w:rPr>
          <w:b/>
        </w:rPr>
        <w:t>Available abstract (not full text):</w:t>
      </w:r>
      <w:r>
        <w:t xml:space="preserve">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pPr/>
      <w:r>
        <w:rPr>
          <w:b/>
        </w:rPr>
        <w:t>POSSIBLE 2022:</w:t>
      </w:r>
      <w:r>
        <w:t xml:space="preserve"> Events and sustainability: why making events more sustainable is not enough — https://doi.org/10.4324/9781003314295-1</w:t>
      </w:r>
    </w:p>
    <w:p>
      <w:pPr/>
      <w:r>
        <w:rPr>
          <w:b/>
        </w:rPr>
        <w:t>Shared claim-specific concepts:</w:t>
      </w:r>
      <w:r>
        <w:t xml:space="preserve"> there, enough, sustainable, contribute, not; EU scope not established. This is a provisional connection, not an outcome finding.</w:t>
      </w:r>
    </w:p>
    <w:p>
      <w:pPr>
        <w:pStyle w:val="SourceNote"/>
      </w:pPr>
      <w:r>
        <w:rPr>
          <w:b/>
        </w:rPr>
        <w:t>Available abstract (not full text):</w:t>
      </w:r>
      <w:r>
        <w:t xml:space="preserve"> The special issue dedicated to events and sustainability is introduced here. We provide synopses of the papers, preceded by an introductory essay that examines how event studies has approached the relationship between events and sustainable development. Existing work too often assumes that sustainability means reducing negative environmental impacts with other aspects of the sustainability paradigm neglected. And whilst social issues have risen to prominence in events research generally, this work is usually considered outwith sustainability debates, and without considering environmental and economic interrelationships. We argue that event scholars should examine how events might contribute to sustainable development, rather than merely exploring how individual events could be made more sustainable. Accordingly, there needs to be further work addressing how events might change attitudes and behaviours by promoting sustainable lifestyles, communities and technologies. Following this discussion, we justify the focus on social sustainability in the special issue, clarify what this actually means, and question whether this is always the most appropriate way of framing research on the social impacts of events. Given the timing of the special issue, there is also a short review of how the coronavirus crisis affected the events sector, and what the implications might be for sustainabi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sustainable, sectors, not, relevant, but;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Enough? The role of sufficiency in European energy and climate plans — https://doi.org/10.1016/j.enpol.2021.112483</w:t>
      </w:r>
    </w:p>
    <w:p>
      <w:pPr/>
      <w:r>
        <w:rPr>
          <w:b/>
        </w:rPr>
        <w:t>Shared claim-specific concepts:</w:t>
      </w:r>
      <w:r>
        <w:t xml:space="preserve"> enough, all, not; EU scope visible. This is a provisional connection, not an outcome finding.</w:t>
      </w:r>
    </w:p>
    <w:p>
      <w:pPr>
        <w:pStyle w:val="SourceNote"/>
      </w:pPr>
      <w:r>
        <w:rPr>
          <w:b/>
        </w:rPr>
        <w:t>Available abstract (not full text):</w:t>
      </w:r>
      <w:r>
        <w:t xml:space="preserve">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pPr/>
      <w:r>
        <w:rPr>
          <w:b/>
        </w:rPr>
        <w:t>POSSIBLE 2021:</w:t>
      </w:r>
      <w:r>
        <w:t xml:space="preserve"> Drivers of sustainability practices and contributions to sustainable development evident in sustainability reports of European mining companies — https://doi.org/10.1007/s43621-021-00025-y</w:t>
      </w:r>
    </w:p>
    <w:p>
      <w:pPr/>
      <w:r>
        <w:rPr>
          <w:b/>
        </w:rPr>
        <w:t>Shared claim-specific concepts:</w:t>
      </w:r>
      <w:r>
        <w:t xml:space="preserve"> there, sustainable, all, relevant, but; EU scope visible. This is a provisional connection, not an outcome finding.</w:t>
      </w:r>
    </w:p>
    <w:p>
      <w:pPr>
        <w:pStyle w:val="SourceNote"/>
      </w:pPr>
      <w:r>
        <w:rPr>
          <w:b/>
        </w:rPr>
        <w:t>Available abstract (not full text):</w:t>
      </w:r>
      <w:r>
        <w:t xml:space="preserve"> Abstract Mining activities cause negative environmental impacts, and social conflicts, but also provide economic benefits to communities and secure minerals necessary for low-carbon technology. The aim of this multiple case study is to analyze, compare and critically evaluate sustainability reports of 10 European mining companies for the 2016–2018 period to determine the drivers for implementation of sustainability practices and their contribution to the Sustainable Development Goals (SDGs). The findings suggest that European mining companies act under pressures from international initiatives and industry associations, the European Union, governments, stakeholders, and partnerships. The companies report on the core subjects of corporate governance, employees, the environment, stakeholders’ engagement and occupational health and safety. Positive trends were observed in stakeholder’s engagement, and health and safety, while air emissions, water and energy usage increased for most companies. Furthermore, there was an absence of improvement in gender diversity, utilization of renewable energy, and waste recycling. Even though all analyzed companies mentioned SDGs in the reports, the reports lacked a comprehensive explanation of mining activities’ contribution to the SDGs. This study addresses a gap in the existing literature on the European mining context of sustainable development</w:t>
      </w:r>
    </w:p>
    <w:p>
      <w:pPr>
        <w:pStyle w:val="Heading2"/>
      </w:pPr>
      <w:r>
        <w:t>611.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2024:</w:t>
      </w:r>
      <w:r>
        <w:t xml:space="preserve"> GHG Emission Trends and Targets (GETT) — https://doi.org/10.1787/decef216-en</w:t>
      </w:r>
    </w:p>
    <w:p>
      <w:pPr/>
      <w:r>
        <w:rPr>
          <w:b/>
        </w:rPr>
        <w:t>Shared claim-specific concepts:</w:t>
      </w:r>
      <w:r>
        <w:t xml:space="preserve"> ghg, emissions, climate; EU scope visible. This is a provisional connection, not an outcome finding.</w:t>
      </w:r>
    </w:p>
    <w:p>
      <w:pPr>
        <w:pStyle w:val="SourceNote"/>
      </w:pPr>
      <w:r>
        <w:rPr>
          <w:b/>
        </w:rPr>
        <w:t>Available abstract (not full text):</w:t>
      </w:r>
      <w:r>
        <w:t xml:space="preserve">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2023:</w:t>
      </w:r>
      <w:r>
        <w:t xml:space="preserve"> Dynamics and Accounting of GHG Emissions in the World — https://doi.org/10.1051/bioconf/20236306011</w:t>
      </w:r>
    </w:p>
    <w:p>
      <w:pPr/>
      <w:r>
        <w:rPr>
          <w:b/>
        </w:rPr>
        <w:t>Shared claim-specific concepts:</w:t>
      </w:r>
      <w:r>
        <w:t xml:space="preserve"> ghg, emissions, climate; EU scope not established. This is a provisional connection, not an outcome finding.</w:t>
      </w:r>
    </w:p>
    <w:p>
      <w:pPr>
        <w:pStyle w:val="SourceNote"/>
      </w:pPr>
      <w:r>
        <w:rPr>
          <w:b/>
        </w:rPr>
        <w:t>Available abstract (not full text):</w:t>
      </w:r>
      <w:r>
        <w:t xml:space="preserve">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based, climate;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Towards a Low-Carbon Plastic Waste Recycling in Finland: Evaluating the Impacts of Improvement Measures on GHG Emissions — https://doi.org/10.1007/s43615-023-00306-w</w:t>
      </w:r>
    </w:p>
    <w:p>
      <w:pPr/>
      <w:r>
        <w:rPr>
          <w:b/>
        </w:rPr>
        <w:t>Shared claim-specific concepts:</w:t>
      </w:r>
      <w:r>
        <w:t xml:space="preserve"> reach, ghg, emissions, capacity, based, energy; EU scope visible. This is a provisional connection, not an outcome finding.</w:t>
      </w:r>
    </w:p>
    <w:p>
      <w:pPr>
        <w:pStyle w:val="SourceNote"/>
      </w:pPr>
      <w:r>
        <w:rPr>
          <w:b/>
        </w:rPr>
        <w:t>Available abstract (not full text):</w:t>
      </w:r>
      <w:r>
        <w:t xml:space="preserve"> Abstract The use of plastics in products and packaging is growing. At the same time, the lifespan of packaging is short and consequently plastic waste volumes are growing in Finland and globally. Although separate collection and recycling of plastic packaging waste exists in Finland, it needs to be strengthened to reach the European Union’s targets. The separately collected plastic waste is mechanically recycled, but the recycling capacity is small, as is the process’s yield of secondary polymers. Hence, a large share of plastic packaging waste remains being recovered for energy. In our study, we first apply material flow analysis (MFA) to identify different routes of plastic packaging waste in Finland, and then we apply life cycle assessment (LCA) to quantify greenhouse gas (GHG) emissions of the current system and of alternative scenarios based on improvement measures. Domestic GHG emissions of the studied system were estimated to be 178 kt CO2e. Net GHG emissions including exports and credits from avoided production were estimated to be 155 kt CO2e. The results of the scenario assessment indicate that combining more measures offer significantly greater potential to reduce the system’s climate impacts, compared to individual measures. The results are complemented by a sensitivity analysis, helping with the interpretation of the results, understanding modelling challenges, and</w:t>
      </w:r>
    </w:p>
    <w:p>
      <w:pPr/>
      <w:r>
        <w:rPr>
          <w:b/>
        </w:rPr>
        <w:t>POSSIBLE 2022:</w:t>
      </w:r>
      <w:r>
        <w:t xml:space="preserve"> Completing Urban GHG Emissions Data to Assess the Effectiveness of Climate Action Plans in Europe — https://doi.org/10.5194/egusphere-egu22-5175</w:t>
      </w:r>
    </w:p>
    <w:p>
      <w:pPr/>
      <w:r>
        <w:rPr>
          <w:b/>
        </w:rPr>
        <w:t>Shared claim-specific concepts:</w:t>
      </w:r>
      <w:r>
        <w:t xml:space="preserve"> reach, ghg, emissions, need, strategic, role; EU scope visible. This is a provisional connection, not an outcome finding.</w:t>
      </w:r>
    </w:p>
    <w:p>
      <w:pPr>
        <w:pStyle w:val="SourceNote"/>
      </w:pPr>
      <w:r>
        <w:rPr>
          <w:b/>
        </w:rPr>
        <w:t>Available abstract (not full text):</w:t>
      </w:r>
      <w:r>
        <w:t xml:space="preserve"> Urban areas are major contributors to global greenhouse gas (GHG) emissions. To address climate change, many cities have developed climate action plans (CAPs) as strategic roadmaps to reduce their emissions and strive for emission neutrality and climate resilience by 2050 or before. It has been more than a decade since the first of these plans were put in place, and it is now important to evaluate these plans and to access whether city-level climate ambitions will be realised or perhaps need adjustment to pursue for improvements in climate resilience over time This work aims to further our understanding of urban GHG emissions, by completing existing urban carbon emissions data with blue-green contributions to the urban carbon cycle. In a previous study, it was found that the inclusion of blue-green emissions in urban carbon accounting in Stockholm, Sweden had a significant impact on that region’s ability to reach net zero emissions in the coming decades (Page et al., 2021). In this study, we complete the urban emissions data for cities across the European Union (EU) in order to assess if, and for which types of cities, the inclusion of blue-green emissions in the GHG accounting is similarly relevant. Furthermore, we will use data about the CAPs produced and implemented by these cities together with the completed GHG emissions in order to assess whether the actions and plans mad</w:t>
      </w:r>
    </w:p>
    <w:p>
      <w:pPr/>
      <w:r>
        <w:rPr>
          <w:b/>
        </w:rPr>
        <w:t>POSSIBLE 2022:</w:t>
      </w:r>
      <w:r>
        <w:t xml:space="preserve"> How COVID-19 Affected GHG Emissions of Ferries in Europe — https://doi.org/10.3390/su14095287</w:t>
      </w:r>
    </w:p>
    <w:p>
      <w:pPr/>
      <w:r>
        <w:rPr>
          <w:b/>
        </w:rPr>
        <w:t>Shared claim-specific concepts:</w:t>
      </w:r>
      <w:r>
        <w:t xml:space="preserve"> ghg, emissions, reduction, depending;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emissions, role,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GHG emissions and firm performance: The role of CEO gender socialization — https://doi.org/10.1016/j.jbankfin.2022.106721</w:t>
      </w:r>
    </w:p>
    <w:p>
      <w:pPr/>
      <w:r>
        <w:rPr>
          <w:b/>
        </w:rPr>
        <w:t>Shared claim-specific concepts:</w:t>
      </w:r>
      <w:r>
        <w:t xml:space="preserve"> ghg, emissions, reduction, role, strategy, energy; EU scope not established. This is a provisional connection, not an outcome finding.</w:t>
      </w:r>
    </w:p>
    <w:p>
      <w:pPr>
        <w:pStyle w:val="SourceNote"/>
      </w:pPr>
      <w:r>
        <w:rPr>
          <w:b/>
        </w:rPr>
        <w:t>Available abstract (not full text):</w:t>
      </w:r>
      <w:r>
        <w:t xml:space="preserve">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612.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2023:</w:t>
      </w:r>
      <w:r>
        <w:t xml:space="preserve"> PUBLIC-PRIVATE PARTNERSHIP’S ASCENT AND FALL IN EUROPE — https://doi.org/10.47535/1991auoes32(2)004</w:t>
      </w:r>
    </w:p>
    <w:p>
      <w:pPr/>
      <w:r>
        <w:rPr>
          <w:b/>
        </w:rPr>
        <w:t>Shared claim-specific concepts:</w:t>
      </w:r>
      <w:r>
        <w:t xml:space="preserve"> understand, way, private; EU scope visible. This is a provisional connection, not an outcome finding.</w:t>
      </w:r>
    </w:p>
    <w:p>
      <w:pPr>
        <w:pStyle w:val="SourceNote"/>
      </w:pPr>
      <w:r>
        <w:rPr>
          <w:b/>
        </w:rPr>
        <w:t>Available abstract (not full text):</w:t>
      </w:r>
      <w:r>
        <w:t xml:space="preserve">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pPr/>
      <w:r>
        <w:rPr>
          <w:b/>
        </w:rPr>
        <w:t>POSSIBLE 2023:</w:t>
      </w:r>
      <w:r>
        <w:t xml:space="preserve"> The history of European public health education accreditation in perspective — https://doi.org/10.56801/seejph.vi.54</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pPr/>
      <w:r>
        <w:rPr>
          <w:b/>
        </w:rPr>
        <w:t>POSSIBLE 2023:</w:t>
      </w:r>
      <w:r>
        <w:t xml:space="preserve"> Examining the publicness of spaces on European social housing estates: a position paper — https://doi.org/10.1017/s1359135523000155</w:t>
      </w:r>
    </w:p>
    <w:p>
      <w:pPr/>
      <w:r>
        <w:rPr>
          <w:b/>
        </w:rPr>
        <w:t>Shared claim-specific concepts:</w:t>
      </w:r>
      <w:r>
        <w:t xml:space="preserve"> understand, four; EU scope visible. This is a provisional connection, not an outcome finding.</w:t>
      </w:r>
    </w:p>
    <w:p>
      <w:pPr>
        <w:pStyle w:val="SourceNote"/>
      </w:pPr>
      <w:r>
        <w:rPr>
          <w:b/>
        </w:rPr>
        <w:t>Available abstract (not full text):</w:t>
      </w:r>
      <w:r>
        <w:t xml:space="preserve">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aim, understand, among;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r>
        <w:rPr>
          <w:b/>
        </w:rPr>
        <w:t>POSSIBLE 2022:</w:t>
      </w:r>
      <w:r>
        <w:t xml:space="preserve"> European Public Health News — https://doi.org/10.1093/eurpub/ckac050</w:t>
      </w:r>
    </w:p>
    <w:p>
      <w:pPr/>
      <w:r>
        <w:rPr>
          <w:b/>
        </w:rPr>
        <w:t>Shared claim-specific concepts:</w:t>
      </w:r>
      <w:r>
        <w:t xml:space="preserve"> several, healthier, way, organized, three, four; EU scope visible. This is a provisional connection, not an outcome finding.</w:t>
      </w:r>
    </w:p>
    <w:p>
      <w:pPr>
        <w:pStyle w:val="SourceNote"/>
      </w:pPr>
      <w:r>
        <w:rPr>
          <w:b/>
        </w:rPr>
        <w:t>Available abstract (not full text):</w:t>
      </w:r>
      <w:r>
        <w:t xml:space="preserve"> In this European public health news, the focus is on the next generation of public health professionals. Nagyova et al. highlight the successes of EUPHA, including attention to the younger generation and including the next generation in our governance structure. Barrios Aparicio et al. from the regional office for Europe of WHO embrace youth by highlighting WHO’s commitment to having the next generation involved in decision-making. Finally, Barnhoorn presents the efforts of greening this year’s EPH Conference, as requested by the younger generation. It is clear that we need to make sure that the younger (future) generation of public health professionals is (critically) involved in what we do and in what we need to do to make our future healthier. This year, EUPHA is celebrating its 30th birthday. Established in 1992, EUPHA started as a small network of public health professionals, where coordination between countries and providing the evidence were top priorities. Over the years, EUPHA has developed in a strong, reliable, science-based European partner with an excellent reputation. EUPHA is able to provide the right evidence at the right place at the right time, has become a strong advocate for public health at European level and also has developed action-oriented tools, like the European public health week. So how did we grow to what we are now? Without being exhaustive, we wo</w:t>
      </w:r>
    </w:p>
    <w:p>
      <w:pPr/>
      <w:r>
        <w:rPr>
          <w:b/>
        </w:rPr>
        <w:t>POSSIBLE 2021:</w:t>
      </w:r>
      <w:r>
        <w:t xml:space="preserve"> European Public Health news — https://doi.org/10.1093/eurpub/ckab175</w:t>
      </w:r>
    </w:p>
    <w:p>
      <w:pPr/>
      <w:r>
        <w:rPr>
          <w:b/>
        </w:rPr>
        <w:t>Shared claim-specific concepts:</w:t>
      </w:r>
      <w:r>
        <w:t xml:space="preserve"> several, way, society; EU scope visible. This is a provisional connection, not an outcome finding.</w:t>
      </w:r>
    </w:p>
    <w:p>
      <w:pPr>
        <w:pStyle w:val="SourceNote"/>
      </w:pPr>
      <w:r>
        <w:rPr>
          <w:b/>
        </w:rPr>
        <w:t>Available abstract (not full text):</w:t>
      </w:r>
      <w:r>
        <w:t xml:space="preserve"> In this European Public Health news, we present updates from EUPHA, the EUPHA working group on gender equality, WHO Europe and the upcoming European Public Health Conference. Zeegers and Nagyova reflect on the increase in polarization in the world which has been highlighted by the COVID-19 pandemic. Petelos et al. present the work EUPHA has been developing on gender equality. Something that should be totally obvious, but still needs specific attention, so that gender equality is accepted and implemented everywhere. Kluge et al. reflect on the future of digital public health, one of the priorities of WHO Europe. Digital health is no longer an option, it is essential. Barnhoorn and Staines highlight the excellent plenary programme of the 2021 European Public Health Conference, where digital health, communication, lessons learned from COVID-19 and climate change are all being addressed. In July, a famous Dutch crime reporter was killed in the streets of Amsterdam and a 14-year-old Dutch girl was beaten for not answering a question on her gender. Why? Because they were both—in their own way—outspoken and open, something that seems to be no longer accepted in this polarized society. In the society today, you are either from the North Pole or from the South Pole. The fact that 99.9% of people actually live between those two extremes seems no longer relevant. We learn from our world t</w:t>
      </w:r>
    </w:p>
    <w:p>
      <w:pPr/>
      <w:r>
        <w:rPr>
          <w:b/>
        </w:rPr>
        <w:t>POSSIBLE 2021:</w:t>
      </w:r>
      <w:r>
        <w:t xml:space="preserve"> Public opinion towards a universal basic income in Europe — https://openalex.org/W7113266209</w:t>
      </w:r>
    </w:p>
    <w:p>
      <w:pPr/>
      <w:r>
        <w:rPr>
          <w:b/>
        </w:rPr>
        <w:t>Shared claim-specific concepts:</w:t>
      </w:r>
      <w:r>
        <w:t xml:space="preserve"> aim, understand, about, among; EU scope visible. This is a provisional connection, not an outcome finding.</w:t>
      </w:r>
    </w:p>
    <w:p>
      <w:pPr>
        <w:pStyle w:val="SourceNote"/>
      </w:pPr>
      <w:r>
        <w:rPr>
          <w:b/>
        </w:rPr>
        <w:t>Available abstract (not full text):</w:t>
      </w:r>
      <w:r>
        <w:t xml:space="preserve"> The idea of a Universal Basic Income (UBI) has gained increasing attention in public debates and among policymakers across Europe. The inclusion of the Welfare Attitudes in Europe module during Round 8 (2016/17) of the European Social Survey (ESS) - for the first time in academic cross-national research - allowed attitudes towards the introduction of a Universal Basic Income to be assessed in 23 countries. Aim of this article is to explore and understand the different aspects and predictors of UBI support. In particular, this paper analyses a broad range of explanatory individual and contextual factors that may affect popular support for a UBI. Main findings shows that the stronger support for a European minimum income benefit in less generous welfare states is explained by more optimistic expectations about the EU’s domestic impact and lower socioeconomic status groups are more supportive of this policy proposal. Moreover, the analysis reveals that diverging national experiences and expectations are crucial in understanding why Europeans are widely divided on the implementation of such a benefit scheme. Secondly, in almost all countries, the younger age group is more supportive of activation and a universal basic income than the older age group. Finally, using logistic regression model it is possible to estimate the different attitudes among countries for a UBI more accurately</w:t>
      </w:r>
    </w:p>
    <w:p>
      <w:pPr>
        <w:pStyle w:val="Heading2"/>
      </w:pPr>
      <w:r>
        <w:t>613.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r>
        <w:rPr>
          <w:b/>
        </w:rPr>
        <w:t>POSSIBLE 2022:</w:t>
      </w:r>
      <w:r>
        <w:t xml:space="preserve"> Precedent in the system of the European Convention on Human Rights — https://doi.org/10.4324/9781003264262-15</w:t>
      </w:r>
    </w:p>
    <w:p>
      <w:pPr/>
      <w:r>
        <w:rPr>
          <w:b/>
        </w:rPr>
        <w:t>Shared claim-specific concepts:</w:t>
      </w:r>
      <w:r>
        <w:t xml:space="preserve"> approach, considerations, they; EU scope visible. This is a provisional connection, not an outcome finding.</w:t>
      </w:r>
    </w:p>
    <w:p>
      <w:pPr>
        <w:pStyle w:val="SourceNote"/>
      </w:pPr>
      <w:r>
        <w:rPr>
          <w:b/>
        </w:rPr>
        <w:t>Available abstract (not full text):</w:t>
      </w:r>
      <w:r>
        <w:t xml:space="preserve">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pPr/>
      <w:r>
        <w:rPr>
          <w:b/>
        </w:rPr>
        <w:t>POSSIBLE 2021:</w:t>
      </w:r>
      <w:r>
        <w:t xml:space="preserve"> Insights on the environmental management system of the European port sector — https://doi.org/10.1016/j.scitotenv.2021.150550</w:t>
      </w:r>
    </w:p>
    <w:p>
      <w:pPr/>
      <w:r>
        <w:rPr>
          <w:b/>
        </w:rPr>
        <w:t>Shared claim-specific concepts:</w:t>
      </w:r>
      <w:r>
        <w:t xml:space="preserve"> given, they; EU scope visible. This is a provisional connection, not an outcome finding.</w:t>
      </w:r>
    </w:p>
    <w:p>
      <w:pPr>
        <w:pStyle w:val="SourceNote"/>
      </w:pPr>
      <w:r>
        <w:rPr>
          <w:b/>
        </w:rPr>
        <w:t>Available abstract (not full text):</w:t>
      </w:r>
      <w:r>
        <w:t xml:space="preserve">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pPr/>
      <w:r>
        <w:rPr>
          <w:b/>
        </w:rPr>
        <w:t>POSSIBLE 2021:</w:t>
      </w:r>
      <w:r>
        <w:t xml:space="preserve"> Governing displaced migration in Europe: housing and the role of the “local” — https://doi.org/10.1186/s40878-020-00209-x</w:t>
      </w:r>
    </w:p>
    <w:p>
      <w:pPr/>
      <w:r>
        <w:rPr>
          <w:b/>
        </w:rPr>
        <w:t>Shared claim-specific concepts:</w:t>
      </w:r>
      <w:r>
        <w:t xml:space="preserve"> approach,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614.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2022:</w:t>
      </w:r>
      <w:r>
        <w:t xml:space="preserve"> Hungarian Participation in JUICE Project of European Space Agency — https://doi.org/10.12700/aph.19.9.2022.9.2</w:t>
      </w:r>
    </w:p>
    <w:p>
      <w:pPr/>
      <w:r>
        <w:rPr>
          <w:b/>
        </w:rPr>
        <w:t>Shared claim-specific concepts:</w:t>
      </w:r>
      <w:r>
        <w:t xml:space="preserve"> hungarian, team, current, out; EU scope visible. This is a provisional connection, not an outcome finding.</w:t>
      </w:r>
    </w:p>
    <w:p>
      <w:pPr>
        <w:pStyle w:val="SourceNote"/>
      </w:pPr>
      <w:r>
        <w:rPr>
          <w:b/>
        </w:rPr>
        <w:t>Available abstract (not full text):</w:t>
      </w:r>
      <w:r>
        <w:t xml:space="preserve"> JUICE -JUpiter ICy moons Explorer -is the first large-class mission of ESA (European Space Agency). Planned for launch in Sept 2022 and arrival at Jupiter in 2029, it will spend at least three years making detailed observations of the giant gaseous planet Jupiter and three of its largest moons, Ganymede, Callisto and Europa.Space technical team developed power supply unit for PEP (Particle Enviroment Package) instrument.PEP and its sensors will examine the plasma environment in the Jovian system.PEP will measure density and fluxes of positive and negative ions, electrons, exospheric neutral gas, thermal plasma and energetic neutral atoms.The nominal onboard voltage is 28 V on the space probe.Space technical team had a job to develop power supply unit DCC (Direct Current Converter) for the sensors of PEP.The job was a great challenge because of the required high reliability and that reliable operation had to be ensured in extreme circumstances.We present in this article the realization of DCC.The DCC required for its tests to develop a special test equipment called EGSE (Electronic Ground Support Equipment).The EGSE was developed by the SGF Ltd. and supports checks of DCC.In this article we present the DCC, the quality insurance methods and the tests carried out by EGSE.</w:t>
      </w:r>
    </w:p>
    <w:p>
      <w:pPr/>
      <w:r>
        <w:rPr>
          <w:b/>
        </w:rPr>
        <w:t>POSSIBLE 2022:</w:t>
      </w:r>
      <w:r>
        <w:t xml:space="preserve"> The genetic origin of Huns, Avars, and conquering Hungarians — https://doi.org/10.1016/j.cub.2022.04.093</w:t>
      </w:r>
    </w:p>
    <w:p>
      <w:pPr/>
      <w:r>
        <w:rPr>
          <w:b/>
        </w:rPr>
        <w:t>Shared claim-specific concepts:</w:t>
      </w:r>
      <w:r>
        <w:t xml:space="preserve"> hungarian, identify, likely; EU scope visible. This is a provisional connection, not an outcome finding.</w:t>
      </w:r>
    </w:p>
    <w:p>
      <w:pPr>
        <w:pStyle w:val="SourceNote"/>
      </w:pPr>
      <w:r>
        <w:rPr>
          <w:b/>
        </w:rPr>
        <w:t>Available abstract (not full text):</w:t>
      </w:r>
      <w:r>
        <w:t xml:space="preserve"> centuries. Based on the historical data, each of these groups are thought to have arrived from Asia, although their exact origin and relation to other ancient and modern populations have been debated. Recently, hundreds of ancient genomes were analyzed from Central Asia, Mongolia, and China, from which we aimed to identify putative source populations for the above-mentioned groups. In this study, we have sequenced 9 Hun, 143 Avar, and 113 Hungarian conquest period samples and identified three core populations, representing immigrants from each period with no recent European ancestry. Our results reveal that this "immigrant core" of both Huns and Avars likely originated in present day Mongolia, and their origin can be traced back to Xiongnus (Asian Huns), as suggested by several historians. On the other hand, the "immigrant core" of the conquering Hungarians derived from an earlier admixture of Mansis, early Sarmatians, and descendants of late Xiongnus. We have also shown that a common "proto-Ugric" gene pool appeared in the Bronze Age from the admixture of Mezhovskaya and Nganasan people, supporting genetic and linguistic data. In addition, we detected shared Hun-related ancestry in numerous Avar and Hungarian conquest period genetic outliers, indicating a genetic link between these successive nomadic groups. Aside from the immigrant core groups, we identified that the majority</w:t>
      </w:r>
    </w:p>
    <w:p>
      <w:pPr/>
      <w:r>
        <w:rPr>
          <w:b/>
        </w:rPr>
        <w:t>POSSIBLE 2022:</w:t>
      </w:r>
      <w:r>
        <w:t xml:space="preserve"> Strategic coupling on the European periphery: A case study of a small Hungarian town — https://doi.org/10.17649/tet.36.3.3424</w:t>
      </w:r>
    </w:p>
    <w:p>
      <w:pPr/>
      <w:r>
        <w:rPr>
          <w:b/>
        </w:rPr>
        <w:t>Shared claim-specific concepts:</w:t>
      </w:r>
      <w:r>
        <w:t xml:space="preserve"> hungarian, key; EU scope visible. This is a provisional connection, not an outcome finding.</w:t>
      </w:r>
    </w:p>
    <w:p>
      <w:pPr>
        <w:pStyle w:val="SourceNote"/>
      </w:pPr>
      <w:r>
        <w:rPr>
          <w:b/>
        </w:rPr>
        <w:t>Available abstract (not full text):</w:t>
      </w:r>
      <w:r>
        <w:t xml:space="preserve"> The FDI-based economic development policies in East-Central Europe and the strategies of transnational firms seeking cost-efficient production locations close to the main markets of the EU have led during the last decades to the integration of the region into different global/regional production networks, mainly in the form of locations for industrial production. While the intensity of re-industrialization largely determines economic growth and spatial socioeconomic inequalities outside metropolitan regions, the long-term success of this model, which tends to result in a dual economy, dependent development, and the ‘middle-income trap’, has been challenged. According to the GPN literature, which comprises the main theoretical basis of our research, the means of integration is the key to understanding the potential outcomes of this economic model. The process seems to depend on the quality of global-local interactions based on enterprise strategies and multi-level regional assets and agency. Our article focuses on making a comparative analysis of two transnational companies in a small peripheral town and uses the concept of strategic coupling as the analytical framework for the interpretation of the global-local interactions and their developmental outcomes. Based on secondary and primary sources, we examine the key assets and actors in the local environment, follow the developm</w:t>
      </w:r>
    </w:p>
    <w:p>
      <w:pPr/>
      <w:r>
        <w:rPr>
          <w:b/>
        </w:rPr>
        <w:t>POSSIBLE 2021:</w:t>
      </w:r>
      <w:r>
        <w:t xml:space="preserve"> Sport and development in Hungary and the Central and Eastern European region — https://doi.org/10.4324/9781003024002-5</w:t>
      </w:r>
    </w:p>
    <w:p>
      <w:pPr/>
      <w:r>
        <w:rPr>
          <w:b/>
        </w:rPr>
        <w:t>Shared claim-specific concepts:</w:t>
      </w:r>
      <w:r>
        <w:t xml:space="preserve"> aim, trends, opportunities; EU scope visible. This is a provisional connection, not an outcome finding.</w:t>
      </w:r>
    </w:p>
    <w:p>
      <w:pPr>
        <w:pStyle w:val="SourceNote"/>
      </w:pPr>
      <w:r>
        <w:rPr>
          <w:b/>
        </w:rPr>
        <w:t>Available abstract (not full text):</w:t>
      </w:r>
      <w:r>
        <w:t xml:space="preserve"> Emerging markets mean business opportunities and a special challenge for companies whose goals are to build business. The aim of this paper is to analyse the trends of the leisure sports markets in the Central and Eastern European (CEE) region, with a special focus on Hungary. Comprehensive data collection was conducted between 2010 and 2019 on the leisure sports markets and people’s physical activity in eight post-soviet countries in our detailed investigation of supply and demand for leisure sport in emerging markets. Our research shows that for emerging countries, the development of the economy generally results in a significant increase in the service sector, including the leisure sport industry (revenues, market size, etc.). However, our results show that the level of physical activity and the number of people involved in leisure sports are not increasing. Furthermore, the number of those who never do sports has increased. Finally, we have found that while spending on sports goods has increased, fewer people are actually spending more. This chapter explores these results, the role of business development, and the responsibility of CEE governments in leisure sports.</w:t>
      </w:r>
    </w:p>
    <w:p>
      <w:pPr>
        <w:pStyle w:val="Heading2"/>
      </w:pPr>
      <w:r>
        <w:t>615.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2023:</w:t>
      </w:r>
      <w:r>
        <w:t xml:space="preserve"> SMART SPECIALIZATION STRATEGY AS AN INNOVATIVE BASIS OF GLOBAL ECONOMIC DEVELOPMENT: EUROPEAN EXPERIENCE — https://doi.org/10.20998/2519-4461.2023.2.95</w:t>
      </w:r>
    </w:p>
    <w:p>
      <w:pPr/>
      <w:r>
        <w:rPr>
          <w:b/>
        </w:rPr>
        <w:t>Shared claim-specific concepts:</w:t>
      </w:r>
      <w:r>
        <w:t xml:space="preserve"> find, specific; EU scope visible. This is a provisional connection, not an outcome finding.</w:t>
      </w:r>
    </w:p>
    <w:p>
      <w:pPr>
        <w:pStyle w:val="SourceNote"/>
      </w:pPr>
      <w:r>
        <w:rPr>
          <w:b/>
        </w:rPr>
        <w:t>Available abstract (not full text):</w:t>
      </w:r>
      <w:r>
        <w:t xml:space="preserve">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pPr/>
      <w:r>
        <w:rPr>
          <w:b/>
        </w:rPr>
        <w:t>POSSIBLE 2023:</w:t>
      </w:r>
      <w:r>
        <w:t xml:space="preserve"> Cost-effective adaptation strategies to rising river flood risk in Europe — https://doi.org/10.1038/s41558-022-01540-0</w:t>
      </w:r>
    </w:p>
    <w:p>
      <w:pPr/>
      <w:r>
        <w:rPr>
          <w:b/>
        </w:rPr>
        <w:t>Shared claim-specific concepts:</w:t>
      </w:r>
      <w:r>
        <w:t xml:space="preserve"> find, measures, level;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2023:</w:t>
      </w:r>
      <w:r>
        <w:t xml:space="preserve"> Symmetric or Asymmetric: How is Economic Growth Responding to Global Economic Uncertainty in Africa's Oil Exporters? — https://doi.org/10.18267/j.pep.836</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pPr/>
      <w:r>
        <w:rPr>
          <w:b/>
        </w:rPr>
        <w:t>POSSIBLE 2022:</w:t>
      </w:r>
      <w:r>
        <w:t xml:space="preserve"> Globalization, Political Institutions, and Redistribution in Central and Eastern Europe — https://doi.org/10.1177/00104140221100199</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We examine the role of political institutions in mediating the effects of globalization on economic redistribution in Central and Eastern Europe. The region represents a least-likely case of welfare state resilience in the face of global economic pressures given its reliance on foreign capital and considerable domestic elite support for neoliberal recipes during the postcommunist transition. Yet, contrary to the race-to-the-bottom hypothesis and consistent with the compensation perspective, we find that economic openness is on average related to higher redistribution. Using the high-quality European Union Statistics on Income and Living Conditions database for 2004–2018, we find that this effect is particularly pronounced in institutional environments where votes are more accurately translated into legislative seats (low disproportionality) and where governments face greater scrutiny both during elections (vertical accountability) and between them (diagonal accountability). Thus, even in a region that adopted “competitive deregulation,” the downward pressures of globalization were limited by electoral pressures for economic redistribution.</w:t>
      </w:r>
    </w:p>
    <w:p>
      <w:pPr/>
      <w:r>
        <w:rPr>
          <w:b/>
        </w:rPr>
        <w:t>POSSIBLE 2021:</w:t>
      </w:r>
      <w:r>
        <w:t xml:space="preserve"> Public attitudes toward economic growth versus environmental sustainability dilemma: Evidence from Europe — https://doi.org/10.1177/00207152211034224</w:t>
      </w:r>
    </w:p>
    <w:p>
      <w:pPr/>
      <w:r>
        <w:rPr>
          <w:b/>
        </w:rPr>
        <w:t>Shared claim-specific concepts:</w:t>
      </w:r>
      <w:r>
        <w:t xml:space="preserve"> find, measures, national, level; EU scope visible. This is a provisional connection, not an outcome finding.</w:t>
      </w:r>
    </w:p>
    <w:p>
      <w:pPr>
        <w:pStyle w:val="SourceNote"/>
      </w:pPr>
      <w:r>
        <w:rPr>
          <w:b/>
        </w:rPr>
        <w:t>Available abstract (not full text):</w:t>
      </w:r>
      <w:r>
        <w:t xml:space="preserve"> As global warming and other environmental threats intensify and become more visible, scientists are increasingly questioning the desirability of economic growth as an overarching national and global policy imperative. Several theories in environmental sociology and economics—degrowth, steady-state economy, and “agrowth”—offer compelling arguments that environmental sustainability and continuous economic growth are incompatible. However, there is a shortage of empirical evidence about public opinion on the growth versus environment dilemma, despite its great relevance for the social legitimacy of governments’ approach to the issue. In this article, we aim to narrow this research gap by applying multilevel models to data from the 2017 European Values Study (EVS). We find that the idea of sacrificing a certain level of growth for the sake of the environment receives high levels of support in most European countries. Nevertheless, within countries, we find clear indications of social divides in opinions regarding the growth versus environment dilemma: post-materialists, politically left-leaning people, the better-off, and the higher-educated are in favor of reduced growth, whereas materialists, right-wing individuals, and disadvantaged groups prioritize the economy over ecological concerns. At the country level, economic affluence is associated with greater support for reduced grow</w:t>
      </w:r>
    </w:p>
    <w:p>
      <w:pPr/>
      <w:r>
        <w:rPr>
          <w:b/>
        </w:rPr>
        <w:t>POSSIBLE 2021:</w:t>
      </w:r>
      <w:r>
        <w:t xml:space="preserve"> The impact of stock market integration on economic growth in Asia and Europe regions — https://doi.org/10.1063/5.0075998</w:t>
      </w:r>
    </w:p>
    <w:p>
      <w:pPr/>
      <w:r>
        <w:rPr>
          <w:b/>
        </w:rPr>
        <w:t>Shared claim-specific concepts:</w:t>
      </w:r>
      <w:r>
        <w:t xml:space="preserve"> find, index; EU scope visible. This is a provisional connection, not an outcome finding.</w:t>
      </w:r>
    </w:p>
    <w:p>
      <w:pPr>
        <w:pStyle w:val="SourceNote"/>
      </w:pPr>
      <w:r>
        <w:rPr>
          <w:b/>
        </w:rPr>
        <w:t>Available abstract (not full text):</w:t>
      </w:r>
      <w:r>
        <w:t xml:space="preserve"> The global increased of market integration for the past few decades has been staggering. Although numerous research have shown market integration as one of the main drivers of economic growth, existing literature has yet to find a conclusive result. Hence, this study examines the impact of stock market integration on economic growth in 32 countries of Asia and Europe regions. The study utilizes the Kalman Filter method to generate the stock market integration index and heterogenous panel models to investigate its relationship towards economic growth. Overall, the result shows that stock market integration has positive impact on economic growth in Asia and Europe high-income countries. However, the impact is not significant in Asia Middle-Income Countries, which suggest the insufficient absorptive capacities in these countries to benefit from the market integration. Such findings call for more appropriate market liberalization policies that fits the economic environment and geographical location of these countries.</w:t>
      </w:r>
    </w:p>
    <w:p>
      <w:pPr/>
      <w:r>
        <w:rPr>
          <w:b/>
        </w:rPr>
        <w:t>POSSIBLE 2021:</w:t>
      </w:r>
      <w:r>
        <w:t xml:space="preserve"> Global economic impacts of COVID-19 lockdown measures stand out in high-frequency shipping data — https://doi.org/10.1371/journal.pone.0248818</w:t>
      </w:r>
    </w:p>
    <w:p>
      <w:pPr/>
      <w:r>
        <w:rPr>
          <w:b/>
        </w:rPr>
        <w:t>Shared claim-specific concepts:</w:t>
      </w:r>
      <w:r>
        <w:t xml:space="preserve"> find, specific, measures, effect; EU scope visible. This is a provisional connection, not an outcome finding.</w:t>
      </w:r>
    </w:p>
    <w:p>
      <w:pPr>
        <w:pStyle w:val="SourceNote"/>
      </w:pPr>
      <w:r>
        <w:rPr>
          <w:b/>
        </w:rPr>
        <w:t>Available abstract (not full text):</w:t>
      </w:r>
      <w:r>
        <w:t xml:space="preserve"> The implementation of large-scale containment measures by governments to contain the spread of the COVID-19 virus has resulted in large impacts to the global economy. Here, we derive a new high-frequency indicator of economic activity using empirical vessel tracking data, and use it to estimate the global maritime trade losses during the first eight months of the pandemic. We go on to use this high-frequency dataset to infer the effect of individual non-pharmaceutical interventions on maritime exports, which we use as a proxy of economic activity. Our results show widespread port-level trade losses, with the largest absolute losses found for ports in China, the Middle-East and Western Europe, associated with the collapse of specific supply-chains (e.g. oil, vehicle manufacturing). In total, we estimate that global maritime trade reduced by -7.0% to -9.6% during the first eight months of 2020, which is equal to around 206-286 million tonnes in volume losses and up to 225-412 billion USD in value losses. We find large sectoral and geographical disparities in impacts. Manufacturing sectors are hit hardest, with losses up to 11.8%, whilst some small islands developing states and low-income economies suffered the largest relative trade losses. Moreover, we find a clear negative impact of COVID-19 related school and public transport closures on country-wide exports. Overall, we show </w:t>
      </w:r>
    </w:p>
    <w:p>
      <w:pPr/>
      <w:r>
        <w:rPr>
          <w:b/>
        </w:rPr>
        <w:t>POSSIBLE 2021:</w:t>
      </w:r>
      <w:r>
        <w:t xml:space="preserve"> How resilient is health financing policy in Europe to economic shocks? Evidence from the first year of the COVID-19 pandemic and the 2008 global financial crisis — https://doi.org/10.1016/j.healthpol.2021.11.002</w:t>
      </w:r>
    </w:p>
    <w:p>
      <w:pPr/>
      <w:r>
        <w:rPr>
          <w:b/>
        </w:rPr>
        <w:t>Shared claim-specific concepts:</w:t>
      </w:r>
      <w:r>
        <w:t xml:space="preserve"> find, national; EU scope visible. This is a provisional connection, not an outcome finding.</w:t>
      </w:r>
    </w:p>
    <w:p>
      <w:pPr>
        <w:pStyle w:val="SourceNote"/>
      </w:pPr>
      <w:r>
        <w:rPr>
          <w:b/>
        </w:rPr>
        <w:t>Available abstract (not full text):</w:t>
      </w:r>
      <w:r>
        <w:t xml:space="preserve"> The COVID-19 pandemic triggered an economic shock just ten years after the shock of the 2008 global financial crisis. Economic shocks are a challenge for health systems because they reduce government revenue at the same time as they increase the need for publicly financed health care. This article explores the resilience of health financing policy to economic shocks by reviewing policy responses to the financial crisis and COVID-19 in Europe. It finds that some health systems were weakened by responses to the 2008 crisis. Responses to the pandemic show evidence of lessons learnt from the earlier crisis but also reveal weaknesses in health financing policy that limit national preparedness to face economic shocks, particularly in countries with social health insurance schemes. These weaknesses highlight where permanent changes are needed to strengthen resilience in future: countries will have to find ways to reduce cyclicality in coverage policy and revenue-raising; increase the priority given to health in allocating public spending; and ensure that resources are used to meet equity and efficiency goals. Although many health systems are likely to face budgetary pressure in the years ahead, the experience of the 2008 crisis shows that austerity is not an option because it undermines resilience and progress towards universal health coverage.</w:t>
      </w:r>
    </w:p>
    <w:p>
      <w:pPr>
        <w:pStyle w:val="Heading2"/>
      </w:pPr>
      <w:r>
        <w:t>616.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r>
        <w:rPr>
          <w:b/>
        </w:rPr>
        <w:t>POSSIBLE 2022:</w:t>
      </w:r>
      <w:r>
        <w:t xml:space="preserve"> The impact of financial systems on economic growth in European Union member countries — https://doi.org/10.2478/picbe-2022-0068</w:t>
      </w:r>
    </w:p>
    <w:p>
      <w:pPr/>
      <w:r>
        <w:rPr>
          <w:b/>
        </w:rPr>
        <w:t>Shared claim-specific concepts:</w:t>
      </w:r>
      <w:r>
        <w:t xml:space="preserve"> different, case; EU scope visible. This is a provisional connection, not an outcome finding.</w:t>
      </w:r>
    </w:p>
    <w:p>
      <w:pPr>
        <w:pStyle w:val="SourceNote"/>
      </w:pPr>
      <w:r>
        <w:rPr>
          <w:b/>
        </w:rPr>
        <w:t>Available abstract (not full text):</w:t>
      </w:r>
      <w:r>
        <w:t xml:space="preserve">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pPr/>
      <w:r>
        <w:rPr>
          <w:b/>
        </w:rPr>
        <w:t>POSSIBLE 2022:</w:t>
      </w:r>
      <w:r>
        <w:t xml:space="preserve"> Analyzing the Level of Digitalization among the Enterprises of the European Union Member States and Their Impact on Economic Growth — https://doi.org/10.3390/joitmc8020070</w:t>
      </w:r>
    </w:p>
    <w:p>
      <w:pPr/>
      <w:r>
        <w:rPr>
          <w:b/>
        </w:rPr>
        <w:t>Shared claim-specific concepts:</w:t>
      </w:r>
      <w:r>
        <w:t xml:space="preserve"> both, issue; EU scope visible. This is a provisional connection, not an outcome finding.</w:t>
      </w:r>
    </w:p>
    <w:p>
      <w:pPr>
        <w:pStyle w:val="SourceNote"/>
      </w:pPr>
      <w:r>
        <w:rPr>
          <w:b/>
        </w:rPr>
        <w:t>Available abstract (not full text):</w:t>
      </w:r>
      <w:r>
        <w:t xml:space="preserve">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617.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2023:</w:t>
      </w:r>
      <w:r>
        <w:t xml:space="preserve"> Kant on Freedom, Nature, and Judgment — https://doi.org/10.1017/9781009036634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pPr/>
      <w:r>
        <w:rPr>
          <w:b/>
        </w:rPr>
        <w:t>POSSIBLE 2023:</w:t>
      </w:r>
      <w:r>
        <w:t xml:space="preserve"> Metabolic politics: Industrial relations as if nature mattered — https://doi.org/10.31235/osf.io/wxb3s</w:t>
      </w:r>
    </w:p>
    <w:p>
      <w:pPr/>
      <w:r>
        <w:rPr>
          <w:b/>
        </w:rPr>
        <w:t>Shared claim-specific concepts:</w:t>
      </w:r>
      <w:r>
        <w:t xml:space="preserve"> nature, work, they; EU scope not established. This is a provisional connection, not an outcome finding.</w:t>
      </w:r>
    </w:p>
    <w:p>
      <w:pPr>
        <w:pStyle w:val="SourceNote"/>
      </w:pPr>
      <w:r>
        <w:rPr>
          <w:b/>
        </w:rPr>
        <w:t>Available abstract (not full text):</w:t>
      </w:r>
      <w:r>
        <w:t xml:space="preserve">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pPr/>
      <w:r>
        <w:rPr>
          <w:b/>
        </w:rPr>
        <w:t>POSSIBLE 2023:</w:t>
      </w:r>
      <w:r>
        <w:t xml:space="preserve"> Reinventing Work Nature: The Changing Work Landscape in Malayalam Architecture Magazines in the Post-COVID-19 Pandemic Era — https://doi.org/10.52783/tjjpt.v44.i3.719</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pPr/>
      <w:r>
        <w:rPr>
          <w:b/>
        </w:rPr>
        <w:t>POSSIBLE 2022:</w:t>
      </w:r>
      <w:r>
        <w:t xml:space="preserve"> The Nature of Work in the Media Industries: A Literature Review and Future Directions — https://doi.org/10.3390/journalmedia3010013</w:t>
      </w:r>
    </w:p>
    <w:p>
      <w:pPr/>
      <w:r>
        <w:rPr>
          <w:b/>
        </w:rPr>
        <w:t>Shared claim-specific concepts:</w:t>
      </w:r>
      <w:r>
        <w:t xml:space="preserve"> given, nature, work, potentially, over, approaches; EU scope not established. This is a provisional connection, not an outcome finding.</w:t>
      </w:r>
    </w:p>
    <w:p>
      <w:pPr>
        <w:pStyle w:val="SourceNote"/>
      </w:pPr>
      <w:r>
        <w:rPr>
          <w:b/>
        </w:rPr>
        <w:t>Available abstract (not full text):</w:t>
      </w:r>
      <w:r>
        <w:t xml:space="preserve">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pPr/>
      <w:r>
        <w:rPr>
          <w:b/>
        </w:rPr>
        <w:t>POSSIBLE 2022:</w:t>
      </w:r>
      <w:r>
        <w:t xml:space="preserve"> Automation and the Changing Nature of Work — https://doi.org/10.1371/journal.pone.0266326</w:t>
      </w:r>
    </w:p>
    <w:p>
      <w:pPr/>
      <w:r>
        <w:rPr>
          <w:b/>
        </w:rPr>
        <w:t>Shared claim-specific concepts:</w:t>
      </w:r>
      <w:r>
        <w:t xml:space="preserve"> nature, work, they; EU scope visible. This is a provisional connection, not an outcome finding.</w:t>
      </w:r>
    </w:p>
    <w:p>
      <w:pPr>
        <w:pStyle w:val="SourceNote"/>
      </w:pPr>
      <w:r>
        <w:rPr>
          <w:b/>
        </w:rPr>
        <w:t>Available abstract (not full text):</w:t>
      </w:r>
      <w:r>
        <w:t xml:space="preserve"> This study identifies the job attributes, and in particular skills and abilities, which predict the likelihood a job is recently automatable drawing on the Josten and Lordan (2020) classification of automatability, EU labour force survey data and a machine learning regression approach. We find that skills and abilities which relate to non-linear abstract thinking are those that are the safest from automation. We also find that jobs that require 'people' engagement interacted with 'brains' are also less likely to be automated. The skills that are required for these jobs include soft skills. Finally, we find that jobs that require physically making objects or physicality more generally are most likely to be automated unless they involve interaction with 'brains' and/or 'people'.</w:t>
      </w:r>
    </w:p>
    <w:p>
      <w:pPr/>
      <w:r>
        <w:rPr>
          <w:b/>
        </w:rPr>
        <w:t>POSSIBLE 2022:</w:t>
      </w:r>
      <w:r>
        <w:t xml:space="preserve"> Nature, Work, and Transcendence — https://doi.org/10.1515/ejss-2022-2067</w:t>
      </w:r>
    </w:p>
    <w:p>
      <w:pPr/>
      <w:r>
        <w:rPr>
          <w:b/>
        </w:rPr>
        <w:t>Shared claim-specific concepts:</w:t>
      </w:r>
      <w:r>
        <w:t xml:space="preserve"> nature, work, they, them; EU scope visible. This is a provisional connection, not an outcome finding.</w:t>
      </w:r>
    </w:p>
    <w:p>
      <w:pPr>
        <w:pStyle w:val="SourceNote"/>
      </w:pPr>
      <w:r>
        <w:rPr>
          <w:b/>
        </w:rPr>
        <w:t>Available abstract (not full text):</w:t>
      </w:r>
      <w:r>
        <w:t xml:space="preserve"> Abstract This article analyzes the function of Christian intertexts in Selma Lagerlöf’sNils Holgersson’s Marvelous Journey Through Sweden(1906/7). The intertexts structure the story both narratively and ethically. For the most part, however, they are not explicitly used as Christian. The intention of the book is not to transmit these stories, but to translate them into the new, national discourse. They were stripped of their original religious context and placed in the service of what might be called a national religion. In this process, the loss of the Christian framework did not mean the abolition of central ethical elements that were significant for Protestant practice. In particular, the pietistic heritage of a work ethic, the necessity of learning and education in order to become a true Christian – or, in its secular version, a true human citizen of the world with respect for others, taking responsibility for one’s own life and that of others, being humble and industrious – are central to the propagated morality of Nils Holgersson’s travelling school. Moreover, the transition from vertically to horizontally ordered space in the course of nationalizing the organization of the imagined community of Sweden seems to demand that the location of metaphysical transcendence be moved from heaven to earth; nature takes the place of the divine.</w:t>
      </w:r>
    </w:p>
    <w:p>
      <w:pPr/>
      <w:r>
        <w:rPr>
          <w:b/>
        </w:rPr>
        <w:t>POSSIBLE 2022:</w:t>
      </w:r>
      <w:r>
        <w:t xml:space="preserve"> Principles for urban nature-based solutions — https://doi.org/10.1007/s13280-021-01685-w</w:t>
      </w:r>
    </w:p>
    <w:p>
      <w:pPr/>
      <w:r>
        <w:rPr>
          <w:b/>
        </w:rPr>
        <w:t>Shared claim-specific concepts:</w:t>
      </w:r>
      <w:r>
        <w:t xml:space="preserve"> given, nature, work, application; EU scope not established. This is a provisional connection, not an outcome finding.</w:t>
      </w:r>
    </w:p>
    <w:p>
      <w:pPr>
        <w:pStyle w:val="SourceNote"/>
      </w:pPr>
      <w:r>
        <w:rPr>
          <w:b/>
        </w:rPr>
        <w:t>Available abstract (not full text):</w:t>
      </w:r>
      <w:r>
        <w:t xml:space="preserve"> Nature-based solutions (NBS) were introduced as integrated, multifunctional and multi-beneficial solutions to a wide array of socio-ecological challenges. Although principles for a common understanding and implementation of NBS were already developed on a landscape scale, specific principles are needed with regard to an application in urban areas. Urban areas come with particular challenges including (i) spatial conflicts with urban system nestedness, (ii) specific urban biodiversity, fragmentation and altered environments, (iii) value plurality, multi-actor interdependencies and environmental injustices, (iv) path-dependencies with cultural and planning legacies and (v) a potential misconception of cities as being artificial landscapes disconnected from nature. Given these challenges, in this perspective paper, we build upon and integrate knowledge from the most recent academic work on NBS in urban areas and introduce five distinct, integrated principles for urban NBS design, planning and implementation. Our five principles should help to transcend governance gaps and advance the scientific discourse of urban NBS towards a more effective and sustainable urban development. To contribute to resilient urban futures, the design, planning, policy and governance of NBS should (1) consider the need for a systemic understanding, (2) contribute to benefiting people and biodiversity, (3</w:t>
      </w:r>
    </w:p>
    <w:p>
      <w:pPr>
        <w:pStyle w:val="Heading2"/>
      </w:pPr>
      <w:r>
        <w:t>618.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r>
        <w:rPr>
          <w:b/>
        </w:rPr>
        <w:t>POSSIBLE 2021:</w:t>
      </w:r>
      <w:r>
        <w:t xml:space="preserve"> Western Europe — https://doi.org/10.1017/9781316671603.003</w:t>
      </w:r>
    </w:p>
    <w:p>
      <w:pPr/>
      <w:r>
        <w:rPr>
          <w:b/>
        </w:rPr>
        <w:t>Shared claim-specific concepts:</w:t>
      </w:r>
      <w:r>
        <w:t xml:space="preserve"> period, suggested; EU scope visible. This is a provisional connection, not an outcome finding.</w:t>
      </w:r>
    </w:p>
    <w:p>
      <w:pPr>
        <w:pStyle w:val="SourceNote"/>
      </w:pPr>
      <w:r>
        <w:rPr>
          <w:b/>
        </w:rPr>
        <w:t>Available abstract (not full text):</w:t>
      </w:r>
      <w:r>
        <w:t xml:space="preserve">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pStyle w:val="Heading2"/>
      </w:pPr>
      <w:r>
        <w:t>619.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2024:</w:t>
      </w:r>
      <w:r>
        <w:t xml:space="preserve"> Entrepreneurial competencies in the success of enterprises: A bibliometric analysis of the publications in the field — https://doi.org/10.15295/bmij.v12i2.2390</w:t>
      </w:r>
    </w:p>
    <w:p>
      <w:pPr/>
      <w:r>
        <w:rPr>
          <w:b/>
        </w:rPr>
        <w:t>Shared claim-specific concepts:</w:t>
      </w:r>
      <w:r>
        <w:t xml:space="preserve"> core, competencies; EU scope visible. This is a provisional connection, not an outcome finding.</w:t>
      </w:r>
    </w:p>
    <w:p>
      <w:pPr>
        <w:pStyle w:val="SourceNote"/>
      </w:pPr>
      <w:r>
        <w:rPr>
          <w:b/>
        </w:rPr>
        <w:t>Available abstract (not full text):</w:t>
      </w:r>
      <w:r>
        <w:t xml:space="preserve">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pPr/>
      <w:r>
        <w:rPr>
          <w:b/>
        </w:rPr>
        <w:t>POSSIBLE 2024:</w:t>
      </w:r>
      <w:r>
        <w:t xml:space="preserve"> Reciprocity and caregiver competencies. — https://doi.org/10.7146/qs.v9i1.143675</w:t>
      </w:r>
    </w:p>
    <w:p>
      <w:pPr/>
      <w:r>
        <w:rPr>
          <w:b/>
        </w:rPr>
        <w:t>Shared claim-specific concepts:</w:t>
      </w:r>
      <w:r>
        <w:t xml:space="preserve"> competencies, professional, training; EU scope not established. This is a provisional connection, not an outcome finding.</w:t>
      </w:r>
    </w:p>
    <w:p>
      <w:pPr>
        <w:pStyle w:val="SourceNote"/>
      </w:pPr>
      <w:r>
        <w:rPr>
          <w:b/>
        </w:rPr>
        <w:t>Available abstract (not full text):</w:t>
      </w:r>
      <w:r>
        <w:t xml:space="preserve">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pPr/>
      <w:r>
        <w:rPr>
          <w:b/>
        </w:rPr>
        <w:t>POSSIBLE 2023:</w:t>
      </w:r>
      <w:r>
        <w:t xml:space="preserve"> The Key Competencies for the Future of Work—A Bibliometric Study — https://doi.org/10.47297/wspchrmwsp2040-800501.20231401</w:t>
      </w:r>
    </w:p>
    <w:p>
      <w:pPr/>
      <w:r>
        <w:rPr>
          <w:b/>
        </w:rPr>
        <w:t>Shared claim-specific concepts:</w:t>
      </w:r>
      <w:r>
        <w:t xml:space="preserve"> competencies, process, training; EU scope not established. This is a provisional connection, not an outcome finding.</w:t>
      </w:r>
    </w:p>
    <w:p>
      <w:pPr>
        <w:pStyle w:val="SourceNote"/>
      </w:pPr>
      <w:r>
        <w:rPr>
          <w:b/>
        </w:rPr>
        <w:t>Available abstract (not full text):</w:t>
      </w:r>
      <w:r>
        <w:t xml:space="preserve"> The constant technological transformations that have emerged over the last few decades have forced a fast adjustment caused both by the digitalization and automation processes that have revolutionized the job market. Even though the fourth industrial revolution allows the emergence of numerous job opportunities, it brings different restrictions that directly affect the daily lives of professionals and organizations. On the other hand, this implementation requires not only a large financial investment but also, and perhaps the most critical obstacle in this process, the training of human resources to be able to assimilate the complexity of these digital transformations. Thus, the main objective of this research is to try to understand which skills will be most required by the labor market in the future. To achieve this primary objective, a bibliometric study was carried out, based on the World Economic Forum report and two main databases: Web of Science and Scopus.</w:t>
      </w:r>
    </w:p>
    <w:p>
      <w:pPr/>
      <w:r>
        <w:rPr>
          <w:b/>
        </w:rPr>
        <w:t>POSSIBLE 2022:</w:t>
      </w:r>
      <w:r>
        <w:t xml:space="preserve"> Core Competencies for Maritime Business Educators in the Digital Era — https://doi.org/10.3389/fpsyg.2022.915980</w:t>
      </w:r>
    </w:p>
    <w:p>
      <w:pPr/>
      <w:r>
        <w:rPr>
          <w:b/>
        </w:rPr>
        <w:t>Shared claim-specific concepts:</w:t>
      </w:r>
      <w:r>
        <w:t xml:space="preserve"> core, competencies, universities, training; EU scope not established. This is a provisional connection, not an outcome finding.</w:t>
      </w:r>
    </w:p>
    <w:p>
      <w:pPr>
        <w:pStyle w:val="SourceNote"/>
      </w:pPr>
      <w:r>
        <w:rPr>
          <w:b/>
        </w:rPr>
        <w:t>Available abstract (not full text):</w:t>
      </w:r>
      <w:r>
        <w:t xml:space="preserve"> In light of digitalization, the objectives of this study are to (1) identify the emerging, core competencies of maritime business educators (MBE) and (2) examine their effects on perceived teaching performance. A systematic review of the contemporary literature was first performed to build a competency framework. Subsequently, an online survey was administered to 196 faculty members of the top 10 leading maritime universities as identified from the Worldwide Maritime School Rankings produced by Hong Kong Polytechnic University. The collected data were analyzed using Exploratory Factor Analysis to extract the main competencies of MBE. The results uncovered five key competencies from 22 sub-competencies. Thereafter, Hierarchical Regression Modeling was used to examine the effects of the key competencies on perceived teaching performance. After controlling for teaching experience and job position, it was found that the five competency requirements, in descending order of their importance, have significant positive effects on teaching performance: Pedagogy, Maritime, Interpersonal, Business and Digital. Academically, this study consolidates the literature and identifies the emerging core competencies that are expected from MBE in the digital era. The study also implicates education policy formulation, offering directions for institutions to allocate their resources, develop suitabl</w:t>
      </w:r>
    </w:p>
    <w:p>
      <w:pPr/>
      <w:r>
        <w:rPr>
          <w:b/>
        </w:rPr>
        <w:t>POSSIBLE 2022:</w:t>
      </w:r>
      <w:r>
        <w:t xml:space="preserve"> Should organising premier-level European football be a monopoly? And who should run it? – An economists' perspective — https://doi.org/10.4324/9781003305989-6</w:t>
      </w:r>
    </w:p>
    <w:p>
      <w:pPr/>
      <w:r>
        <w:rPr>
          <w:b/>
        </w:rPr>
        <w:t>Shared claim-specific concepts:</w:t>
      </w:r>
      <w:r>
        <w:t xml:space="preserve"> economists, they, professional; EU scope visible. This is a provisional connection, not an outcome finding.</w:t>
      </w:r>
    </w:p>
    <w:p>
      <w:pPr>
        <w:pStyle w:val="SourceNote"/>
      </w:pPr>
      <w:r>
        <w:rPr>
          <w:b/>
        </w:rPr>
        <w:t>Available abstract (not full text):</w:t>
      </w:r>
      <w:r>
        <w:t xml:space="preserve"> In this conceptual and theoretical chapter from the perspective of sport economics, the authors ask whether organising premier-level European football should be a monopoly, and who should be in charge. In their attempt to locate the scope for a necessary monopoly, the two economists discuss the merits and shortcomings of the established European pyramidal model of sports governance. In economics, monopolies are associated with severe consumer (fan) welfare loss and massive dynamic inefficiencies. Therefore, effective competition in every market is the generally preferred organisation of commercial activities and, subsequently, the main goal of competition law and policy. Yet they also find that there may be situations where a single supplier of a good may exceptionally be superior to competition. Organising premier-level sports is often viewed to be such an exception, they argue, as in the EU with the pyramid structure of sports associations governing professional (and commercial) sports. The authors revisit this assertion from a modern economics perspective, looking for economic arguments in favour of the pyramid structure, counter-arguments as well the potential for balancing the two. For the identified monopoly areas, they ask who should run them in order to maximise social and consumer (fan) welfare, suggesting that regular competitions for the market such as tender procedu</w:t>
      </w:r>
    </w:p>
    <w:p>
      <w:pPr/>
      <w:r>
        <w:rPr>
          <w:b/>
        </w:rPr>
        <w:t>POSSIBLE 2022:</w:t>
      </w:r>
      <w:r>
        <w:t xml:space="preserve"> The role of the core competence and core resource features of a sharing economy on the achievement of SDGs 2030 — https://doi.org/10.1016/j.jik.2022.100283</w:t>
      </w:r>
    </w:p>
    <w:p>
      <w:pPr/>
      <w:r>
        <w:rPr>
          <w:b/>
        </w:rPr>
        <w:t>Shared claim-specific concepts:</w:t>
      </w:r>
      <w:r>
        <w:t xml:space="preserve"> core, economy; EU scope not established. This is a provisional connection, not an outcome finding.</w:t>
      </w:r>
    </w:p>
    <w:p>
      <w:pPr>
        <w:pStyle w:val="SourceNote"/>
      </w:pPr>
      <w:r>
        <w:rPr>
          <w:b/>
        </w:rPr>
        <w:t>Available abstract (not full text):</w:t>
      </w:r>
      <w:r>
        <w:t xml:space="preserve"> Globally, sustainable development goals (SDGs), which need to be achieved using the sharing economy, are the focus of many recent studies. This article investigates the impact of sharing economy features such as core competence and resources on achieving SDGs in the tourism industry in the BRICS countries (Brazil, Russia, India, China, and South Africa). It examines the mediating impact of distinctive competitive advantage between the core competence and core resource features of a sharing economy, and achievement of the SDGs. The study also examines the moderating role of institutional support on the nexus of distinctive competitive advantage and achievement of SDGs in the BRICS countries. Questionnaires are used to collect primary data and Smart-PLS is used to analyse the data. The results indicate that the core competence and core resource features have a positive association with the achievement of SDGs, and that distinctive competitive advantage significantly mediates the association between core competence, core resources, and achievement of the SDGs. The outcomes reveal that institutional support significantly moderates the nexus of distinctive competitive advantage and achievement of SDGs. The research provides guidelines for regulators establishing policies related to the achievement of SDGs using the sharing economy.</w:t>
      </w:r>
    </w:p>
    <w:p>
      <w:pPr/>
      <w:r>
        <w:rPr>
          <w:b/>
        </w:rPr>
        <w:t>POSSIBLE 2022:</w:t>
      </w:r>
      <w:r>
        <w:t xml:space="preserve"> Digital Competencies in Selected European Countries among University and High-School Students: Programming is lagging behind — https://doi.org/10.2478/bsrj-2022-0019</w:t>
      </w:r>
    </w:p>
    <w:p>
      <w:pPr/>
      <w:r>
        <w:rPr>
          <w:b/>
        </w:rPr>
        <w:t>Shared claim-specific concepts:</w:t>
      </w:r>
      <w:r>
        <w:t xml:space="preserve"> competencies, process, educational; EU scope visible. This is a provisional connection, not an outcome finding.</w:t>
      </w:r>
    </w:p>
    <w:p>
      <w:pPr>
        <w:pStyle w:val="SourceNote"/>
      </w:pPr>
      <w:r>
        <w:rPr>
          <w:b/>
        </w:rPr>
        <w:t>Available abstract (not full text):</w:t>
      </w:r>
      <w:r>
        <w:t xml:space="preserve"> Abstract Background: Constant integration of digital technologies in economic and social life is rapidly and significantly shaping and changing our environment and ourselves. To function in such a world, even in daily routines, it is necessary to possess certain digital competencies. Objectives: This paper aims to examine how university and high-school students of economic orientations from selected European countries self-assess their digital competencies, and to analyse the identified differences. This will enable further understanding of university and high-school students’ digital competencies that can serve as guidance for improving teaching practices and curricula. Methods/Approach: A survey was conducted to collect data that were analysed using non-parametric statistic tests (Mann-Whitney U test and Kruskal-Wallis H test) and Spearman Rank-Order Correlation coefficient. Results: University and high-school students consider to have below intermediate level of digital competencies. High-school students self-assessed digital competencies at a higher level than university students. University students of higher years of study self-assessed digital competencies at a higher level. There is no universal pattern among high-school students of different years of study. University students in the Accounting module and high-school students in the Tourism module assessed their digita</w:t>
      </w:r>
    </w:p>
    <w:p>
      <w:pPr/>
      <w:r>
        <w:rPr>
          <w:b/>
        </w:rPr>
        <w:t>POSSIBLE 2022:</w:t>
      </w:r>
      <w:r>
        <w:t xml:space="preserve"> Are Quantity Surveyors competent to value for Civil Engineering Works? Evaluating QSs' competencies and militating factors — https://doi.org/10.6084/m9.figshare.19758772</w:t>
      </w:r>
    </w:p>
    <w:p>
      <w:pPr/>
      <w:r>
        <w:rPr>
          <w:b/>
        </w:rPr>
        <w:t>Shared claim-specific concepts:</w:t>
      </w:r>
      <w:r>
        <w:t xml:space="preserve"> core, competencies, professional, outlined; EU scope not established. This is a provisional connection, not an outcome finding.</w:t>
      </w:r>
    </w:p>
    <w:p>
      <w:pPr>
        <w:pStyle w:val="SourceNote"/>
      </w:pPr>
      <w:r>
        <w:rPr>
          <w:b/>
        </w:rPr>
        <w:t>Available abstract (not full text):</w:t>
      </w:r>
      <w:r>
        <w:t xml:space="preserve"> The role of the quantity surveyor is one that is often unclear amongst the general public. This study discussed the competencies of the quantity surveyor in measuring and managing civil engineering works and also carrying out the financial management for civil engineering construction projects; also outlined the various competencies and skills required of quantity surveyors in discharging and managing their professional duties. The core activities of quantity surveyors include determining project budgets, measuring project quantities, preparing contract documentation (such as Bills of Quantities and cost control documents), administering contracts, and preparing final accounts. The study also examines recent developments in the profession, which have led to the quantity surveyor delivering a number of management related consultancy services, in response to rising client expectations and demands. The militating factors to QS participation in the Nigeria AEC industry were identified as skills and knowledge, competencies, identity or branding issues, fewer QS in public service among others. The study advocated a change in culture and the inclusion of quantity surveyors on civil engineering projects in order for the industry to leverage on the dynamism of the quantity surveying profession.</w:t>
      </w:r>
    </w:p>
    <w:p>
      <w:pPr/>
      <w:r>
        <w:rPr>
          <w:b/>
        </w:rPr>
        <w:t>POSSIBLE 2021:</w:t>
      </w:r>
      <w:r>
        <w:t xml:space="preserve"> Digital intelligence of a modern economist: an exploratory case study — https://doi.org/10.1051/shsconf/202110403001</w:t>
      </w:r>
    </w:p>
    <w:p>
      <w:pPr/>
      <w:r>
        <w:rPr>
          <w:b/>
        </w:rPr>
        <w:t>Shared claim-specific concepts:</w:t>
      </w:r>
      <w:r>
        <w:t xml:space="preserve"> economists, they, training, educational; EU scope not established. This is a provisional connection, not an outcome finding.</w:t>
      </w:r>
    </w:p>
    <w:p>
      <w:pPr>
        <w:pStyle w:val="SourceNote"/>
      </w:pPr>
      <w:r>
        <w:rPr>
          <w:b/>
        </w:rPr>
        <w:t>Available abstract (not full text):</w:t>
      </w:r>
      <w:r>
        <w:t xml:space="preserve"> In the current context of digitalization of various spheres of life, an important characteristic of participants in a digital society is the level of their digital intelligence. The level at which future economists develop their digital intelligence skills during university depends on their successful employment and career development. The presented article analyses the concept of digital intelligence of an economist on the basis of the Digital Quotient framework developed by the Digital Intelligence Institute, characterizing the levels of “Digital Citizen”, “Digital Creator”, “Digital Entrepreneur” for such components of digital intelligence as: Digital Changemaker Identity, Digital Use, Safety Digital, Digital Security, Digital Emotional Intelligence, Digital Communication, Digital Literacy, Digital Rights. For the first time, the contents of an academic discipline of a university training programme for future economists have been proposed, in the course of which digital intelligence skills can be developed. The authors demonstrate the stages of formation, indicators for different levels of formation, content and examples of educational representation of material. They offer the stages of Digital intelligence development in the framework of studying the course modules, the implementation of project work and the solution of the real case studies during academic training. The r</w:t>
      </w:r>
    </w:p>
    <w:p>
      <w:pPr>
        <w:pStyle w:val="Heading2"/>
      </w:pPr>
      <w:r>
        <w:t>620.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2024:</w:t>
      </w:r>
      <w:r>
        <w:t xml:space="preserve"> Analysis of CCS Technology Applied in Green Building — https://doi.org/10.62051/08xctb54</w:t>
      </w:r>
    </w:p>
    <w:p>
      <w:pPr/>
      <w:r>
        <w:rPr>
          <w:b/>
        </w:rPr>
        <w:t>Shared claim-specific concepts:</w:t>
      </w:r>
      <w:r>
        <w:t xml:space="preserve"> ccs, steel, production, emissions; EU scope not established. This is a provisional connection, not an outcome finding.</w:t>
      </w:r>
    </w:p>
    <w:p>
      <w:pPr>
        <w:pStyle w:val="SourceNote"/>
      </w:pPr>
      <w:r>
        <w:rPr>
          <w:b/>
        </w:rPr>
        <w:t>Available abstract (not full text):</w:t>
      </w:r>
      <w:r>
        <w:t xml:space="preserve">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pPr/>
      <w:r>
        <w:rPr>
          <w:b/>
        </w:rPr>
        <w:t>POSSIBLE 2024:</w:t>
      </w:r>
      <w:r>
        <w:t xml:space="preserve"> Carbon Dioxide Capture and Storage (CCS) in Saline Aquifers versus Depleted Gas Fields — https://doi.org/10.3390/geosciences14060146</w:t>
      </w:r>
    </w:p>
    <w:p>
      <w:pPr/>
      <w:r>
        <w:rPr>
          <w:b/>
        </w:rPr>
        <w:t>Shared claim-specific concepts:</w:t>
      </w:r>
      <w:r>
        <w:t xml:space="preserve"> ccs, production, co2, compared, emissions; EU scope not established. This is a provisional connection, not an outcome finding.</w:t>
      </w:r>
    </w:p>
    <w:p>
      <w:pPr>
        <w:pStyle w:val="SourceNote"/>
      </w:pPr>
      <w:r>
        <w:rPr>
          <w:b/>
        </w:rPr>
        <w:t>Available abstract (not full text):</w:t>
      </w:r>
      <w:r>
        <w:t xml:space="preserve">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pPr/>
      <w:r>
        <w:rPr>
          <w:b/>
        </w:rPr>
        <w:t>POSSIBLE 2024:</w:t>
      </w:r>
      <w:r>
        <w:t xml:space="preserve"> Kickstarting CCS Adoption: Tailoring Subsidies to Emitters' Needs — https://openalex.org/W4400372560</w:t>
      </w:r>
    </w:p>
    <w:p>
      <w:pPr/>
      <w:r>
        <w:rPr>
          <w:b/>
        </w:rPr>
        <w:t>Shared claim-specific concepts:</w:t>
      </w:r>
      <w:r>
        <w:t xml:space="preserve"> ccs, emissions, current; EU scope visible. This is a provisional connection, not an outcome finding.</w:t>
      </w:r>
    </w:p>
    <w:p>
      <w:pPr>
        <w:pStyle w:val="SourceNote"/>
      </w:pPr>
      <w:r>
        <w:rPr>
          <w:b/>
        </w:rPr>
        <w:t>Available abstract (not full text):</w:t>
      </w:r>
      <w:r>
        <w:t xml:space="preserve">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pPr/>
      <w:r>
        <w:rPr>
          <w:b/>
        </w:rPr>
        <w:t>POSSIBLE 2023:</w:t>
      </w:r>
      <w:r>
        <w:t xml:space="preserve"> Is Carbon Capture and Storage (CCS) Really So Expensive? An Analysis of Cascading Costs and CO 2 Emissions Reduction of Industrial CCS Implementation on the Construction of a Bridge — https://doi.org/10.1021/acs.est.2c05724</w:t>
      </w:r>
    </w:p>
    <w:p>
      <w:pPr/>
      <w:r>
        <w:rPr>
          <w:b/>
        </w:rPr>
        <w:t>Shared claim-specific concepts:</w:t>
      </w:r>
      <w:r>
        <w:t xml:space="preserve"> show, ccs, steel, plant, emissions, current; EU scope not established. This is a provisional connection, not an outcome finding.</w:t>
      </w:r>
    </w:p>
    <w:p>
      <w:pPr>
        <w:pStyle w:val="SourceNote"/>
      </w:pPr>
      <w:r>
        <w:rPr>
          <w:b/>
        </w:rPr>
        <w:t>Available abstract (not full text):</w:t>
      </w:r>
      <w:r>
        <w:t xml:space="preserve"> High Resolution Image Download MS PowerPoint Slide Carbon capture and storage (CCS) is an essential technology to mitigate global CO 2 emissions from power and industry sectors. Despite the increasing recognition of its importance to achieve the net-zero target, current CCS deployment is far behind targeted ambitions. A key reason is that CCS is often perceived as too expensive. The costs of CCS have however traditionally been looked at from the industrial plant perspective, which does not necessarily reflect the end user’s one. This paper addresses the incomplete view by investigating the impact of implementing CCS in industrial facilities on the overall costs and CO 2 emissions of end-user products and services. As an example, we examine the extent to which an increase in costs of raw materials (cement and steel) due to CCS impacts the costs of building a bridge. Results show that although CCS significantly increases cement and steel costs, the subsequent increment in the overall bridge construction cost remains marginal (∼1%). This 1% cost increase, however, enables a deep reduction in CO 2 emissions (∼51%) associated with the bridge construction. Although more research is needed in this area, this work is the first step to a better understanding of the real cost and benefits of CCS.</w:t>
      </w:r>
    </w:p>
    <w:p>
      <w:pPr/>
      <w:r>
        <w:rPr>
          <w:b/>
        </w:rPr>
        <w:t>POSSIBLE 2023:</w:t>
      </w:r>
      <w:r>
        <w:t xml:space="preserve"> Reduction potential of the energy penalty for CO2 capture in CCS — https://doi.org/10.1007/s11708-023-0864-x</w:t>
      </w:r>
    </w:p>
    <w:p>
      <w:pPr/>
      <w:r>
        <w:rPr>
          <w:b/>
        </w:rPr>
        <w:t>Shared claim-specific concepts:</w:t>
      </w:r>
      <w:r>
        <w:t xml:space="preserve"> ccs, co2;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Comparing the Expressiveness of the π-calculus and CCS — https://doi.org/10.1145/3611013</w:t>
      </w:r>
    </w:p>
    <w:p>
      <w:pPr/>
      <w:r>
        <w:rPr>
          <w:b/>
        </w:rPr>
        <w:t>Shared claim-specific concepts:</w:t>
      </w:r>
      <w:r>
        <w:t xml:space="preserve"> show, ccs, finally; EU scope not established. This is a provisional connection, not an outcome finding.</w:t>
      </w:r>
    </w:p>
    <w:p>
      <w:pPr>
        <w:pStyle w:val="SourceNote"/>
      </w:pPr>
      <w:r>
        <w:rPr>
          <w:b/>
        </w:rPr>
        <w:t>Available abstract (not full text):</w:t>
      </w:r>
      <w:r>
        <w:t xml:space="preserve"> This paper shows that the π-calculus with implicit matching is no more expressive than CCS γ , a variant of CCS in which the result of a synchronisation of two actions is itself an action subject to relabelling or restriction, rather than the silent action τ. This is done by exhibiting a compositional translation from the π-calculus with implicit matching to CCS γ that is valid up to strong barbed bisimilarity. The full π-calculus can be similarly expressed in CCS γ enriched with the triggering operation of Meije . I also show that these results cannot be recreated with CCS in the rôle of CCS γ , not even up to reduction equivalence, and not even for the asynchronous π-calculus without restriction or replication. Finally, I observe that CCS cannot be encoded in the π-calculus.</w:t>
      </w:r>
    </w:p>
    <w:p>
      <w:pPr/>
      <w:r>
        <w:rPr>
          <w:b/>
        </w:rPr>
        <w:t>POSSIBLE 2023:</w:t>
      </w:r>
      <w:r>
        <w:t xml:space="preserve"> Regulatory framework for CCS in the Nordic countries — https://doi.org/10.6027/temanord2023-521</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All Nordic countries have set ambitious targets to achieve net-zero greenhouse gas emissions through various national goals and legislation. Carbon Capture and Storage (CCS) has a key role in strategies to achieve net-zero emissions through mitigating emissions from fossil fuels and removing CO2 permanently from the atmosphere. This project aimed to analyse regulatory aspects that are relevant for deployment of CCS-based mitigation options in a Nordic context. The report identifies similarities and differences between the Nordic countries concerning CCS regulation, barriers to CCS deployment due to regulatory frameworks, and currently ongoing regulatory development aimed at promoting responsible CCS deployment. Recommendations are provided concerning areas where further development, coordination, and capacity building might be prioritised by the Nordic countries.</w:t>
      </w:r>
    </w:p>
    <w:p>
      <w:pPr/>
      <w:r>
        <w:rPr>
          <w:b/>
        </w:rPr>
        <w:t>POSSIBLE 2023:</w:t>
      </w:r>
      <w:r>
        <w:t xml:space="preserve"> EOS-CG-2021: A Mixture Model for the Calculation of Thermodynamic Properties of CCS Mixtures — https://doi.org/10.1007/s10765-023-03263-6</w:t>
      </w:r>
    </w:p>
    <w:p>
      <w:pPr/>
      <w:r>
        <w:rPr>
          <w:b/>
        </w:rPr>
        <w:t>Shared claim-specific concepts:</w:t>
      </w:r>
      <w:r>
        <w:t xml:space="preserve"> show, ccs; EU scope not established. This is a provisional connection, not an outcome finding.</w:t>
      </w:r>
    </w:p>
    <w:p>
      <w:pPr>
        <w:pStyle w:val="SourceNote"/>
      </w:pPr>
      <w:r>
        <w:rPr>
          <w:b/>
        </w:rPr>
        <w:t>Available abstract (not full text):</w:t>
      </w:r>
      <w:r>
        <w:t xml:space="preserve"> Abstract Thermodynamic properties for CCS-relevant mixtures can be calculated with the fundamental equation of state presented in this work over wide ranges of pressure, temperature, and composition for gas, liquid, and supercritical states, as well as for phase equilibria. The mixture model is formulated in terms of the Helmholtz energy and is based on the EOS-CG model of Gernert and Span (J Chem Thermodyn 93:274, 2016]. The new model presented here (EOS-CG-2021) is an update and extension of the previous version, and covers the following sixteen components: carbon dioxide, water, nitrogen, oxygen, argon, carbon monoxide, hydrogen, methane, hydrogen sulfide, sulfur dioxide, monoethanolamine, diethanolamine, hydrogen chloride, chlorine, ammonia, and methyl diethanolamine. Previously published elements of the model are summarized, and new elements are validated and analyzed with the use of comparisons to experimental data and by assessing the physical and extrapolation behavior of the equations. A comprehensive study on the representation of multicomponent mixture data was carried out to show the high accuracy and application range of the EOS-CG-2021.</w:t>
      </w:r>
    </w:p>
    <w:p>
      <w:pPr/>
      <w:r>
        <w:rPr>
          <w:b/>
        </w:rPr>
        <w:t>POSSIBLE 2023:</w:t>
      </w:r>
      <w:r>
        <w:t xml:space="preserve"> Modeling CO2 Pipeline Systems: An Analytical Lens for CCS Regulation — https://doi.org/10.5547/2160-5890.12.2.anic</w:t>
      </w:r>
    </w:p>
    <w:p>
      <w:pPr/>
      <w:r>
        <w:rPr>
          <w:b/>
        </w:rPr>
        <w:t>Shared claim-specific concepts:</w:t>
      </w:r>
      <w:r>
        <w:t xml:space="preserve"> show, ccs, production, co2, compared, emissions; EU scope not established. This is a provisional connection, not an outcome finding.</w:t>
      </w:r>
    </w:p>
    <w:p>
      <w:pPr>
        <w:pStyle w:val="SourceNote"/>
      </w:pPr>
      <w:r>
        <w:rPr>
          <w:b/>
        </w:rPr>
        <w:t>Available abstract (not full text):</w:t>
      </w:r>
      <w:r>
        <w:t xml:space="preserve"> Carbon Capture and Storage (CCS) is regularly depicted as a crucial technology to reduce the social cost of achieving carbon neutrality.However, its deployment critically depends on the installation of CO 2 infrastructures.As the regulatory procedures governing their provision are yet to be clarified, this paper aims to assess the social and environmental impacts of such regulations.We show how the engineering equations of a CO 2 pipeline implicitly define a Cobb-Douglas production function.We then infer that the resulting cost function exhibits economies of scale and verifies the technological condition for a natural monopoly.As the possible exertion of market power is a concern, we evaluate the social distortion of the unregulated monopoly and the average-cost pricing solution, which we compare to the outcomes of the welfare-maximizing solution.While the deadweight loss obtained under average-cost pricing remains lower than 5% compared to the firstbest solution, our findings indicate that allocative efficiency is an issue, with more than a quarter of the CO 2 emissions not being transported.This analysis will usefully inform the emerging regulatory policy debates on CCS by providing the first analytically determined cost function of a CO 2 pipeline.</w:t>
      </w:r>
    </w:p>
    <w:p>
      <w:pPr/>
      <w:r>
        <w:rPr>
          <w:b/>
        </w:rPr>
        <w:t>POSSIBLE 2022:</w:t>
      </w:r>
      <w:r>
        <w:t xml:space="preserve"> The development of carbon capture and storage (CCS) in India: A critical review — https://doi.org/10.1016/j.ccst.2022.100036</w:t>
      </w:r>
    </w:p>
    <w:p>
      <w:pPr/>
      <w:r>
        <w:rPr>
          <w:b/>
        </w:rPr>
        <w:t>Shared claim-specific concepts:</w:t>
      </w:r>
      <w:r>
        <w:t xml:space="preserve"> ccs, co2, emissions; EU scope not established. This is a provisional connection, not an outcome finding.</w:t>
      </w:r>
    </w:p>
    <w:p>
      <w:pPr>
        <w:pStyle w:val="SourceNote"/>
      </w:pPr>
      <w:r>
        <w:rPr>
          <w:b/>
        </w:rPr>
        <w:t>Available abstract (not full text):</w:t>
      </w:r>
      <w:r>
        <w:t xml:space="preserve"> Carbon capture and sequestration (CCS) is a three-tier process- carbon capture, transport andstorage. The capture consists of pre-combustion, oxy-combustion and post-combustion capture.Transport of CO2 is most viable through pipelines.The biotic CO2storage occurs throughterrestrial or oceanic pathways and can be simulated naturally or artificially. The abiotic/geologicstorage is achieved through sequestering CO2 in depleting/depleted hydrocarbon reserves, indeep saline aquifers or through mineral carbonation. At the district level, 64 out of 641 districts(2013 government reports) accounted for ~ 60% of the total CO2 emissions. Controlling CO2emissions comes with the challenge of sustainable socio-economic growth of the country- ademanding task for the economy. Indian organizations have made international collaborations.India holds a substantial geological sequestration potential in its basaltic rocks, coal seams,depleted oil reserves, soils, deep saline aquifers and sedimentary basins. At this point, no carboncapture and storage / clean development mechanism projects are operational in the country. Thenext 10-15 years would be very crucial for India to attain technological advancement to deploylarge-scale CCS projects.</w:t>
      </w:r>
    </w:p>
    <w:p>
      <w:pPr/>
      <w:r>
        <w:rPr>
          <w:b/>
        </w:rPr>
        <w:t>POSSIBLE 2022:</w:t>
      </w:r>
      <w:r>
        <w:t xml:space="preserve"> Cost estimation of CCS integration into thermal power plants in Japan — https://doi.org/10.1299/mej.22-00028</w:t>
      </w:r>
    </w:p>
    <w:p>
      <w:pPr/>
      <w:r>
        <w:rPr>
          <w:b/>
        </w:rPr>
        <w:t>Shared claim-specific concepts:</w:t>
      </w:r>
      <w:r>
        <w:t xml:space="preserve"> ccs, co2, reductions, emissions; EU scope visible. This is a provisional connection, not an outcome finding.</w:t>
      </w:r>
    </w:p>
    <w:p>
      <w:pPr>
        <w:pStyle w:val="SourceNote"/>
      </w:pPr>
      <w:r>
        <w:rPr>
          <w:b/>
        </w:rPr>
        <w:t>Available abstract (not full text):</w:t>
      </w:r>
      <w:r>
        <w:t xml:space="preserve"> full chain') is necessary to realize CO2 emissions reductions.Notably, there are multiple technological options to realize each sub-process, with the 'optimal' option being case-dependent.For example, in North America, onshore storage sites are abundant, and an existing CO2 pipeline network provides relatively low-cost transport (GCCSI, 2021).On the other hand, in Europe and Japan, the potential storage sites are primarily offshore, making shipping of CO2 more feasible than pipelines (Baroudi et al., 2021).Despite the abundance of technological solutions available, CCS has not been deployed at the rate expected by modelers (Peters et al., 2017) or required by pledges of CO2 emissions reductions (Wang et al., 2021).It is often stated that the main barrier hindering the rapid implementation of CCS is its high cost.Naturally, if the price of polluting (e.g.,</w:t>
      </w:r>
    </w:p>
    <w:p>
      <w:pPr/>
      <w:r>
        <w:rPr>
          <w:b/>
        </w:rPr>
        <w:t>POSSIBLE 2021:</w:t>
      </w:r>
      <w:r>
        <w:t xml:space="preserve"> Promoting CCS in Europe: A Case for Green Strategic Trade Policy? — https://doi.org/10.5547/01956574.43.6.faun</w:t>
      </w:r>
    </w:p>
    <w:p>
      <w:pPr/>
      <w:r>
        <w:rPr>
          <w:b/>
        </w:rPr>
        <w:t>Shared claim-specific concepts:</w:t>
      </w:r>
      <w:r>
        <w:t xml:space="preserve"> ccs, production, co2, emissions, current; EU scope visible. This is a provisional connection, not an outcome finding.</w:t>
      </w:r>
    </w:p>
    <w:p>
      <w:pPr>
        <w:pStyle w:val="SourceNote"/>
      </w:pPr>
      <w:r>
        <w:rPr>
          <w:b/>
        </w:rPr>
        <w:t>Available abstract (not full text):</w:t>
      </w:r>
      <w:r>
        <w:t xml:space="preserve"> According to IEA (2018), there is a huge gap between the first-best social optimal utilization of Carbon Capture and Storage (CCS) technologies to lower global CO2 emissions and the current, negligible diffusion of this technology. This calls for a financial support mechanism for CCS. We study to what extent promotion of CCS in Europe should be through subsidizing development and production of CCS technologies—an upstream subsidy—or by subsidising the purchasers of CCS technologies—a downstream subsidy. This question is examined theoretically in a stylized model and numerically by using a new approach that integrates strategic trade policy with an economic model of the European energy markets. The theory model suggests that upstream subsidies should clearly be preferred, and this is confirmed by the numerical simulations. For the European power market, the numerical simulations suggest that subsidies to CCS coal power should exceed subsidies to CCS gas power.</w:t>
      </w:r>
    </w:p>
    <w:p>
      <w:pPr>
        <w:pStyle w:val="Heading2"/>
      </w:pPr>
      <w:r>
        <w:t>621.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r>
        <w:rPr>
          <w:b/>
        </w:rPr>
        <w:t>POSSIBLE 2023:</w:t>
      </w:r>
      <w:r>
        <w:t xml:space="preserve"> Did COVID-19 Blur Partisan Boundaries? A Comparison of Partisan Affinity and Source Heterophily in Online Alternative News-Sharing Networks Before and During the COVID-19 Pandemic — https://doi.org/10.1177/20563051231192963</w:t>
      </w:r>
    </w:p>
    <w:p>
      <w:pPr/>
      <w:r>
        <w:rPr>
          <w:b/>
        </w:rPr>
        <w:t>Shared claim-specific concepts:</w:t>
      </w:r>
      <w:r>
        <w:t xml:space="preserve"> finally, drawing, covid-19, pandemic, across; EU scope visible. This is a provisional connection, not an outcome finding.</w:t>
      </w:r>
    </w:p>
    <w:p>
      <w:pPr>
        <w:pStyle w:val="SourceNote"/>
      </w:pPr>
      <w:r>
        <w:rPr>
          <w:b/>
        </w:rPr>
        <w:t>Available abstract (not full text):</w:t>
      </w:r>
      <w:r>
        <w:t xml:space="preserve">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pPr/>
      <w:r>
        <w:rPr>
          <w:b/>
        </w:rPr>
        <w:t>POSSIBLE 2022:</w:t>
      </w:r>
      <w:r>
        <w:t xml:space="preserve"> COVID‐19 and European Multi‐Level Democracy — https://doi.org/10.1111/jcms.13417</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pPr/>
      <w:r>
        <w:rPr>
          <w:b/>
        </w:rPr>
        <w:t>POSSIBLE 2022:</w:t>
      </w:r>
      <w:r>
        <w:t xml:space="preserve"> Children’s representations of the COVID-19 lockdown and pandemic through drawings — https://doi.org/10.3389/fpsyg.2022.960893</w:t>
      </w:r>
    </w:p>
    <w:p>
      <w:pPr/>
      <w:r>
        <w:rPr>
          <w:b/>
        </w:rPr>
        <w:t>Shared claim-specific concepts:</w:t>
      </w:r>
      <w:r>
        <w:t xml:space="preserve"> drawing, covid-19, pandemic, exploring, explore; EU scope visible. This is a provisional connection, not an outcome finding.</w:t>
      </w:r>
    </w:p>
    <w:p>
      <w:pPr>
        <w:pStyle w:val="SourceNote"/>
      </w:pPr>
      <w:r>
        <w:rPr>
          <w:b/>
        </w:rPr>
        <w:t>Available abstract (not full text):</w:t>
      </w:r>
      <w:r>
        <w:t xml:space="preserve">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pPr/>
      <w:r>
        <w:rPr>
          <w:b/>
        </w:rPr>
        <w:t>POSSIBLE 2022:</w:t>
      </w:r>
      <w:r>
        <w:t xml:space="preserve"> Advances in COVID-19 mRNA vaccine development — https://doi.org/10.1038/s41392-022-00950-y</w:t>
      </w:r>
    </w:p>
    <w:p>
      <w:pPr/>
      <w:r>
        <w:rPr>
          <w:b/>
        </w:rPr>
        <w:t>Shared claim-specific concepts:</w:t>
      </w:r>
      <w:r>
        <w:t xml:space="preserve"> drawing, covid-19, pandemic, capacity; EU scope not established. This is a provisional connection, not an outcome finding.</w:t>
      </w:r>
    </w:p>
    <w:p>
      <w:pPr>
        <w:pStyle w:val="SourceNote"/>
      </w:pPr>
      <w:r>
        <w:rPr>
          <w:b/>
        </w:rPr>
        <w:t>Available abstract (not full text):</w:t>
      </w:r>
      <w:r>
        <w:t xml:space="preserve">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pPr/>
      <w:r>
        <w:rPr>
          <w:b/>
        </w:rPr>
        <w:t>POSSIBLE 2021:</w:t>
      </w:r>
      <w:r>
        <w:t xml:space="preserve"> Understanding the effectiveness of government interventions against the resurgence of COVID-19 in Europe — https://doi.org/10.1038/s41467-021-26013-4</w:t>
      </w:r>
    </w:p>
    <w:p>
      <w:pPr/>
      <w:r>
        <w:rPr>
          <w:b/>
        </w:rPr>
        <w:t>Shared claim-specific concepts:</w:t>
      </w:r>
      <w:r>
        <w:t xml:space="preserve"> covid-19, pandemic, modelling; EU scope visible. This is a provisional connection, not an outcome finding.</w:t>
      </w:r>
    </w:p>
    <w:p>
      <w:pPr>
        <w:pStyle w:val="SourceNote"/>
      </w:pPr>
      <w:r>
        <w:rPr>
          <w:b/>
        </w:rPr>
        <w:t>Available abstract (not full text):</w:t>
      </w:r>
      <w:r>
        <w:t xml:space="preserve"> Abstract As European governments face resurging waves of COVID-19, non-pharmaceutical interventions (NPIs) continue to be the primary tool for infection control. However, updated estimates of their relative effectiveness have been absent for Europe’s second wave, largely due to a lack of collated data that considers the increased subnational variation and diversity of NPIs. We collect the largest dataset of NPI implementation dates in Europe, spanning 114 subnational areas in 7 countries, with a systematic categorisation of interventions tailored to the second wave. Using a hierarchical Bayesian transmission model, we estimate the effectiveness of 17 NPIs from local case and death data. We manually validate the data, address limitations in modelling from previous studies, and extensively test the robustness of our estimates. The combined effect of all NPIs was smaller relative to estimates from the first half of 2020, indicating the strong influence of safety measures and individual protective behaviours--such as distancing--that persisted after the first wave. Closing specific businesses was highly effective. Gathering restrictions were highly effective but only for the strictest limits. We find smaller effects for closing educational institutions compared to the first wave, suggesting that safer operation of schools was possible with a set of stringent safety measures includi</w:t>
      </w:r>
    </w:p>
    <w:p>
      <w:pPr/>
      <w:r>
        <w:rPr>
          <w:b/>
        </w:rPr>
        <w:t>POSSIBLE 2021:</w:t>
      </w:r>
      <w:r>
        <w:t xml:space="preserve"> War Metaphors in Political Communication on Covid-19 — https://doi.org/10.3389/fsoc.2020.583680</w:t>
      </w:r>
    </w:p>
    <w:p>
      <w:pPr/>
      <w:r>
        <w:rPr>
          <w:b/>
        </w:rPr>
        <w:t>Shared claim-specific concepts:</w:t>
      </w:r>
      <w:r>
        <w:t xml:space="preserve"> finally, drawing, covid-19, pandemic, discuss, expand; EU scope not established. This is a provisional connection, not an outcome finding.</w:t>
      </w:r>
    </w:p>
    <w:p>
      <w:pPr>
        <w:pStyle w:val="SourceNote"/>
      </w:pPr>
      <w:r>
        <w:rPr>
          <w:b/>
        </w:rPr>
        <w:t>Available abstract (not full text):</w:t>
      </w:r>
      <w:r>
        <w:t xml:space="preserve"> Although militaristic metaphors have been pervasive during health crisis in political and science communication, few works have examined how these linguistic devices may influence crisis communication. Drawing on critical discourse analysis (CDA) and on crisis communication literature, I show how political representatives have used the war metaphor for very different purposes in terms of crisis communication and management of the current Covid-19 pandemic. I suggest that these findings challenge previous criticisms of the war metaphor as inherently negative and damaging. Finally, I discuss possibilities of using CDA, and specifically, metaphor analysis to inform and expand crisis communication.</w:t>
      </w:r>
    </w:p>
    <w:p>
      <w:pPr/>
      <w:r>
        <w:rPr>
          <w:b/>
        </w:rPr>
        <w:t>POSSIBLE 2021:</w:t>
      </w:r>
      <w:r>
        <w:t xml:space="preserve"> Regulating the health workforce in Europe: implications of the COVID-19 pandemic — https://doi.org/10.1186/s12960-021-00624-w</w:t>
      </w:r>
    </w:p>
    <w:p>
      <w:pPr/>
      <w:r>
        <w:rPr>
          <w:b/>
        </w:rPr>
        <w:t>Shared claim-specific concepts:</w:t>
      </w:r>
      <w:r>
        <w:t xml:space="preserve"> drawing, covid-19, pandemic, need, zone, across; EU scope visible. This is a provisional connection, not an outcome finding.</w:t>
      </w:r>
    </w:p>
    <w:p>
      <w:pPr>
        <w:pStyle w:val="SourceNote"/>
      </w:pPr>
      <w:r>
        <w:rPr>
          <w:b/>
        </w:rPr>
        <w:t>Available abstract (not full text):</w:t>
      </w:r>
      <w:r>
        <w:t xml:space="preserve"> In the European free movement zone, various mechanisms aim to harmonize how the competence of physicians and nurses is developed and maintained to facilitate the cross-country movement of professionals. This commentary addresses these mechanisms and discusses their implications during the COVID-19 pandemic, drawing lessons for future policy. It argues that EU-wide regulatory mechanisms should be reviewed to ensure that they provide an adequate foundation for determining competence and enabling health workforce flexibility during health system shocks. Currently, EU regulation focuses on the automatic recognition of the primary education of physicians and nurses. New, flexible mechanisms should be developed for specializations, such as intensive or emergency care. Documenting new skills, such as the ones acquired during rapid training in the pandemic, in a manner that is comparable across countries should be explored, both for usual practice and in light of outbreak preparedness. Initiatives to strengthen continuing education and professional development should be supported further. Funding under the EU4Health programme should be dedicated to this endeavour, along with revisiting the scope of necessary skills following the experience of COVID-19. Mechanisms for cross-country sharing of information on violations of good practice standards should be maintained and strengthened to e</w:t>
      </w:r>
    </w:p>
    <w:p>
      <w:pPr/>
      <w:r>
        <w:rPr>
          <w:b/>
        </w:rPr>
        <w:t>POSSIBLE 2021:</w:t>
      </w:r>
      <w:r>
        <w:t xml:space="preserve"> COVID-19 Pandemic and Drawing Lessons for Future Crises to Indian Federalism — https://openalex.org/W7219388642</w:t>
      </w:r>
    </w:p>
    <w:p>
      <w:pPr/>
      <w:r>
        <w:rPr>
          <w:b/>
        </w:rPr>
        <w:t>Shared claim-specific concepts:</w:t>
      </w:r>
      <w:r>
        <w:t xml:space="preserve"> drawing, covid-19, pandemic; EU scope not established. This is a provisional connection, not an outcome finding.</w:t>
      </w:r>
    </w:p>
    <w:p>
      <w:pPr>
        <w:pStyle w:val="SourceNote"/>
      </w:pPr>
      <w:r>
        <w:rPr>
          <w:b/>
        </w:rPr>
        <w:t>Available abstract (not full text):</w:t>
      </w:r>
      <w:r>
        <w:t xml:space="preserve"> In the past year-and-a-half, the COVID-19 pandemic has laid bare the strengths and weaknesses of all forms of political systems and structures: democratic and authoritarian; unitary and federal; and every model in-between. This paper focuses on federalism. Given the diffused and decentralised overall pathway followed by a federal structure of government, there were legitimate concerns over how countries with such a system could handle a rapidly spreading pandemic of a highly infectious disease. It acquired a serious tone when the pandemic began exposing the vulnerabilities of the United States (US), a federal country that has what is generally presumed to be an advanced healthcare system that will be able to withstand such an emergency. Analysts raised concerns about what they said were the inherent disadvantages of a federal political system against a pandemic that requires rapid and unitary response.Indeed, political analysts in the US started calling on the government to abandon the rigid dual federal system where health is an exclusive domain of states and local governments. Observers contrasted the US’s early experience against China’s swift response in Wuhan, as proof of the efficacy of a centralised response.</w:t>
      </w:r>
    </w:p>
    <w:p>
      <w:pPr>
        <w:pStyle w:val="Heading2"/>
      </w:pPr>
      <w:r>
        <w:t>622.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2023:</w:t>
      </w:r>
      <w:r>
        <w:t xml:space="preserve"> The Energy Price Shock—Impact, Policy Responses, and Reform Options — https://doi.org/10.5089/9798400246135.018</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pPr/>
      <w:r>
        <w:rPr>
          <w:b/>
        </w:rPr>
        <w:t>POSSIBLE 2022:</w:t>
      </w:r>
      <w:r>
        <w:t xml:space="preserve"> European Union criminal procedure policy as part of the European Union's policy in the field of the fight against criminality — https://doi.org/10.24144/2788-6018.2021.03.35</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pPr/>
      <w:r>
        <w:rPr>
          <w:b/>
        </w:rPr>
        <w:t>POSSIBLE 2022:</w:t>
      </w:r>
      <w:r>
        <w:t xml:space="preserve"> Ukraine’s Balance Policy between European Union and Russia — https://doi.org/10.18276/ap.2022.54-07</w:t>
      </w:r>
    </w:p>
    <w:p>
      <w:pPr/>
      <w:r>
        <w:rPr>
          <w:b/>
        </w:rPr>
        <w:t>Shared claim-specific concepts:</w:t>
      </w:r>
      <w:r>
        <w:t xml:space="preserve"> terms, options, participation; EU scope visible. This is a provisional connection, not an outcome finding.</w:t>
      </w:r>
    </w:p>
    <w:p>
      <w:pPr>
        <w:pStyle w:val="SourceNote"/>
      </w:pPr>
      <w:r>
        <w:rPr>
          <w:b/>
        </w:rPr>
        <w:t>Available abstract (not full text):</w:t>
      </w:r>
      <w:r>
        <w:t xml:space="preserve">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pPr/>
      <w:r>
        <w:rPr>
          <w:b/>
        </w:rPr>
        <w:t>POSSIBLE 2022:</w:t>
      </w:r>
      <w:r>
        <w:t xml:space="preserve"> Governing Europe's forests for multiple ecosystem services: Opportunities, challenges, and policy options — https://doi.org/10.1016/j.forpol.2022.102849</w:t>
      </w:r>
    </w:p>
    <w:p>
      <w:pPr/>
      <w:r>
        <w:rPr>
          <w:b/>
        </w:rPr>
        <w:t>Shared claim-specific concepts:</w:t>
      </w:r>
      <w:r>
        <w:t xml:space="preserve"> options, participation, among, integration; EU scope visible. This is a provisional connection, not an outcome finding.</w:t>
      </w:r>
    </w:p>
    <w:p>
      <w:pPr>
        <w:pStyle w:val="SourceNote"/>
      </w:pPr>
      <w:r>
        <w:rPr>
          <w:b/>
        </w:rPr>
        <w:t>Available abstract (not full text):</w:t>
      </w:r>
      <w:r>
        <w:t xml:space="preserve">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pPr/>
      <w:r>
        <w:rPr>
          <w:b/>
        </w:rPr>
        <w:t>POSSIBLE 2021:</w:t>
      </w:r>
      <w:r>
        <w:t xml:space="preserve"> Future options for organic farming policy support in Europe — https://openalex.org/W3200370314</w:t>
      </w:r>
    </w:p>
    <w:p>
      <w:pPr/>
      <w:r>
        <w:rPr>
          <w:b/>
        </w:rPr>
        <w:t>Shared claim-specific concepts:</w:t>
      </w:r>
      <w:r>
        <w:t xml:space="preserve"> terms, options; EU scope visible. This is a provisional connection, not an outcome finding.</w:t>
      </w:r>
    </w:p>
    <w:p>
      <w:pPr>
        <w:pStyle w:val="SourceNote"/>
      </w:pPr>
      <w:r>
        <w:rPr>
          <w:b/>
        </w:rPr>
        <w:t>Available abstract (not full text):</w:t>
      </w:r>
      <w:r>
        <w:t xml:space="preserve"> Policy support has been very important for the development of organic farming in Europe since the 1990s. Measures include regulations defining organic in the marketplace, support payments for organic conversion and maintenance, and action plans aimed at integrating market and rural development support. Such support has been justified in terms of the environmental and other societal benefits delivered, as well as the economic benefits of the market for organic food. While the evidence for public benefits from organic farming is clear and increasing, the mechanisms for rewarding these benefits have been focused, as other agri-environment measures, on income foregone and costs incurred. With the introduction of a new CAP, involving Member State Strategic Plans and Ecoschemes, the focus of policy is shifting to results. This paper explores the implications of the for future organic farming support, including how public benefits from complex, multi-functional systems can be identified, quantified and valued at an affordable cost.</w:t>
      </w:r>
    </w:p>
    <w:p>
      <w:pPr>
        <w:pStyle w:val="Heading2"/>
      </w:pPr>
      <w:r>
        <w:t>623.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r>
        <w:rPr>
          <w:b/>
        </w:rPr>
        <w:t>POSSIBLE 2023:</w:t>
      </w:r>
      <w:r>
        <w:t xml:space="preserve"> THE EUROPEAN UNION: THE HISTORY OF ESTABLISHMENT AND SIGNIFICANCE FOR UKRAINE — https://doi.org/10.30970/vla.2023.76.015</w:t>
      </w:r>
    </w:p>
    <w:p>
      <w:pPr/>
      <w:r>
        <w:rPr>
          <w:b/>
        </w:rPr>
        <w:t>Shared claim-specific concepts:</w:t>
      </w:r>
      <w:r>
        <w:t xml:space="preserve"> establishment, powers, process, role, they, played; EU scope visible. This is a provisional connection, not an outcome finding.</w:t>
      </w:r>
    </w:p>
    <w:p>
      <w:pPr>
        <w:pStyle w:val="SourceNote"/>
      </w:pPr>
      <w:r>
        <w:rPr>
          <w:b/>
        </w:rPr>
        <w:t>Available abstract (not full text):</w:t>
      </w:r>
      <w:r>
        <w:t xml:space="preserve">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pPr/>
      <w:r>
        <w:rPr>
          <w:b/>
        </w:rPr>
        <w:t>POSSIBLE 2022:</w:t>
      </w:r>
      <w:r>
        <w:t xml:space="preserve"> The relationship between Willy Brandt and the Norwegian Labor Party, and the process of change and establishment of Brandt’s thoughts seen from the publication of The Purpose of War of Great Powers and a New Europe — https://doi.org/10.17995/kjgs.2022.2.49.93</w:t>
      </w:r>
    </w:p>
    <w:p>
      <w:pPr/>
      <w:r>
        <w:rPr>
          <w:b/>
        </w:rPr>
        <w:t>Shared claim-specific concepts:</w:t>
      </w:r>
      <w:r>
        <w:t xml:space="preserve"> establishment, powers, relationship, process; EU scope visible. This is a provisional connection, not an outcome finding.</w:t>
      </w:r>
    </w:p>
    <w:p>
      <w:pPr>
        <w:pStyle w:val="SourceNote"/>
      </w:pPr>
      <w:r>
        <w:rPr>
          <w:b/>
        </w:rPr>
        <w:t>Available abstract (not full text):</w:t>
      </w:r>
      <w:r>
        <w:t xml:space="preserve">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pPr/>
      <w:r>
        <w:rPr>
          <w:b/>
        </w:rPr>
        <w:t>POSSIBLE 2022:</w:t>
      </w:r>
      <w:r>
        <w:t xml:space="preserve"> The Delegation of Powers to EU Agencies After the Financial Crisis — https://doi.org/10.15166/2499-8249/535</w:t>
      </w:r>
    </w:p>
    <w:p>
      <w:pPr/>
      <w:r>
        <w:rPr>
          <w:b/>
        </w:rPr>
        <w:t>Shared claim-specific concepts:</w:t>
      </w:r>
      <w:r>
        <w:t xml:space="preserve"> establishment, powers, role, they; EU scope visible. This is a provisional connection, not an outcome finding.</w:t>
      </w:r>
    </w:p>
    <w:p>
      <w:pPr>
        <w:pStyle w:val="SourceNote"/>
      </w:pPr>
      <w:r>
        <w:rPr>
          <w:b/>
        </w:rPr>
        <w:t>Available abstract (not full text):</w:t>
      </w:r>
      <w:r>
        <w:t xml:space="preserve">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pPr/>
      <w:r>
        <w:rPr>
          <w:b/>
        </w:rPr>
        <w:t>POSSIBLE 2021:</w:t>
      </w:r>
      <w:r>
        <w:t xml:space="preserve"> The Emergence of New States in Eastern Europe in 1918—Lessons for All of Europe — https://doi.org/10.2478/bjes-2021-0001</w:t>
      </w:r>
    </w:p>
    <w:p>
      <w:pPr/>
      <w:r>
        <w:rPr>
          <w:b/>
        </w:rPr>
        <w:t>Shared claim-specific concepts:</w:t>
      </w:r>
      <w:r>
        <w:t xml:space="preserve"> establishment, powers, well, efforts, crucial, process; EU scope visible. This is a provisional connection, not an outcome finding.</w:t>
      </w:r>
    </w:p>
    <w:p>
      <w:pPr>
        <w:pStyle w:val="SourceNote"/>
      </w:pPr>
      <w:r>
        <w:rPr>
          <w:b/>
        </w:rPr>
        <w:t>Available abstract (not full text):</w:t>
      </w:r>
      <w:r>
        <w:t xml:space="preserve">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pPr/>
      <w:r>
        <w:rPr>
          <w:b/>
        </w:rPr>
        <w:t>POSSIBLE 2021:</w:t>
      </w:r>
      <w:r>
        <w:t xml:space="preserve"> Philanthrocapitalism and the Separation of Powers — https://doi.org/10.1146/annurev-lawsocsci-120220-074323</w:t>
      </w:r>
    </w:p>
    <w:p>
      <w:pPr/>
      <w:r>
        <w:rPr>
          <w:b/>
        </w:rPr>
        <w:t>Shared claim-specific concepts:</w:t>
      </w:r>
      <w:r>
        <w:t xml:space="preserve"> powers, major; EU scope visible. This is a provisional connection, not an outcome finding.</w:t>
      </w:r>
    </w:p>
    <w:p>
      <w:pPr>
        <w:pStyle w:val="SourceNote"/>
      </w:pPr>
      <w:r>
        <w:rPr>
          <w:b/>
        </w:rPr>
        <w:t>Available abstract (not full text):</w:t>
      </w:r>
      <w:r>
        <w:t xml:space="preserve"> This article discusses the rise of an approach to philanthropic giving known as philanthrocapitalism. I relate it to a new paradigm in management theory that has claimed that private profit making naturally aligns with improved public welfare. I show how growing belief in the inherent “compatibility” of corporate missions and public benefits has led to new laws and contributed to major shifts in how giving practices are structured and legitimated. The original point made in this article is that the philanthrocapitalist turn is more than simply an organizational change in the structure of different philanthropic institutions. Rather, the belief that profit-making and public welfare are naturally aligned also has significant, undertheorized implications for different principles in European-American legal traditions. The ascendancy of the philanthrocapitalist approach represents a subtle but profound displacement of belief in the need for democratic checks and balances on the use of public funds for private enrichment.</w:t>
      </w:r>
    </w:p>
    <w:p>
      <w:pPr/>
      <w:r>
        <w:rPr>
          <w:b/>
        </w:rPr>
        <w:t>POSSIBLE 2021:</w:t>
      </w:r>
      <w:r>
        <w:t xml:space="preserve"> The EU’s ‘watchdogs’: assessing the powers of the European Ombudsman and European Court of Auditors — https://openalex.org/W3168197065</w:t>
      </w:r>
    </w:p>
    <w:p>
      <w:pPr/>
      <w:r>
        <w:rPr>
          <w:b/>
        </w:rPr>
        <w:t>Shared claim-specific concepts:</w:t>
      </w:r>
      <w:r>
        <w:t xml:space="preserve"> powers, assessing, role, they, play; EU scope visible. This is a provisional connection, not an outcome finding.</w:t>
      </w:r>
    </w:p>
    <w:p>
      <w:pPr>
        <w:pStyle w:val="SourceNote"/>
      </w:pPr>
      <w:r>
        <w:rPr>
          <w:b/>
        </w:rPr>
        <w:t>Available abstract (not full text):</w:t>
      </w:r>
      <w:r>
        <w:t xml:space="preserve"> The European Ombudsman and European Court of Auditors both play an important role in guaranteeing the EU’s transparency, accountability and integrity. Anchrit Wille and Mark Bovens argue that the key to understanding the impact of the two institutions lies in the use of their powers, rather than the formal remits they have been assigned.</w:t>
      </w:r>
    </w:p>
    <w:p>
      <w:pPr/>
      <w:r>
        <w:rPr>
          <w:b/>
        </w:rPr>
        <w:t>POSSIBLE 2021:</w:t>
      </w:r>
      <w:r>
        <w:t xml:space="preserve"> EU Operational Powers and Legal Protection: A Legal Theory Perspective on the Operational Powers of the European Border and Coast Guard — https://doi.org/10.1017/glj.2021.29</w:t>
      </w:r>
    </w:p>
    <w:p>
      <w:pPr/>
      <w:r>
        <w:rPr>
          <w:b/>
        </w:rPr>
        <w:t>Shared claim-specific concepts:</w:t>
      </w:r>
      <w:r>
        <w:t xml:space="preserve"> powers, process, they; EU scope visible. This is a provisional connection, not an outcome finding.</w:t>
      </w:r>
    </w:p>
    <w:p>
      <w:pPr>
        <w:pStyle w:val="SourceNote"/>
      </w:pPr>
      <w:r>
        <w:rPr>
          <w:b/>
        </w:rPr>
        <w:t>Available abstract (not full text):</w:t>
      </w:r>
      <w:r>
        <w:t xml:space="preserve"> Abstract For the first time in its history, the EU is in the process of acquiring significant and genuine permanent operational powers. A new Regulation on the European Border and Coast Guard provides Frontex with a permanent corps of 10,000 border guards—3,000 of which will be EU agents—its own equipment, and its own competences to intervene along the EU borders and beyond. The operational powers will allow the EU to directly and physically intervene in tangible reality. This Article argues that the conferral of operational powers on the EU poses a risk to individual legal protection. This is because once authorities have acquired operational powers of a certain extent and quality, they can afford to act against or without the law by simply overpowering or eluding the legal mechanisms that normally constrain the exercise of public power. So far, Members of the European Parliament and academics critical of Frontex and the new Regulation have overlooked this issue and concentrated exclusively on how to legally constrain the exercise of operational powers. This Article addresses this blind spot by examining whether and how public law should place legal constraints not only on the exercise but also on the build-up of operational powers.</w:t>
      </w:r>
    </w:p>
    <w:p>
      <w:pPr>
        <w:pStyle w:val="Heading2"/>
      </w:pPr>
      <w:r>
        <w:t>624.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2024:</w:t>
      </w:r>
      <w:r>
        <w:t xml:space="preserve"> “EUROPE”: A Patriotic Ballet for the First World War — https://doi.org/10.1080/19475020.2024.2352853</w:t>
      </w:r>
    </w:p>
    <w:p>
      <w:pPr/>
      <w:r>
        <w:rPr>
          <w:b/>
        </w:rPr>
        <w:t>Shared claim-specific concepts:</w:t>
      </w:r>
      <w:r>
        <w:t xml:space="preserve"> show, first, time, associated, however, within; EU scope visible. This is a provisional connection, not an outcome finding.</w:t>
      </w:r>
    </w:p>
    <w:p>
      <w:pPr>
        <w:pStyle w:val="SourceNote"/>
      </w:pPr>
      <w:r>
        <w:rPr>
          <w:b/>
        </w:rPr>
        <w:t>Available abstract (not full text):</w:t>
      </w:r>
      <w:r>
        <w:t xml:space="preserve">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pPr/>
      <w:r>
        <w:rPr>
          <w:b/>
        </w:rPr>
        <w:t>POSSIBLE 2023:</w:t>
      </w:r>
      <w:r>
        <w:t xml:space="preserve"> “The first difficulty is time”: The impact of gestational age limits on reproductive health and justice in the context of cross-border travel for abortion care in Europe — https://doi.org/10.1016/j.socscimed.2023.115760</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pPr/>
      <w:r>
        <w:rPr>
          <w:b/>
        </w:rPr>
        <w:t>POSSIBLE 2022:</w:t>
      </w:r>
      <w:r>
        <w:t xml:space="preserve"> Impact of the first wave of the COVID-19 pandemic on birth rates in Europe: a time series analysis in 24 countries — https://doi.org/10.1093/humrep/deac215</w:t>
      </w:r>
    </w:p>
    <w:p>
      <w:pPr/>
      <w:r>
        <w:rPr>
          <w:b/>
        </w:rPr>
        <w:t>Shared claim-specific concepts:</w:t>
      </w:r>
      <w:r>
        <w:t xml:space="preserve"> first, time, power, differences, over, associated; EU scope visible. This is a provisional connection, not an outcome finding.</w:t>
      </w:r>
    </w:p>
    <w:p>
      <w:pPr>
        <w:pStyle w:val="SourceNote"/>
      </w:pPr>
      <w:r>
        <w:rPr>
          <w:b/>
        </w:rPr>
        <w:t>Available abstract (not full text):</w:t>
      </w:r>
      <w:r>
        <w:t xml:space="preserve">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pPr/>
      <w:r>
        <w:rPr>
          <w:b/>
        </w:rPr>
        <w:t>POSSIBLE 2022:</w:t>
      </w:r>
      <w:r>
        <w:t xml:space="preserve"> High-Resolution Mapping of Winter Cereals in Europe by Time Series Landsat and Sentinel Images for 2016–2020 — https://doi.org/10.3390/rs14092120</w:t>
      </w:r>
    </w:p>
    <w:p>
      <w:pPr/>
      <w:r>
        <w:rPr>
          <w:b/>
        </w:rPr>
        <w:t>Shared claim-specific concepts:</w:t>
      </w:r>
      <w:r>
        <w:t xml:space="preserve"> show, first, time, total, over, respectively; EU scope visible. This is a provisional connection, not an outcome finding.</w:t>
      </w:r>
    </w:p>
    <w:p>
      <w:pPr>
        <w:pStyle w:val="SourceNote"/>
      </w:pPr>
      <w:r>
        <w:rPr>
          <w:b/>
        </w:rPr>
        <w:t>Available abstract (not full text):</w:t>
      </w:r>
      <w:r>
        <w:t xml:space="preserve">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show, first, time, power, total, energy;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2021:</w:t>
      </w:r>
      <w:r>
        <w:t xml:space="preserve"> Islam and space in Europe: the politics of race, time, and secularism — https://doi.org/10.1080/01419870.2021.1918739</w:t>
      </w:r>
    </w:p>
    <w:p>
      <w:pPr/>
      <w:r>
        <w:rPr>
          <w:b/>
        </w:rPr>
        <w:t>Shared claim-specific concepts:</w:t>
      </w:r>
      <w:r>
        <w:t xml:space="preserve"> show, first, time; EU scope visible. This is a provisional connection, not an outcome finding.</w:t>
      </w:r>
    </w:p>
    <w:p>
      <w:pPr>
        <w:pStyle w:val="SourceNote"/>
      </w:pPr>
      <w:r>
        <w:rPr>
          <w:b/>
        </w:rPr>
        <w:t>Available abstract (not full text):</w:t>
      </w:r>
      <w:r>
        <w:t xml:space="preserve"> This introduction to the Special Issue “Rethinking Islam and Space in Europe” advocates for an analytical turn in the study of Islam in Europe by using space as a central conceptual lens. While spatial approaches are gaining traction in the study of religion, migration, ethnicity, and race, we argue that the critical potential of spatial approaches remains largely unexplored. This paper offers a threefold contribution. First, we show how combining spatial perspectives with local histories contributes to de-exceptionalising the contemporary study of Islam in urban contexts. Second, by “localising secularism” we can uncover concrete formations of exclusion and erasure, while also providing a more refined picture of the ways in which the agency of Muslims is negotiated. Third, we demonstrate how scrutinizing the nexus of time, race and Europe reveals colonial pasts and continuities that are disrupted and transformed by the movement of bodies through public spaces.</w:t>
      </w:r>
    </w:p>
    <w:p>
      <w:pPr/>
      <w:r>
        <w:rPr>
          <w:b/>
        </w:rPr>
        <w:t>POSSIBLE 2021:</w:t>
      </w:r>
      <w:r>
        <w:t xml:space="preserve"> Depression and loneliness of older adults in Europe and Israel after the first wave of covid-19 — https://doi.org/10.1007/s10433-021-00640-8</w:t>
      </w:r>
    </w:p>
    <w:p>
      <w:pPr/>
      <w:r>
        <w:rPr>
          <w:b/>
        </w:rPr>
        <w:t>Shared claim-specific concepts:</w:t>
      </w:r>
      <w:r>
        <w:t xml:space="preserve"> show, first, time, however; EU scope visible. This is a provisional connection, not an outcome finding.</w:t>
      </w:r>
    </w:p>
    <w:p>
      <w:pPr>
        <w:pStyle w:val="SourceNote"/>
      </w:pPr>
      <w:r>
        <w:rPr>
          <w:b/>
        </w:rPr>
        <w:t>Available abstract (not full text):</w:t>
      </w:r>
      <w:r>
        <w:t xml:space="preserve"> Epidemic control measures that aim to introduce social distancing help to decelerate the spread of the COVID-19 pandemic. However, their consequences in terms of mental well-being might be negative, especially for older adults. While existing studies mainly focus on the time during the first lockdown, we look at the weeks afterward in order to measure the medium-term consequences of the first wave of the pandemic. Using data from the SHARE Corona Survey, we include retired respondents aged 60 and above from 25 European countries plus Israel. Combining SHARE data with macro-data from the Oxford COVID-19 Government Response Tracker allows us to include macro-indicators at the country level, namely the number of deaths per 100,000 and the number of days with stringent epidemic control measures, in addition to individual characteristics. The findings show that both macro-indicators are influential for increased feelings of sadness/depression, but that individual factors are crucial for explaining increased feelings of loneliness in the time after the first lockdown. Models with interaction terms reveal that the included macro-indicators have negative well-being consequences, particularly for the oldest survey participants. Additionally, the results reveal that especially those living alone had a higher risk for increased loneliness in the time after the first COVID-19 wave. Supplem</w:t>
      </w:r>
    </w:p>
    <w:p>
      <w:pPr/>
      <w:r>
        <w:rPr>
          <w:b/>
        </w:rPr>
        <w:t>POSSIBLE 2021:</w:t>
      </w:r>
      <w:r>
        <w:t xml:space="preserve"> Time–Motion Analysis by Playing Positions of Male Handball Players during the European Championship 2020 — https://doi.org/10.3390/ijerph18062787</w:t>
      </w:r>
    </w:p>
    <w:p>
      <w:pPr/>
      <w:r>
        <w:rPr>
          <w:b/>
        </w:rPr>
        <w:t>Shared claim-specific concepts:</w:t>
      </w:r>
      <w:r>
        <w:t xml:space="preserve"> first, time, system, differences, total; EU scope visible. This is a provisional connection, not an outcome finding.</w:t>
      </w:r>
    </w:p>
    <w:p>
      <w:pPr>
        <w:pStyle w:val="SourceNote"/>
      </w:pPr>
      <w:r>
        <w:rPr>
          <w:b/>
        </w:rPr>
        <w:t>Available abstract (not full text):</w:t>
      </w:r>
      <w:r>
        <w:t xml:space="preserve"> The aim of this study was to analyze time–motion characteristics of elite male handball players during the last European Championship 2020. A total of 414 players from 24 national teams were analyzed during 65 matches using a local positioning system (LPS) for the first time in a European Championship. Players (n = 1865) covered significantly (p &lt; 0.001; ES = 0.48) more total distance in offense (1217.48 ± 699.33 m) and in all locomotion categories (p &lt; 0.001) than in defense (900.96 ± 538.95 m), with a similar average total time on court (13.40 ± 8.19 min in offense and 13.27 ± 8.59 min; p &gt; 0.05). The running pace was significantly higher in offense 96.53 ± 22.57 m/min than in defense 82.72 ± 43.28 m/min (p &lt; 0.001; ES = 0.47). By playing positions, the Left Wing players covered significantly (p &lt; 0.001) higher distances (2547.14 ± 1309.52) and showed longer playing time (32.08 ± 17.01). Center Back was the playing position that showed the highest global running pace (98.34 m/min). Players with higher running pace in offense (p &lt; 0.001) were Left Backs (105.95 ± 25.20) and the Center Backs in defense (95.76 ± 48.90). There were no significant differences between winners and losers or between top ranked and lower ranked teams in terms of time played, distance covered, and running pace. Specific physical conditioning is necessary to maximize performance and minimize fatigue whe</w:t>
      </w:r>
    </w:p>
    <w:p>
      <w:pPr>
        <w:pStyle w:val="Heading2"/>
      </w:pPr>
      <w:r>
        <w:t>625.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2023:</w:t>
      </w:r>
      <w:r>
        <w:t xml:space="preserve"> Uncertainty of atmospheric scattering functions relevant for Satellite Ocean Colour Radiometry in European Seas — https://doi.org/10.1080/01431161.2023.2247531</w:t>
      </w:r>
    </w:p>
    <w:p>
      <w:pPr/>
      <w:r>
        <w:rPr>
          <w:b/>
        </w:rPr>
        <w:t>Shared claim-specific concepts:</w:t>
      </w:r>
      <w:r>
        <w:t xml:space="preserve"> data, uncertainty, three, ocean; EU scope visible. This is a provisional connection, not an outcome finding.</w:t>
      </w:r>
    </w:p>
    <w:p>
      <w:pPr>
        <w:pStyle w:val="SourceNote"/>
      </w:pPr>
      <w:r>
        <w:rPr>
          <w:b/>
        </w:rPr>
        <w:t>Available abstract (not full text):</w:t>
      </w:r>
      <w:r>
        <w:t xml:space="preserve">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pPr/>
      <w:r>
        <w:rPr>
          <w:b/>
        </w:rPr>
        <w:t>POSSIBLE 2023:</w:t>
      </w:r>
      <w:r>
        <w:t xml:space="preserve"> Data for paper "Magnetohydrodynamic Equilibrium Reconstruction with Consistent Uncertainties" — https://doi.org/10.5281/zenodo.8063360</w:t>
      </w:r>
    </w:p>
    <w:p>
      <w:pPr/>
      <w:r>
        <w:rPr>
          <w:b/>
        </w:rPr>
        <w:t>Shared claim-specific concepts:</w:t>
      </w:r>
      <w:r>
        <w:t xml:space="preserve"> data, uncertainty, low; EU scope visible. This is a provisional connection, not an outcome finding.</w:t>
      </w:r>
    </w:p>
    <w:p>
      <w:pPr>
        <w:pStyle w:val="SourceNote"/>
      </w:pPr>
      <w:r>
        <w:rPr>
          <w:b/>
        </w:rPr>
        <w:t>Available abstract (not full text):</w:t>
      </w:r>
      <w:r>
        <w:t xml:space="preserve">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pPr/>
      <w:r>
        <w:rPr>
          <w:b/>
        </w:rPr>
        <w:t>POSSIBLE 2022:</w:t>
      </w:r>
      <w:r>
        <w:t xml:space="preserve"> Validation of ocean color remote sensing reflectance data: Analysis of results at European coastal sites — https://doi.org/10.1016/j.rse.2022.113153</w:t>
      </w:r>
    </w:p>
    <w:p>
      <w:pPr/>
      <w:r>
        <w:rPr>
          <w:b/>
        </w:rPr>
        <w:t>Shared claim-specific concepts:</w:t>
      </w:r>
      <w:r>
        <w:t xml:space="preserve"> data, uncertainty, high, ocean; EU scope visible. This is a provisional connection, not an outcome finding.</w:t>
      </w:r>
    </w:p>
    <w:p>
      <w:pPr>
        <w:pStyle w:val="SourceNote"/>
      </w:pPr>
      <w:r>
        <w:rPr>
          <w:b/>
        </w:rPr>
        <w:t>Available abstract (not full text):</w:t>
      </w:r>
      <w:r>
        <w:t xml:space="preserve">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pPr/>
      <w:r>
        <w:rPr>
          <w:b/>
        </w:rPr>
        <w:t>POSSIBLE 2022:</w:t>
      </w:r>
      <w:r>
        <w:t xml:space="preserve"> Climate Change and Renewable Energy Generation in Europe—Long-Term Impact Assessment on Solar and Wind Energy Using High-Resolution Future Climate Data and Considering Climate Uncertainties — https://doi.org/10.3390/en15010302</w:t>
      </w:r>
    </w:p>
    <w:p>
      <w:pPr/>
      <w:r>
        <w:rPr>
          <w:b/>
        </w:rPr>
        <w:t>Shared claim-specific concepts:</w:t>
      </w:r>
      <w:r>
        <w:t xml:space="preserve"> data, uncertainty, three; EU scope visible. This is a provisional connection, not an outcome finding.</w:t>
      </w:r>
    </w:p>
    <w:p>
      <w:pPr>
        <w:pStyle w:val="SourceNote"/>
      </w:pPr>
      <w:r>
        <w:rPr>
          <w:b/>
        </w:rPr>
        <w:t>Available abstract (not full text):</w:t>
      </w:r>
      <w:r>
        <w:t xml:space="preserve">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pPr/>
      <w:r>
        <w:rPr>
          <w:b/>
        </w:rPr>
        <w:t>POSSIBLE 2021:</w:t>
      </w:r>
      <w:r>
        <w:t xml:space="preserve"> Competitive balance measures and the uncertainty of outcome hypothesis in European football — https://doi.org/10.1093/imaman/dpab027</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Abstract Competitive balance is an important issue in professional sport in general and European football in particular. However, competitive balance is difficult to quantify because competitiveness is multi-dimensional and particular sports are distinctive. We aim to identify the most appropriate index for a holistic view of competitive balance in European football. We use data from eight domestic European football leagues over a time span of 60 years. The indices we consider are specifically designed to capture competitiveness at different levels of performance and in this way reflect the peculiarities of European football leagues. Our findings support the longstanding uncertainty of outcome hypothesis. A bivariate index that captures competitiveness in the top K places is shown to have the highest association with attendance. A seasonal index of champions’ domination is also found to have a large association with attendance. Finally, ranking mobility is found to have a slightly higher association with attendance than seasonal performance. These results imply that sports policy makers should use these indices to assess strategic decisions that may influence competitive balance.</w:t>
      </w:r>
    </w:p>
    <w:p>
      <w:pPr/>
      <w:r>
        <w:rPr>
          <w:b/>
        </w:rPr>
        <w:t>POSSIBLE 2021:</w:t>
      </w:r>
      <w:r>
        <w:t xml:space="preserve"> Data-Uncertainty Guided Multi-Phase Learning for Semi-Supervised Object Detection — https://doi.org/10.1109/cvpr46437.2021.00454</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In this paper, we delve into semi-supervised object detection where unlabeled images are leveraged to break through the upper bound of fully-supervised object detection. Previous semi-supervised methods based on pseudo labels are severely degenerated by noise and prone to overfit to noisy labels, thus are deficient in learning different unlabeled knowledge well. To address this issue, we propose a data-uncertainty guided multi-phase learning method for semisupervised object detection. We comprehensively consider divergent types of unlabeled images according to their difficulty levels, utilize them in different phases, and ensemble models from different phases together to generate ultimate results. Image uncertainty guided easy data selection and region uncertainty guided RoI Re-weighting are involved in multi-phase learning and enable the detector to concentrate on more certain knowledge. Through extensive experiments on PASCAL VOC and MS COCO, we demonstrate that our method behaves extraordinarily compared to baseline approaches and outperforms them by a large margin, more than 3% on VOC and 2% on COCO.</w:t>
      </w:r>
    </w:p>
    <w:p>
      <w:pPr/>
      <w:r>
        <w:rPr>
          <w:b/>
        </w:rPr>
        <w:t>POSSIBLE 2021:</w:t>
      </w:r>
      <w:r>
        <w:t xml:space="preserve"> An improved TROPOMI tropospheric NO 2 research product over Europe — https://doi.org/10.5194/amt-14-7297-2021</w:t>
      </w:r>
    </w:p>
    <w:p>
      <w:pPr/>
      <w:r>
        <w:rPr>
          <w:b/>
        </w:rPr>
        <w:t>Shared claim-specific concepts:</w:t>
      </w:r>
      <w:r>
        <w:t xml:space="preserve"> data, uncertainty, three, high, low, average; EU scope visible. This is a provisional connection, not an outcome finding.</w:t>
      </w:r>
    </w:p>
    <w:p>
      <w:pPr>
        <w:pStyle w:val="SourceNote"/>
      </w:pPr>
      <w:r>
        <w:rPr>
          <w:b/>
        </w:rPr>
        <w:t>Available abstract (not full text):</w:t>
      </w:r>
      <w:r>
        <w:t xml:space="preserve"> Abstract. Launched in October 2017, the TROPOspheric Monitoring Instrument (TROPOMI) aboard Sentinel-5 Precursor provides the potential to monitor air quality over point sources across the globe with a spatial resolution as high as 5.5 km × 3.5 km (7 km × 3.5 km before 6 August 2019). The nitrogen dioxide (NO2) retrieval algorithm for the TROPOMI instrument consists of three steps: the spectral fitting of the slant column, the separation of stratospheric and tropospheric contributions, and the conversion of the slant column to a vertical column using an air mass factor (AMF) calculation. In this work, an improved tropospheric NO2 retrieval algorithm from TROPOMI measurements over Europe is presented. The stratospheric estimation is implemented using the STRatospheric Estimation Algorithm from Mainz (STREAM), which was developed as a verification algorithm for TROPOMI and does not require chemistry transport model data as input. A directionally dependent STREAM (DSTREAM) is developed to correct for the dependency of the stratospheric NO2 on the viewing geometry by up to 2 × 1014 molec/cm2. Applied to synthetic TROPOMI data, the uncertainty in the stratospheric column is 3.5 × 1014 molec/cm2 for polluted conditions. Applied to actual measurements, the smooth variation of stratospheric NO2 at low latitudes is conserved, and stronger stratospheric variation at higher latitudes are </w:t>
      </w:r>
    </w:p>
    <w:p>
      <w:pPr>
        <w:pStyle w:val="Heading2"/>
      </w:pPr>
      <w:r>
        <w:t>626.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r>
        <w:rPr>
          <w:b/>
        </w:rPr>
        <w:t>POSSIBLE 2025:</w:t>
      </w:r>
      <w:r>
        <w:t xml:space="preserve"> Do Energy Security Crises Accelerate Decarbonisation? The Case of REPowerEU — https://doi.org/10.3390/en19010200</w:t>
      </w:r>
    </w:p>
    <w:p>
      <w:pPr/>
      <w:r>
        <w:rPr>
          <w:b/>
        </w:rPr>
        <w:t>Shared claim-specific concepts:</w:t>
      </w:r>
      <w:r>
        <w:t xml:space="preserve"> decarbonisation, renewable, energy; EU scope visible. This is a provisional connection, not an outcome finding.</w:t>
      </w:r>
    </w:p>
    <w:p>
      <w:pPr>
        <w:pStyle w:val="SourceNote"/>
      </w:pPr>
      <w:r>
        <w:rPr>
          <w:b/>
        </w:rPr>
        <w:t>Available abstract (not full text):</w:t>
      </w:r>
      <w:r>
        <w:t xml:space="preserve">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pPr/>
      <w:r>
        <w:rPr>
          <w:b/>
        </w:rPr>
        <w:t>POSSIBLE 2025:</w:t>
      </w:r>
      <w:r>
        <w:t xml:space="preserve"> Decarbonisation and specialisation downgrading: The double harm of GVC integration — https://doi.org/10.1016/j.worlddev.2025.107047</w:t>
      </w:r>
    </w:p>
    <w:p>
      <w:pPr/>
      <w:r>
        <w:rPr>
          <w:b/>
        </w:rPr>
        <w:t>Shared claim-specific concepts:</w:t>
      </w:r>
      <w:r>
        <w:t xml:space="preserve"> decarbonisation, findings; EU scope not established. This is a provisional connection, not an outcome finding.</w:t>
      </w:r>
    </w:p>
    <w:p>
      <w:pPr>
        <w:pStyle w:val="SourceNote"/>
      </w:pPr>
      <w:r>
        <w:rPr>
          <w:b/>
        </w:rPr>
        <w:t>Available abstract (not full text):</w:t>
      </w:r>
      <w:r>
        <w:t xml:space="preserve">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pPr/>
      <w:r>
        <w:rPr>
          <w:b/>
        </w:rPr>
        <w:t>POSSIBLE 2025:</w:t>
      </w:r>
      <w:r>
        <w:t xml:space="preserve"> The de-politicisation of decarbonisation through climate rent: a Marxist critique of the EU emissions trading system — https://doi.org/10.1017/elo.2024.41</w:t>
      </w:r>
    </w:p>
    <w:p>
      <w:pPr/>
      <w:r>
        <w:rPr>
          <w:b/>
        </w:rPr>
        <w:t>Shared claim-specific concepts:</w:t>
      </w:r>
      <w:r>
        <w:t xml:space="preserve"> two, decarbonisation; EU scope visible. This is a provisional connection, not an outcome finding.</w:t>
      </w:r>
    </w:p>
    <w:p>
      <w:pPr>
        <w:pStyle w:val="SourceNote"/>
      </w:pPr>
      <w:r>
        <w:rPr>
          <w:b/>
        </w:rPr>
        <w:t>Available abstract (not full text):</w:t>
      </w:r>
      <w:r>
        <w:t xml:space="preserve">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pPr/>
      <w:r>
        <w:rPr>
          <w:b/>
        </w:rPr>
        <w:t>POSSIBLE 2025:</w:t>
      </w:r>
      <w:r>
        <w:t xml:space="preserve"> Discourse vs. Decarbonisation: Tracking the Alignment Between EU Climate Rhetoric and National Energy Patterns — https://doi.org/10.3390/en18195304</w:t>
      </w:r>
    </w:p>
    <w:p>
      <w:pPr/>
      <w:r>
        <w:rPr>
          <w:b/>
        </w:rPr>
        <w:t>Shared claim-specific concepts:</w:t>
      </w:r>
      <w:r>
        <w:t xml:space="preserve"> decarbonisation, key, show, energy; EU scope visible. This is a provisional connection, not an outcome finding.</w:t>
      </w:r>
    </w:p>
    <w:p>
      <w:pPr>
        <w:pStyle w:val="SourceNote"/>
      </w:pPr>
      <w:r>
        <w:rPr>
          <w:b/>
        </w:rPr>
        <w:t>Available abstract (not full text):</w:t>
      </w:r>
      <w:r>
        <w:t xml:space="preserve">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pPr/>
      <w:r>
        <w:rPr>
          <w:b/>
        </w:rPr>
        <w:t>POSSIBLE 2024:</w:t>
      </w:r>
      <w:r>
        <w:t xml:space="preserve"> Decarbonisation scenarios for the European residential sector — https://doi.org/10.1016/j.buildenv.2024.112408</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pPr/>
      <w:r>
        <w:rPr>
          <w:b/>
        </w:rPr>
        <w:t>POSSIBLE 2024:</w:t>
      </w:r>
      <w:r>
        <w:t xml:space="preserve"> Tourism territories: challenges for decarbonisation — https://doi.org/10.4067/s0718-235x2024000200192</w:t>
      </w:r>
    </w:p>
    <w:p>
      <w:pPr/>
      <w:r>
        <w:rPr>
          <w:b/>
        </w:rPr>
        <w:t>Shared claim-specific concepts:</w:t>
      </w:r>
      <w:r>
        <w:t xml:space="preserve"> decarbonisation, commitment, show, energy; EU scope not established. This is a provisional connection, not an outcome finding.</w:t>
      </w:r>
    </w:p>
    <w:p>
      <w:pPr>
        <w:pStyle w:val="SourceNote"/>
      </w:pPr>
      <w:r>
        <w:rPr>
          <w:b/>
        </w:rPr>
        <w:t>Available abstract (not full text):</w:t>
      </w:r>
      <w:r>
        <w:t xml:space="preserve"> This paper aims to analyse the energy challenges faced by tourism territories in a critical climate scenario.The methodology is based on consulting secondary information sources from government reports, regulatory frameworks, and specialized bibliography.The results show that the main challenges for decarbonization are linked to the continued growth of tourism, the institutionalization of interests, policy formulation, difficulty in introducing improvements and radical changes, a focus on technologies, and the dissemination of scientific and institutional knowledge.Thus, it is concluded that current tourism appropriation is incompatible with global climate objectives, and to overcome the six challenges outlined above, a commitment from all stakeholders is needed.In addition, each territory presents different challenges to achieve this, as these transition processes involve different factors (economic, political, social, cultural, technological, and environmental) that affect each other and involve multiple actors with different interests, logics, and power capacities.</w:t>
      </w:r>
    </w:p>
    <w:p>
      <w:pPr/>
      <w:r>
        <w:rPr>
          <w:b/>
        </w:rPr>
        <w:t>POSSIBLE 2023:</w:t>
      </w:r>
      <w:r>
        <w:t xml:space="preserve"> Decarbonisation strategies in industry: going beyond clusters — https://doi.org/10.1007/s11625-023-01313-4</w:t>
      </w:r>
    </w:p>
    <w:p>
      <w:pPr/>
      <w:r>
        <w:rPr>
          <w:b/>
        </w:rPr>
        <w:t>Shared claim-specific concepts:</w:t>
      </w:r>
      <w:r>
        <w:t xml:space="preserve"> decarbonisation, findings, energy, carbon; EU scope not established. This is a provisional connection, not an outcome finding.</w:t>
      </w:r>
    </w:p>
    <w:p>
      <w:pPr>
        <w:pStyle w:val="SourceNote"/>
      </w:pPr>
      <w:r>
        <w:rPr>
          <w:b/>
        </w:rPr>
        <w:t>Available abstract (not full text):</w:t>
      </w:r>
      <w:r>
        <w:t xml:space="preserve"> Abstract An effective and just industrial transition is necessary both to mitigate climate change and protect jobs, and as a precursor to enable other sectors to decarbonise. Activity is at an early stage and examples of successful sector-wide interventions to decarbonise industry do not yet exist. Governments of industrialised countries are beginning to develop policy and provide funding to support deployment of carbon capture and low-carbon hydrogen infrastructures into high-emitting industrial clusters, but options for sites outside of clusters, denoted here as ‘dispersed sites’, are also required. This paper takes a mixed methods approach to provide the first analysis of the issues facing dispersed industrial sites on their route to decarbonisation and to suggest solutions to the challenges they face. Using the UK as a case study, it first characterises dispersed sites in terms of location, emissions released, sectors involved, and size of companies affected. It then shows how these features mean that simply expanding the geographical scope of the present UK decarbonisation strategy, which focuses on the provision of carbon capture and low-carbon hydrogen, would face a number of challenges and so will need to be broadened to include a wider range of abatement options and other considerations to meet the needs of dispersed sites. While the solutions for each place will be di</w:t>
      </w:r>
    </w:p>
    <w:p>
      <w:pPr/>
      <w:r>
        <w:rPr>
          <w:b/>
        </w:rPr>
        <w:t>POSSIBLE 2023:</w:t>
      </w:r>
      <w:r>
        <w:t xml:space="preserve"> Reinforcing the Paris Agreement: Ambitious scenarios for the decarbonisation of the Central Asian and Caspian region — https://doi.org/10.1016/j.rset.2023.100048</w:t>
      </w:r>
    </w:p>
    <w:p>
      <w:pPr/>
      <w:r>
        <w:rPr>
          <w:b/>
        </w:rPr>
        <w:t>Shared claim-specific concepts:</w:t>
      </w:r>
      <w:r>
        <w:t xml:space="preserve"> decarbonisation, show, energy, carbon; EU scope visible. This is a provisional connection, not an outcome finding.</w:t>
      </w:r>
    </w:p>
    <w:p>
      <w:pPr>
        <w:pStyle w:val="SourceNote"/>
      </w:pPr>
      <w:r>
        <w:rPr>
          <w:b/>
        </w:rPr>
        <w:t>Available abstract (not full text):</w:t>
      </w:r>
      <w:r>
        <w:t xml:space="preserve"> For its abundance of fossil resources, the Central Asia and Caspian region plays a crucial role in the energy security of major markets, such as Europe and China. However, this dependence on export added to a firm reliance on fossil fuels also for internal consumption represents a significant challenge for the decarbonisation of the region. In the frame of the Horizon 2020 “PARIS REINFORCE” project, in this paper Authors develop an energy scenario analysis of four major countries located in the region (Azerbaijan, Kazakhstan, Uzbekistan and Turkmenistan), aiming to investigate how ambitious the current regional decarbonisation targets are in the view of the Paris Agreement. A common net-zero emission pathway is also developed to reinforce the regional climate ambition in the long term. As a novelty in the literature, the scenario analysis is co-designed with regional stakeholders through an engagement process that the Authors have carried out from December 2020 to May 2021. The numerical analysis is performed with the support of the TIMES-CAC model, an energy system model dedicated to the Central Asian and Caspian regions and developed by E4SMA. Results show that current regional energy policies are insufficient for achieving ambitious climate targets in the long term. The region should start implementing a rigorous energy planning process today to undergo a radical and rapid e</w:t>
      </w:r>
    </w:p>
    <w:p>
      <w:pPr>
        <w:pStyle w:val="Heading2"/>
      </w:pPr>
      <w:r>
        <w:t>627.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2022:</w:t>
      </w:r>
      <w:r>
        <w:t xml:space="preserve"> The effectiveness of the sports management system in Europe: High achievements, public funding and a healthy lifestyle — https://doi.org/10.14254/2071-789x.2022/15-4/13</w:t>
      </w:r>
    </w:p>
    <w:p>
      <w:pPr/>
      <w:r>
        <w:rPr>
          <w:b/>
        </w:rPr>
        <w:t>Shared claim-specific concepts:</w:t>
      </w:r>
      <w:r>
        <w:t xml:space="preserve"> three, approach, engaged; EU scope visible. This is a provisional connection, not an outcome finding.</w:t>
      </w:r>
    </w:p>
    <w:p>
      <w:pPr>
        <w:pStyle w:val="SourceNote"/>
      </w:pPr>
      <w:r>
        <w:rPr>
          <w:b/>
        </w:rPr>
        <w:t>Available abstract (not full text):</w:t>
      </w:r>
      <w:r>
        <w:t xml:space="preserve">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pPr/>
      <w:r>
        <w:rPr>
          <w:b/>
        </w:rPr>
        <w:t>POSSIBLE 2022:</w:t>
      </w:r>
      <w:r>
        <w:t xml:space="preserve"> Collaborative development of composite indices from qualitative value judgements: The EURO-HEALTHY Population Health Index model — https://doi.org/10.1016/j.ejor.2022.05.037</w:t>
      </w:r>
    </w:p>
    <w:p>
      <w:pPr/>
      <w:r>
        <w:rPr>
          <w:b/>
        </w:rPr>
        <w:t>Shared claim-specific concepts:</w:t>
      </w:r>
      <w:r>
        <w:t xml:space="preserve"> euro-healthy, project, developed, key, inequalities, across; EU scope visible. This is a provisional connection, not an outcome finding.</w:t>
      </w:r>
    </w:p>
    <w:p>
      <w:pPr>
        <w:pStyle w:val="SourceNote"/>
      </w:pPr>
      <w:r>
        <w:rPr>
          <w:b/>
        </w:rPr>
        <w:t>Available abstract (not full text):</w:t>
      </w:r>
      <w:r>
        <w:t xml:space="preserve">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pPr/>
      <w:r>
        <w:rPr>
          <w:b/>
        </w:rPr>
        <w:t>POSSIBLE 2022:</w:t>
      </w:r>
      <w:r>
        <w:t xml:space="preserve"> (Healthy) Aging Patterns in Europe: A Multistate Health Transition Approach — https://doi.org/10.1007/s12062-022-09403-4</w:t>
      </w:r>
    </w:p>
    <w:p>
      <w:pPr/>
      <w:r>
        <w:rPr>
          <w:b/>
        </w:rPr>
        <w:t>Shared claim-specific concepts:</w:t>
      </w:r>
      <w:r>
        <w:t xml:space="preserve"> factors, across, approach; EU scope visible. This is a provisional connection, not an outcome finding.</w:t>
      </w:r>
    </w:p>
    <w:p>
      <w:pPr>
        <w:pStyle w:val="SourceNote"/>
      </w:pPr>
      <w:r>
        <w:rPr>
          <w:b/>
        </w:rPr>
        <w:t>Available abstract (not full text):</w:t>
      </w:r>
      <w:r>
        <w:t xml:space="preserve">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pPr/>
      <w:r>
        <w:rPr>
          <w:b/>
        </w:rPr>
        <w:t>POSSIBLE 2021:</w:t>
      </w:r>
      <w:r>
        <w:t xml:space="preserve"> PeRsOnalised nutriTion for hEalthy livINg: The PROTEIN project — https://doi.org/10.1111/nbu.12482</w:t>
      </w:r>
    </w:p>
    <w:p>
      <w:pPr/>
      <w:r>
        <w:rPr>
          <w:b/>
        </w:rPr>
        <w:t>Shared claim-specific concepts:</w:t>
      </w:r>
      <w:r>
        <w:t xml:space="preserve"> project, funded, developed, approach; EU scope visible. This is a provisional connection, not an outcome finding.</w:t>
      </w:r>
    </w:p>
    <w:p>
      <w:pPr>
        <w:pStyle w:val="SourceNote"/>
      </w:pPr>
      <w:r>
        <w:rPr>
          <w:b/>
        </w:rPr>
        <w:t>Available abstract (not full text):</w:t>
      </w:r>
      <w:r>
        <w:t xml:space="preserve"> Abstract Personalised nutrition is a novel public health strategy aiming to promote positive diet and lifestyle changes. Tailored dietary and physical activity advice may be more appropriate than a generalised ‘one‐size‐fits‐all’ approach as it is more biologically relevant to the individual. Information and computing technology, smartphones and mobile applications have become an integral part of modern life and thereby present the opportunity for novel methods to encourage individuals to lead a healthier lifestyle. This article introduces the European Union‐funded PROTEIN project (PeRsOnalised nutriTion for hEalthy livINg) consortium and introduces the associated work packages. The primary objective of the PROTEIN project is to produce a novel adaptable mobile application suite based on sound nutrition and physical activity advice from experts in their field, accessible to all population groups, with differing health outcomes, whose behaviour can be tracked with a variety of sensors and health hazard perception. The mobile application ‘ecosystem’ that will be developed by the consortium includes a platform, mobile suite, cloud services, artificial intelligence advisor, game suite, modelling of expert’s knowledge, users’ behaviour data collection, data analysis and a dashboard for healthcare professionals. It is proposed that users will find the provision of personalised nutrit</w:t>
      </w:r>
    </w:p>
    <w:p>
      <w:pPr/>
      <w:r>
        <w:rPr>
          <w:b/>
        </w:rPr>
        <w:t>POSSIBLE 2021:</w:t>
      </w:r>
      <w:r>
        <w:t xml:space="preserve"> Citizen preferences regarding the public funding of projects promoting a healthy body weight among people with a low income — https://doi.org/10.1016/j.socscimed.2021.114015</w:t>
      </w:r>
    </w:p>
    <w:p>
      <w:pPr/>
      <w:r>
        <w:rPr>
          <w:b/>
        </w:rPr>
        <w:t>Shared claim-specific concepts:</w:t>
      </w:r>
      <w:r>
        <w:t xml:space="preserve"> project, funded, three; EU scope not established. This is a provisional connection, not an outcome finding.</w:t>
      </w:r>
    </w:p>
    <w:p>
      <w:pPr>
        <w:pStyle w:val="SourceNote"/>
      </w:pPr>
      <w:r>
        <w:rPr>
          <w:b/>
        </w:rPr>
        <w:t>Available abstract (not full text):</w:t>
      </w:r>
      <w:r>
        <w:t xml:space="preserve"> Overweight and obesity are a growing problem, especially among people with a low income. Policymakers aspire to alleviate this problem by implementing publicly funded projects. This study has three aims: 1) to explore citizen preferences regarding the public funding of projects promoting a healthy body weight among people with a low income, 2) to identify whether such preferences differ between citizens with a low income and those with a higher income, and 3) to identify the reasons underlying these preferences. We conducted a Participatory Value Evaluation (PVE) among 1053 Dutch citizens to achieve these aims. In an online choice experiment, respondents were asked to advise on the implementation of eight different projects that encourage a healthy body weight among citizens with a low income, with a total resource constraint of 100,000 euros. The projects were 1) lifestyle coaching including sports, 2) lifestyle coaching without sports, 3) local sports coach, 4) fruit and vegetable boxes, 5) bariatric surgery, 6) improving the living environment, 7) courses on healthy lifestyles, and 8) sports vouchers. We used the "Multiple Discrete-Continuous Extreme Value" model to estimate the preferences of respondents towards these eight projects. Fruit and vegetable boxes and sports vouchers were the most popular projects, while bariatric surgery was least popular. Respondents with a lo</w:t>
      </w:r>
    </w:p>
    <w:p>
      <w:pPr>
        <w:pStyle w:val="Heading2"/>
      </w:pPr>
      <w:r>
        <w:t>628.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2022:</w:t>
      </w:r>
      <w:r>
        <w:t xml:space="preserve"> The Regional Development Trap in Europe — https://doi.org/10.1080/00130095.2022.2080655</w:t>
      </w:r>
    </w:p>
    <w:p>
      <w:pPr/>
      <w:r>
        <w:rPr>
          <w:b/>
        </w:rPr>
        <w:t>Shared claim-specific concepts:</w:t>
      </w:r>
      <w:r>
        <w:t xml:space="preserve"> identify, regional;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Nature-Based Solutions in Urban Areas: A European Analysis — https://doi.org/10.3390/app13010168</w:t>
      </w:r>
    </w:p>
    <w:p>
      <w:pPr/>
      <w:r>
        <w:rPr>
          <w:b/>
        </w:rPr>
        <w:t>Shared claim-specific concepts:</w:t>
      </w:r>
      <w:r>
        <w:t xml:space="preserve"> therefore, purpose, identify, within;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r>
        <w:rPr>
          <w:b/>
        </w:rPr>
        <w:t>POSSIBLE 2022:</w:t>
      </w:r>
      <w:r>
        <w:t xml:space="preserve"> Soil Governance in current European Union Law and in the European Green Deal — https://doi.org/10.1016/j.soisec.2022.100053</w:t>
      </w:r>
    </w:p>
    <w:p>
      <w:pPr/>
      <w:r>
        <w:rPr>
          <w:b/>
        </w:rPr>
        <w:t>Shared claim-specific concepts:</w:t>
      </w:r>
      <w:r>
        <w:t xml:space="preserve"> therefore, purpose, set; EU scope visible. This is a provisional connection, not an outcome finding.</w:t>
      </w:r>
    </w:p>
    <w:p>
      <w:pPr>
        <w:pStyle w:val="SourceNote"/>
      </w:pPr>
      <w:r>
        <w:rPr>
          <w:b/>
        </w:rPr>
        <w:t>Available abstract (not full text):</w:t>
      </w:r>
      <w:r>
        <w:t xml:space="preserve">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pPr/>
      <w:r>
        <w:rPr>
          <w:b/>
        </w:rPr>
        <w:t>POSSIBLE 2021:</w:t>
      </w:r>
      <w:r>
        <w:t xml:space="preserve"> The Reinvention of Development Banking in the European Union — https://doi.org/10.1093/oso/9780198859703.001.0001</w:t>
      </w:r>
    </w:p>
    <w:p>
      <w:pPr/>
      <w:r>
        <w:rPr>
          <w:b/>
        </w:rPr>
        <w:t>Shared claim-specific concepts:</w:t>
      </w:r>
      <w:r>
        <w:t xml:space="preserve"> therefore, identify, within; EU scope visible. This is a provisional connection, not an outcome finding.</w:t>
      </w:r>
    </w:p>
    <w:p>
      <w:pPr>
        <w:pStyle w:val="SourceNote"/>
      </w:pPr>
      <w:r>
        <w:rPr>
          <w:b/>
        </w:rPr>
        <w:t>Available abstract (not full text):</w:t>
      </w:r>
      <w:r>
        <w:t xml:space="preserve"> National development banks (NDBs) have transformed from outdated relics of national industrial policy to central pillars of the European Union’s economic project. This trend, which accelerated after the Financial Crisis of 2007, has led to a proliferation of NDBs with an expanded size and scope. However, it is surprising that the EU—which has championed market-oriented governance and strict competition policy—has actually advocated an expansion of NDBs. This book therefore asks, why has the EU supported an increased role for NDBs, and how can we understand the dynamics between NDBs and European incentives and constraints? In order to answer these questions, this book analyzes the formation and evolution of a field of development banking within the EU. We identify a new field around an innovative conceptualization of state-backed financing for the purposes of policy implementation. However, rather than focusing solely on national development banks, we instead broaden the focus to the entire ecosystem of the field of development banking, which includes political institutions (both in Brussels and in the Member States), financing vehicles (such as the Juncker Plan), regulatory bodies (DG Competition, DG ECFIN), and commercial actors. Seven in-depth case studies on European NDBs, along with three chapters on European-level actors, detail this field of development banking, and answe</w:t>
      </w:r>
    </w:p>
    <w:p>
      <w:pPr/>
      <w:r>
        <w:rPr>
          <w:b/>
        </w:rPr>
        <w:t>POSSIBLE 2021:</w:t>
      </w:r>
      <w:r>
        <w:t xml:space="preserve"> Implication of multi drought definitions to identify streamflow drought across Europe — https://doi.org/10.5194/egusphere-egu21-4063</w:t>
      </w:r>
    </w:p>
    <w:p>
      <w:pPr/>
      <w:r>
        <w:rPr>
          <w:b/>
        </w:rPr>
        <w:t>Shared claim-specific concepts:</w:t>
      </w:r>
      <w:r>
        <w:t xml:space="preserve"> therefore, identify, within, region; EU scope visible. This is a provisional connection, not an outcome finding.</w:t>
      </w:r>
    </w:p>
    <w:p>
      <w:pPr>
        <w:pStyle w:val="SourceNote"/>
      </w:pPr>
      <w:r>
        <w:rPr>
          <w:b/>
        </w:rPr>
        <w:t>Available abstract (not full text):</w:t>
      </w:r>
      <w:r>
        <w:t xml:space="preserve"> Several approaches to identify hydrological drought exist, which result in differences in drought frequency, timing, duration, and deficit volume (drought characteristics) using the same hydrometeorological data as input. This has created confusion within the hydro-meteorological community, as well as in operational water management services on the difference in drought characteristics obtained with the different approaches. The aim of this study, therefore, is to provide a comprehensive overview of the differences of hydrological drought, i.e. streamflow drought, using different identification approaches for the pan-European river network (&gt;10,000 river grid cells). Time series of daily streamflow data were obtained from the LISFLOOD hydrological model forced with gridded meteorological observations from 1990 to 2018. Streamflow droughts were detected using the daily and monthly Variable Threshold methods (VTD and VTM), daily and monthly Fixed Threshold methods (FTD and FTM), and the Standardized Streamflow Index with 1-month accumulation period (SSI-1). For the threshold methods the Q80 (flow that is equaled or exceeded 80 percent of the time) is applied, whereas for the SSI a threshold of about -1 is used. We applied a centered 30-day moving average (30DMA) smoothing technique to the daily flow data to reduce the number of minor droughts. This is the first study that compare</w:t>
      </w:r>
    </w:p>
    <w:p>
      <w:pPr>
        <w:pStyle w:val="Heading2"/>
      </w:pPr>
      <w:r>
        <w:t>629.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630.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Carbon Peaking and Neutrality Pathways for Beijing’s Power Sector — https://doi.org/10.54097/hset.v50i.8464</w:t>
      </w:r>
    </w:p>
    <w:p>
      <w:pPr/>
      <w:r>
        <w:rPr>
          <w:b/>
        </w:rPr>
        <w:t>Shared claim-specific concepts:</w:t>
      </w:r>
      <w:r>
        <w:t xml:space="preserve"> pathways, power, sector, potential, electricity, transport; EU scope not established. This is a provisional connection, not an outcome finding.</w:t>
      </w:r>
    </w:p>
    <w:p>
      <w:pPr>
        <w:pStyle w:val="SourceNote"/>
      </w:pPr>
      <w:r>
        <w:rPr>
          <w:b/>
        </w:rPr>
        <w:t>Available abstract (not full text):</w:t>
      </w:r>
      <w:r>
        <w:t xml:space="preserve">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pPr/>
      <w:r>
        <w:rPr>
          <w:b/>
        </w:rPr>
        <w:t>POSSIBLE 2022:</w:t>
      </w:r>
      <w:r>
        <w:t xml:space="preserve"> Volumetric treatment of uterine fibroids using ultrasound-guided, power- and pathway-controlled, pulsed-type high-intensity focused ultrasound — https://doi.org/10.25289/ml.2022.11.3.148</w:t>
      </w:r>
    </w:p>
    <w:p>
      <w:pPr/>
      <w:r>
        <w:rPr>
          <w:b/>
        </w:rPr>
        <w:t>Shared claim-specific concepts:</w:t>
      </w:r>
      <w:r>
        <w:t xml:space="preserve"> pathways, power, including; EU scope not established. This is a provisional connection, not an outcome finding.</w:t>
      </w:r>
    </w:p>
    <w:p>
      <w:pPr>
        <w:pStyle w:val="SourceNote"/>
      </w:pPr>
      <w:r>
        <w:rPr>
          <w:b/>
        </w:rPr>
        <w:t>Available abstract (not full text):</w:t>
      </w:r>
      <w:r>
        <w:t xml:space="preserve"> Lasers 148Volumetric treatment of uterine fibroids using ultrasound-guided, power-and pathway-controlled, pulsed-type high-intensity focused ultrasound Background and Objectives Non-invasive high-intensity focused ultrasound (HIFU) treatments are used widely to relieve uterine fibroid (UF)-related symptoms without general anesthesia and long hospitalization.This study evaluated the effectiveness and safety of power, pathway-controlled, cumulative, pulsed-type HIFU treatments for symptomatic UF lesions. Materials and MethodsA total of 633 UF lesions in 300 patients were treated with a single HIFU session.Reductions in the UF size and volume were evaluated at 1, 3, 6, and 12 months after the HIFU treatments. ResultsHypoenhancing ultrasonographic findings were obtained by treating UF lesions with HIFU at an average HIFU power of 389.1 ± 81.6 W, an energy/ therapeutic point of 49.5 ± 2.6 J/pulse, a total of 2.8 ± 1.1 therapeutic pathways, and a total sonication energy of 28,016.4± 10,622.2J.The volume of the overall UFs decreased significantly to 72.1% of their original volume during the 12-month follow-up.Among four different UF size groups, significant differences were found in the final HIFU settings, including power, total number of therapeutic pathways, total sonication energy, and sonication time, but not energy/therapeutic point.Linear mixed model analysis revealed significa</w:t>
      </w:r>
    </w:p>
    <w:p>
      <w:pPr/>
      <w:r>
        <w:rPr>
          <w:b/>
        </w:rPr>
        <w:t>POSSIBLE 2022:</w:t>
      </w:r>
      <w:r>
        <w:t xml:space="preserve"> Incentive structures for power-to-X and e-fuel pathways for transport in EU and member states — https://doi.org/10.1016/j.enpol.2022.113121</w:t>
      </w:r>
    </w:p>
    <w:p>
      <w:pPr/>
      <w:r>
        <w:rPr>
          <w:b/>
        </w:rPr>
        <w:t>Shared claim-specific concepts:</w:t>
      </w:r>
      <w:r>
        <w:t xml:space="preserve"> pathways, sector, potential, increasing, transport; EU scope visible. This is a provisional connection, not an outcome finding.</w:t>
      </w:r>
    </w:p>
    <w:p>
      <w:pPr>
        <w:pStyle w:val="SourceNote"/>
      </w:pPr>
      <w:r>
        <w:rPr>
          <w:b/>
        </w:rPr>
        <w:t>Available abstract (not full text):</w:t>
      </w:r>
      <w:r>
        <w:t xml:space="preserve"> Though Power-to-X pathways, primarily Power-to-Liquids, attract interest as solutions for decarbonising parts of the transport sector that are not suitable for electrification, the regulatory framework until recently slowed down their implementation. This paper examines the updates in the main aspects of the legal framework in the European Union from 2019 to the beginning of 2022 related to Power-to-X: support schemes, specific targets, and potential barriers. The results show increasing interest and market entrance of electrolysis and push from the different actors and regulatory parties to establish solutions that will enable faster upscaling. However, it is visible from the National Energy and Climate Plans and hydrogen strategies that the most emphasis is still on hydrogen as an end fuel for personal vehicles or power-to-gas. On the other hand, few countries have implemented legal frameworks facilitating diverse PtX pathways without focusing solely on hydrogen. Nevertheless, revisions of RED II have finally set up specific targets for electrofuels and Fit for 55 has introduced new actions supporting electrofuels in aviation and marine transport.</w:t>
      </w:r>
    </w:p>
    <w:p>
      <w:pPr/>
      <w:r>
        <w:rPr>
          <w:b/>
        </w:rPr>
        <w:t>POSSIBLE 2022:</w:t>
      </w:r>
      <w:r>
        <w:t xml:space="preserve"> PaLM: Scaling Language Modeling with Pathways — https://doi.org/10.48550/arxiv.2204.02311</w:t>
      </w:r>
    </w:p>
    <w:p>
      <w:pPr/>
      <w:r>
        <w:rPr>
          <w:b/>
        </w:rPr>
        <w:t>Shared claim-specific concepts:</w:t>
      </w:r>
      <w:r>
        <w:t xml:space="preserve"> pathways, potential, performance;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2022:</w:t>
      </w:r>
      <w:r>
        <w:t xml:space="preserve"> Pathways to net zero emissions for the Indian power sector — https://doi.org/10.1016/j.esr.2022.101042</w:t>
      </w:r>
    </w:p>
    <w:p>
      <w:pPr/>
      <w:r>
        <w:rPr>
          <w:b/>
        </w:rPr>
        <w:t>Shared claim-specific concepts:</w:t>
      </w:r>
      <w:r>
        <w:t xml:space="preserve"> pathways, power, sector, electricity, three; EU scope not established. This is a provisional connection, not an outcome finding.</w:t>
      </w:r>
    </w:p>
    <w:p>
      <w:pPr>
        <w:pStyle w:val="SourceNote"/>
      </w:pPr>
      <w:r>
        <w:rPr>
          <w:b/>
        </w:rPr>
        <w:t>Available abstract (not full text):</w:t>
      </w:r>
      <w:r>
        <w:t xml:space="preserve"> At COP26, India has committed to achieve net zero emissions by 2070. For economy wide net zero, the power system should be first to attain it. This paper explores the role of different technologies, CO2 capture and storage (CCS), nuclear, solar PV and thermal, battery storage, pumped storage, hydro etc. along with energy efficiency in doing so by different target years, 2050 and 2060 and their economic implications. With more intermittent renewables, the issue of balancing hourly demand-supply of both energy and power becomes critical for ensuring the feasibility of a pathway. Hourly availability of different renewable technologies is considered along with hourly variations in electricity demand. Three scenarios are analysed, Business-as-Usual (BAU) scenario assumes current policies to continue, and two Net Zero (NZ) scenarios to achieve net zero emissions by 2050 and 2060. Solar PV, wind onshore and offshore, battery storage are the dominant technologies in achieving net zero emissions. Solar and wind together contribute 85% and 90% of the total generation capacity in 2050 and 2060, respectively. Dispatchable technologies like Coal plant with CCS and nuclear are also important. Results specify Battery with storage hour specifications (1 h, 2 h etc.), so one can plan storage in details. Decarbonisation has significant additional cost and investment requirement over the Business</w:t>
      </w:r>
    </w:p>
    <w:p>
      <w:pPr/>
      <w:r>
        <w:rPr>
          <w:b/>
        </w:rPr>
        <w:t>POSSIBLE 2022:</w:t>
      </w:r>
      <w:r>
        <w:t xml:space="preserve"> Power generation expansion pathways: A policy analysis of the Cameroon power system — https://doi.org/10.1016/j.esr.2022.101004</w:t>
      </w:r>
    </w:p>
    <w:p>
      <w:pPr/>
      <w:r>
        <w:rPr>
          <w:b/>
        </w:rPr>
        <w:t>Shared claim-specific concepts:</w:t>
      </w:r>
      <w:r>
        <w:t xml:space="preserve"> pathways, power, sector, potential, electricity, three; EU scope not established. This is a provisional connection, not an outcome finding.</w:t>
      </w:r>
    </w:p>
    <w:p>
      <w:pPr>
        <w:pStyle w:val="SourceNote"/>
      </w:pPr>
      <w:r>
        <w:rPr>
          <w:b/>
        </w:rPr>
        <w:t>Available abstract (not full text):</w:t>
      </w:r>
      <w:r>
        <w:t xml:space="preserve"> The Cameroon electricity sector is currently plagued by inadequate generation capacity. The electricity supply deficit has had dire consequences on attaining the country's industrialization, socioeconomic and developmental objectives enshrined in her Vision 2035. However, there are sustainable solutions that minimizes the required new capacity planned by the government. This paper analyses the implications of these sustainable policies on the electricity generation system of Cameroon. An adaptation of the Schwartz's methodology and the Low Emissions Analysis Platform (LEAP), integrated with the Next Energy Modelling system for Optimization (NEMO) was used to develop least-costs scenarios of Cameroon from 2016 to 2045. These scenarios are based on the key factors that would influence the electricity supply/demand of Cameroon. In addition to the business-as-usual scenario which defines the least-cost pathway with no policy interventions, the three alternative scenario categories are: power losses, demand side energy efficiency measures and carbon dioxide emission targets. Results show the alternative scenarios have significant benefits in avoided installed capacity, financial savings and avoided greenhouse gas emissions. This is emphasized by capacity savings of up to 44%, translating to possible economic benefits of up to 25% depending on government's commitment to reducing powe</w:t>
      </w:r>
    </w:p>
    <w:p>
      <w:pPr/>
      <w:r>
        <w:rPr>
          <w:b/>
        </w:rPr>
        <w:t>POSSIBLE 2021:</w:t>
      </w:r>
      <w:r>
        <w:t xml:space="preserve"> Decarbonization pathways for the power sector in Sumatra, Indonesia — https://doi.org/10.1016/j.rser.2021.111507</w:t>
      </w:r>
    </w:p>
    <w:p>
      <w:pPr/>
      <w:r>
        <w:rPr>
          <w:b/>
        </w:rPr>
        <w:t>Shared claim-specific concepts:</w:t>
      </w:r>
      <w:r>
        <w:t xml:space="preserve"> pathways, focus, power, sector, use, electricity; EU scope not established. This is a provisional connection, not an outcome finding.</w:t>
      </w:r>
    </w:p>
    <w:p>
      <w:pPr>
        <w:pStyle w:val="SourceNote"/>
      </w:pPr>
      <w:r>
        <w:rPr>
          <w:b/>
        </w:rPr>
        <w:t>Available abstract (not full text):</w:t>
      </w:r>
      <w:r>
        <w:t xml:space="preserve"> The Indonesian power sector faces the combined challenge to (i) satisfy growing electricity demand at an affordable cost and (ii) comply with the decarbonization targets committed under the Paris Agreement. In this study, we investigate cost-optimal pathways for the development of the power sector in line with climate targets. We used the Low Emissions Analysis Platform (LEAP) software tool to build a power-system expansion model for Sumatra and simulated four scenarios representing a business as usual development, the current development plans, and two mitigation pathways in line with the national climate targets. Particular focus is put on bioenergy, an energy source that has been often overlooked in previous studies and plans. The results show that, although the national plans consider mitigation actions, they do not reduce coal dependency. Besides, current development plans are not cost-effective and have high marginal abatement costs for emissions reduction. The two mitigation scenarios achieve better environmental results at lower system costs. Our results show that bioenergy deployment can contribute significantly to achieving the greenhouse gas (GHG) targets of 19% and 24% pledged by the Indonesian government. More efficient use of modern renewables and natural gas can reduce Sumatra's dependence on coal resources.</w:t>
      </w:r>
    </w:p>
    <w:p>
      <w:pPr>
        <w:pStyle w:val="Heading2"/>
      </w:pPr>
      <w:r>
        <w:t>631.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2023:</w:t>
      </w:r>
      <w:r>
        <w:t xml:space="preserve"> Preparing for Our Futures — https://doi.org/10.1093/med-psych/9780197609286.003.0015</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pPr/>
      <w:r>
        <w:rPr>
          <w:b/>
        </w:rPr>
        <w:t>POSSIBLE 2023:</w:t>
      </w:r>
      <w:r>
        <w:t xml:space="preserve"> Preparing for Our Futures — https://doi.org/10.1093/med-psych/9780197609286.003.0047</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pPr/>
      <w:r>
        <w:rPr>
          <w:b/>
        </w:rPr>
        <w:t>POSSIBLE 2023:</w:t>
      </w:r>
      <w:r>
        <w:t xml:space="preserve"> Big data can help prepare nurses and improve patient outcomes by improving quality, safety, and outcomes — https://doi.org/10.2478/fon-2023-0026</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pPr/>
      <w:r>
        <w:rPr>
          <w:b/>
        </w:rPr>
        <w:t>POSSIBLE 2023:</w:t>
      </w:r>
      <w:r>
        <w:t xml:space="preserve"> Comparing scientific abstracts generated by ChatGPT to real abstracts with detectors and blinded human reviewers — https://doi.org/10.1038/s41746-023-00819-6</w:t>
      </w:r>
    </w:p>
    <w:p>
      <w:pPr/>
      <w:r>
        <w:rPr>
          <w:b/>
        </w:rPr>
        <w:t>Shared claim-specific concepts:</w:t>
      </w:r>
      <w:r>
        <w:t xml:space="preserve"> abstract, help, often, high, low; EU scope not established. This is a provisional connection, not an outcome finding.</w:t>
      </w:r>
    </w:p>
    <w:p>
      <w:pPr>
        <w:pStyle w:val="SourceNote"/>
      </w:pPr>
      <w:r>
        <w:rPr>
          <w:b/>
        </w:rPr>
        <w:t>Available abstract (not full text):</w:t>
      </w:r>
      <w:r>
        <w:t xml:space="preserve"> Abstract Background Large language models such as ChatGPT can produce increasingly realistic text, with unknown information on the accuracy and integrity of using these models in scientific writing. Methods We gathered ten research abstracts from five high impact factor medical journals (n=50) and asked ChatGPT to generate research abstracts based on their titles and journals. We evaluated the abstracts using an artificial intelligence (AI) output detector, plagiarism detector, and had blinded human reviewers try to distinguish whether abstracts were original or generated. Results All ChatGPT-generated abstracts were written clearly but only 8% correctly followed the specific journal’s formatting requirements. Most generated abstracts were detected using the AI output detector, with scores (higher meaning more likely to be generated) of median [interquartile range] of 99.98% [12.73, 99.98] compared with very low probability of AI-generated output in the original abstracts of 0.02% [0.02, 0.09]. The AUROC of the AI output detector was 0.94. Generated abstracts scored very high on originality using the plagiarism detector (100% [100, 100] originality). Generated abstracts had a similar patient cohort size as original abstracts, though the exact numbers were fabricated. When given a mixture of original and general abstracts, blinded human reviewers correctly identified 68% of gene</w:t>
      </w:r>
    </w:p>
    <w:p>
      <w:pPr/>
      <w:r>
        <w:rPr>
          <w:b/>
        </w:rPr>
        <w:t>POSSIBLE 2023:</w:t>
      </w:r>
      <w:r>
        <w:t xml:space="preserve"> Deciding for resilience: Utilizing water infrastructure investments to prepare for the future — https://doi.org/10.1002/wat2.1661</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Governments are increasingly faced with climate change realities and have also committed themselves to international agreements with objectives to tackle long‐term problems such as becoming climate neutral by 2050. Governments, therefore, will need to carefully consider how to contribute to combatting climate change, when investing in their water infrastructure that is reaching an end‐of‐lifetime due to technical aging or changing functional requirements. Such investments offer crucial windows of opportunity to create more resilient water systems, because large budgets are involved and lifespans of infrastructure are long and co‐determine possible futures. Based on a literature review, this article develops key ways of how infrastructure operators could adopt a long‐term perspective and choose water management strategies that increase absorptive, adaptive, and transformative capacities. With these perspectives and strategies, this article sets out a basis to help governments prepare for the future when they invest in water infrastructure. This article is categorized under: Human Water &gt; Water Governance Science of Water &gt; Water and Environmental Change Engineering Water &gt; Planning Water</w:t>
      </w:r>
    </w:p>
    <w:p>
      <w:pPr/>
      <w:r>
        <w:rPr>
          <w:b/>
        </w:rPr>
        <w:t>POSSIBLE 2021:</w:t>
      </w:r>
      <w:r>
        <w:t xml:space="preserve"> 12 A qualitative study of factors that helped prepare athletes for Special Olympics sport programs — https://doi.org/10.1093/pch/pxab061.008</w:t>
      </w:r>
    </w:p>
    <w:p>
      <w:pPr/>
      <w:r>
        <w:rPr>
          <w:b/>
        </w:rPr>
        <w:t>Shared claim-specific concepts:</w:t>
      </w:r>
      <w:r>
        <w:t xml:space="preserve"> abstract, help, prepare, four; EU scope not established. This is a provisional connection, not an outcome finding.</w:t>
      </w:r>
    </w:p>
    <w:p>
      <w:pPr>
        <w:pStyle w:val="SourceNote"/>
      </w:pPr>
      <w:r>
        <w:rPr>
          <w:b/>
        </w:rPr>
        <w:t>Available abstract (not full text):</w:t>
      </w:r>
      <w:r>
        <w:t xml:space="preserve"> Abstract Primary Subject area Developmental Paediatrics Background Special Olympics (SO) is working to introduce more child and youth programs provincially and improve currently available programs. To date, there is little research published surrounding the experiences of SO athletes. Given the aim of SO to improve and grow the experience and health of youth, the present study explores the experiences of SO athletes and caregivers to understand what prepares athletes for SO programs and competition. Objectives 1. To describe the experience of SO athletes and caregivers and understand what best prepared them for their involvement in organized sport and physical activity. 2. To offer evidence-based strategies for creating an inclusive and encouraging environment for sports and physical activity for healthy active living and/or preparation for SO involvement. Design/Methods Both athletes and caregivers participated in semi-structured, conversation-based interviews. Eight English-speaking athletes involved in a variety of sports from around the province were interviewed, and four of these interviews included caregivers. Interviews were transcribed and coded using thematic analysis. Results Five themes were identified throughout these interviews. The importance of a supportive environment emerged as a strong theme. Athletes valued the support of caregivers, coaches, and other player</w:t>
      </w:r>
    </w:p>
    <w:p>
      <w:pPr/>
      <w:r>
        <w:rPr>
          <w:b/>
        </w:rPr>
        <w:t>POSSIBLE 2021:</w:t>
      </w:r>
      <w:r>
        <w:t xml:space="preserve"> Preparing Indonesia for The Ocean Decade 2021-2030 — https://doi.org/10.1088/1755-1315/744/1/012025</w:t>
      </w:r>
    </w:p>
    <w:p>
      <w:pPr/>
      <w:r>
        <w:rPr>
          <w:b/>
        </w:rPr>
        <w:t>Shared claim-specific concepts:</w:t>
      </w:r>
      <w:r>
        <w:t xml:space="preserve"> abstract, help, prepare, scientists, stakeholders, natural; EU scope not established. This is a provisional connection, not an outcome finding.</w:t>
      </w:r>
    </w:p>
    <w:p>
      <w:pPr>
        <w:pStyle w:val="SourceNote"/>
      </w:pPr>
      <w:r>
        <w:rPr>
          <w:b/>
        </w:rPr>
        <w:t>Available abstract (not full text):</w:t>
      </w:r>
      <w:r>
        <w:t xml:space="preserve"> Abstract The Ocean Decade 2021-2030 was declared at the end of 2017. The Decade Declaration is aimed at accelerating the resolution of various social-ecological issues facing the oceans collectively and holistically by involving multi-stakeholders: natural and social scientists, governments, NGOs, private parties, and local communities. Indonesia as a large maritime country must play an important role in this Decade, both as a provider and as a beneficiary. The aims of this paper are to (1) convey important things about the Ocean Decade and (2) provide recommendations for carrying out three types of research to prepare for the Ocean Decade. This exploratory study is conducted qualitatively, using a literature review of UNESCO official documents as well as various other literature, such as scientific journal articles. An interview with a key informant was conducted for initial stakeholder analysis. The results of the analysis and the recommendations are expected to be used to help various stakeholders in Indonesia prepare to take part in the implementation of ‘The Ocean Decade’.</w:t>
      </w:r>
    </w:p>
    <w:p>
      <w:pPr>
        <w:pStyle w:val="Heading2"/>
      </w:pPr>
      <w:r>
        <w:t>632.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2023:</w:t>
      </w:r>
      <w:r>
        <w:t xml:space="preserve"> Income inequality and circular materials use: an analysis of European Union economies and implications for circular economy development — https://doi.org/10.1108/md-11-2022-1620</w:t>
      </w:r>
    </w:p>
    <w:p>
      <w:pPr/>
      <w:r>
        <w:rPr>
          <w:b/>
        </w:rPr>
        <w:t>Shared claim-specific concepts:</w:t>
      </w:r>
      <w:r>
        <w:t xml:space="preserve"> vast, circular, economy, occur, design, processes; EU scope visible. This is a provisional connection, not an outcome finding.</w:t>
      </w:r>
    </w:p>
    <w:p>
      <w:pPr>
        <w:pStyle w:val="SourceNote"/>
      </w:pPr>
      <w:r>
        <w:rPr>
          <w:b/>
        </w:rPr>
        <w:t>Available abstract (not full text):</w:t>
      </w:r>
      <w:r>
        <w:t xml:space="preserve">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pPr/>
      <w:r>
        <w:rPr>
          <w:b/>
        </w:rPr>
        <w:t>POSSIBLE 2023:</w:t>
      </w:r>
      <w:r>
        <w:t xml:space="preserve"> The Circular Economy Transformation of Airports: An Alternative Model for Retail Waste Management — https://doi.org/10.3390/su15043860</w:t>
      </w:r>
    </w:p>
    <w:p>
      <w:pPr/>
      <w:r>
        <w:rPr>
          <w:b/>
        </w:rPr>
        <w:t>Shared claim-specific concepts:</w:t>
      </w:r>
      <w:r>
        <w:t xml:space="preserve"> transformation, circular, economy, design, processes; EU scope not established. This is a provisional connection, not an outcome finding.</w:t>
      </w:r>
    </w:p>
    <w:p>
      <w:pPr>
        <w:pStyle w:val="SourceNote"/>
      </w:pPr>
      <w:r>
        <w:rPr>
          <w:b/>
        </w:rPr>
        <w:t>Available abstract (not full text):</w:t>
      </w:r>
      <w:r>
        <w:t xml:space="preserve">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2022:</w:t>
      </w:r>
      <w:r>
        <w:t xml:space="preserve"> Circular cities: planning for circular development in European cities — https://doi.org/10.1080/09654313.2022.2060707</w:t>
      </w:r>
    </w:p>
    <w:p>
      <w:pPr/>
      <w:r>
        <w:rPr>
          <w:b/>
        </w:rPr>
        <w:t>Shared claim-specific concepts:</w:t>
      </w:r>
      <w:r>
        <w:t xml:space="preserve"> transformation, circular; EU scope visible. This is a provisional connection, not an outcome finding.</w:t>
      </w:r>
    </w:p>
    <w:p>
      <w:pPr>
        <w:pStyle w:val="SourceNote"/>
      </w:pPr>
      <w:r>
        <w:rPr>
          <w:b/>
        </w:rPr>
        <w:t>Available abstract (not full text):</w:t>
      </w:r>
      <w:r>
        <w:t xml:space="preserve">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pPr/>
      <w:r>
        <w:rPr>
          <w:b/>
        </w:rPr>
        <w:t>POSSIBLE 2022:</w:t>
      </w:r>
      <w:r>
        <w:t xml:space="preserve"> The sustainable transformation of the Colombian cattle sector: Assessing its circularity — https://doi.org/10.1371/journal.pclm.0000074</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pPr/>
      <w:r>
        <w:rPr>
          <w:b/>
        </w:rPr>
        <w:t>POSSIBLE 2022:</w:t>
      </w:r>
      <w:r>
        <w:t xml:space="preserve"> Understanding circular economy transitions: The case of circular textiles — https://doi.org/10.1002/bse.3114</w:t>
      </w:r>
    </w:p>
    <w:p>
      <w:pPr/>
      <w:r>
        <w:rPr>
          <w:b/>
        </w:rPr>
        <w:t>Shared claim-specific concepts:</w:t>
      </w:r>
      <w:r>
        <w:t xml:space="preserve"> transformation, circular, economy, processes; EU scope visible. This is a provisional connection, not an outcome finding.</w:t>
      </w:r>
    </w:p>
    <w:p>
      <w:pPr>
        <w:pStyle w:val="SourceNote"/>
      </w:pPr>
      <w:r>
        <w:rPr>
          <w:b/>
        </w:rPr>
        <w:t>Available abstract (not full text):</w:t>
      </w:r>
      <w:r>
        <w:t xml:space="preserve"> Abstract The circular economy has been proposed to transform global textile supply chains which are currently challenged by a complex nexus of sustainability issues related to the dominant fast fashion trend. Research on circular economy in the textile sector often focuses on businesses or consumers as key enablers in circular transitions , yet it treats them as independent entities and thereby neglects the study of interactions that can provide insight at the systems level. The proclaimed “circular textile mission” in the Netherlands setting a national target for 100% circularity by 2050 is used as case study to address this research gap. We explore the circular textile transition processes found in the context of the Dutch mission and compare the development and interactions among various technical and non‐technological solutions produced by engaged actor constellations for assessing key factors driving and blocking the overall mission fulfilment. To these ends, we derive a theoretical framework based on innovation system theory and conceptualize the Dutch circular textile transition as a Mission‐oriented Innovation System ( MIS ). Analyzing the structure and functioning of the Dutch mission‐oriented innovation system, we show that (1) there is a good match between the formal Dutch circular textile mission and system actor perceptions; (2) system actors have formed structures</w:t>
      </w:r>
    </w:p>
    <w:p>
      <w:pPr/>
      <w:r>
        <w:rPr>
          <w:b/>
        </w:rPr>
        <w:t>POSSIBLE 2022:</w:t>
      </w:r>
      <w:r>
        <w:t xml:space="preserve"> Food system transformation for sustainable city-regions: exploring the potential of circular economies — https://doi.org/10.1080/00343404.2021.2021168</w:t>
      </w:r>
    </w:p>
    <w:p>
      <w:pPr/>
      <w:r>
        <w:rPr>
          <w:b/>
        </w:rPr>
        <w:t>Shared claim-specific concepts:</w:t>
      </w:r>
      <w:r>
        <w:t xml:space="preserve"> transformation, circular; EU scope not established. This is a provisional connection, not an outcome finding.</w:t>
      </w:r>
    </w:p>
    <w:p>
      <w:pPr>
        <w:pStyle w:val="SourceNote"/>
      </w:pPr>
      <w:r>
        <w:rPr>
          <w:b/>
        </w:rPr>
        <w:t>Available abstract (not full text):</w:t>
      </w:r>
      <w:r>
        <w:t xml:space="preserve"> Calls for food system transformation to strengthen synergies between socio-economic and environmental goals have been growing in recent years. As yet, however, insights from theoretical debates have not been tested against the actions and perceptions of food system actors. To add empirical weight to this debate, we focus on a region in the north of England where the Covid-19 crisis has challenged the embeddedness of linear thinking and siloed policy approaches. Based on an exploration of the potential of ‘circular food economies’, the analysis provides insights into the capacity of ‘city-regions’ to reorientate food system dynamics towards sustainability objectives.</w:t>
      </w:r>
    </w:p>
    <w:p>
      <w:pPr/>
      <w:r>
        <w:rPr>
          <w:b/>
        </w:rPr>
        <w:t>POSSIBLE 2022:</w:t>
      </w:r>
      <w:r>
        <w:t xml:space="preserve"> Circular Economy in the European Construction Sector: A Review of Strategies for Implementation in Building Renovation — https://doi.org/10.3390/en15134747</w:t>
      </w:r>
    </w:p>
    <w:p>
      <w:pPr/>
      <w:r>
        <w:rPr>
          <w:b/>
        </w:rPr>
        <w:t>Shared claim-specific concepts:</w:t>
      </w:r>
      <w:r>
        <w:t xml:space="preserve"> circular, economy, design; EU scope visible. This is a provisional connection, not an outcome finding.</w:t>
      </w:r>
    </w:p>
    <w:p>
      <w:pPr>
        <w:pStyle w:val="SourceNote"/>
      </w:pPr>
      <w:r>
        <w:rPr>
          <w:b/>
        </w:rPr>
        <w:t>Available abstract (not full text):</w:t>
      </w:r>
      <w:r>
        <w:t xml:space="preserve"> Building renovation was declared a key point for sustainable development, however, the renovation rate of residential buildings in the European Union is insufficient to meet the climate and energy targets set. This paper analyses the main circular economy models used in the construction sector, as well as the situation of the building renovation market, to set a framework for circular economy models in building renovation. Of all the existing strategies in this sector, design, material recovery, building renovation and end-of-life actions would be the best, respectively. It also includes a market analysis consisting of a literature review covering PEST perspectives (political, economic, social and technical) and a SWOT analysis (strengths, weaknesses, opportunities and threats), concluding with a market gap analysis. The results of these analyses allow the development of a series of suggestions and strategies to be followed in order to solve the main barriers that hinder the implementation of the circular economy in the building´s renovation sector.</w:t>
      </w:r>
    </w:p>
    <w:p>
      <w:pPr>
        <w:pStyle w:val="Heading2"/>
      </w:pPr>
      <w:r>
        <w:t>633.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2023:</w:t>
      </w:r>
      <w:r>
        <w:t xml:space="preserve"> Is the flood occurrence rate decreasing in Southeast Europe? — https://doi.org/10.5194/egusphere-egu23-6031</w:t>
      </w:r>
    </w:p>
    <w:p>
      <w:pPr/>
      <w:r>
        <w:rPr>
          <w:b/>
        </w:rPr>
        <w:t>Shared claim-specific concepts:</w:t>
      </w:r>
      <w:r>
        <w:t xml:space="preserve"> also, decrease, reduction, three, project; EU scope visible. This is a provisional connection, not an outcome finding.</w:t>
      </w:r>
    </w:p>
    <w:p>
      <w:pPr>
        <w:pStyle w:val="SourceNote"/>
      </w:pPr>
      <w:r>
        <w:rPr>
          <w:b/>
        </w:rPr>
        <w:t>Available abstract (not full text):</w:t>
      </w:r>
      <w:r>
        <w:t xml:space="preserve">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pPr/>
      <w:r>
        <w:rPr>
          <w:b/>
        </w:rPr>
        <w:t>POSSIBLE 2023:</w:t>
      </w:r>
      <w:r>
        <w:t xml:space="preserve"> Decreasing trends of ammonia emissions over Europe seen from remote sensing and inverse modelling — https://doi.org/10.5194/acp-23-15235-2023</w:t>
      </w:r>
    </w:p>
    <w:p>
      <w:pPr/>
      <w:r>
        <w:rPr>
          <w:b/>
        </w:rPr>
        <w:t>Shared claim-specific concepts:</w:t>
      </w:r>
      <w:r>
        <w:t xml:space="preserve"> also, showed, emissions; EU scope visible. This is a provisional connection, not an outcome finding.</w:t>
      </w:r>
    </w:p>
    <w:p>
      <w:pPr>
        <w:pStyle w:val="SourceNote"/>
      </w:pPr>
      <w:r>
        <w:rPr>
          <w:b/>
        </w:rPr>
        <w:t>Available abstract (not full text):</w:t>
      </w:r>
      <w:r>
        <w:t xml:space="preserve">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also, decrease, number;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Market Reaction As An Impact Of The Fed Interest Rate Decrease Announcement In Asian And European Areas — https://doi.org/10.24843/matrik:jmbk.2022.v16.i01.p03</w:t>
      </w:r>
    </w:p>
    <w:p>
      <w:pPr/>
      <w:r>
        <w:rPr>
          <w:b/>
        </w:rPr>
        <w:t>Shared claim-specific concepts:</w:t>
      </w:r>
      <w:r>
        <w:t xml:space="preserve"> also, decrease, reduction; EU scope visible. This is a provisional connection, not an outcome finding.</w:t>
      </w:r>
    </w:p>
    <w:p>
      <w:pPr>
        <w:pStyle w:val="SourceNote"/>
      </w:pPr>
      <w:r>
        <w:rPr>
          <w:b/>
        </w:rPr>
        <w:t>Available abstract (not full text):</w:t>
      </w:r>
      <w:r>
        <w:t xml:space="preserve"> Market Reaction As An Impact Of The Fed Interest Rate Decrease Announcement In Asian And European Areas ABSTRACT The announcement of the reduction in the Fed's interest rate on July 31, 2019 is a rare event since 2008. The Fed's rate cut will have a major impact on the global economy and conditions in the capital market.The purpose of this study is to determine whether there is a difference in the average abnormal return around the date of the announcement of the Fed's interest rate hike in Asia and the European region. The sample of this study was 18 emerging market countries' index indices in Asia and Europe with sample collection techniques using purposive sampling. This study uses One Way Anova analysis techniques and One Sample T-test. The results found that there was no difference in the average abnormal return before and after the announcement of the Fed's interest rate increase. This condition shows that markets in the two regions do not react significantly because markets in Asia and the European region are in an efficient condition in the form of half strong, where the market absorbs information quickly and is reflected in stock prices so there is no difference in the average abnormal return in both regions. The absence of a difference in the average abnormal return is also caused by the uncertainty of the global economy making investors more careful in making investm</w:t>
      </w:r>
    </w:p>
    <w:p>
      <w:pPr/>
      <w:r>
        <w:rPr>
          <w:b/>
        </w:rPr>
        <w:t>POSSIBLE 2022:</w:t>
      </w:r>
      <w:r>
        <w:t xml:space="preserve"> Flash drought drives rapid vegetation stress in arid regions in Europe — https://doi.org/10.1088/1748-9326/acae3a</w:t>
      </w:r>
    </w:p>
    <w:p>
      <w:pPr/>
      <w:r>
        <w:rPr>
          <w:b/>
        </w:rPr>
        <w:t>Shared claim-specific concepts:</w:t>
      </w:r>
      <w:r>
        <w:t xml:space="preserve"> also, decrease, about; EU scope visible. This is a provisional connection, not an outcome finding.</w:t>
      </w:r>
    </w:p>
    <w:p>
      <w:pPr>
        <w:pStyle w:val="SourceNote"/>
      </w:pPr>
      <w:r>
        <w:rPr>
          <w:b/>
        </w:rPr>
        <w:t>Available abstract (not full text):</w:t>
      </w:r>
      <w:r>
        <w:t xml:space="preserve"> Abstract Flash droughts are characterised by rapid onset, combined with the potential to severely impact agriculture and ecosystems. However, assessments of the ecological impacts of flash droughts, especially in Europe, are largely lacking. Here we investigate ecosystem responses to flash droughts in Europe between 2001 and 2019 using diverse observational data, including gross primary production (GPP) and leaf area index (LAI). We find that in arid regions an abrupt transition to water-stressed conditions occurs within a few weeks, which negatively affects vegetation status and reduces carbon uptake in the initial stages of drought; normalised anomalies of LAI and GPP decrease to about −0.5. By contrast, vegetation in humid regions is not as severely affected, given that soil moisture recovers relatively quickly. We also show that soil moisture status before the onset of drought significantly impacts the timing (1–5 pentads) and degree (−0.33 to −0.71 of normalised LAI and GPP anomalies) of drought-induced vegetation stress, particularly in arid regions. Our results highlight the regional characteristics of flash drought impacts for more informative monitoring and early warning systems.</w:t>
      </w:r>
    </w:p>
    <w:p>
      <w:pPr/>
      <w:r>
        <w:rPr>
          <w:b/>
        </w:rPr>
        <w:t>POSSIBLE 2022:</w:t>
      </w:r>
      <w:r>
        <w:t xml:space="preserve"> Decreasing trend of monkeypox cases in Europe and America shows hope for the world: Evidence from the latest epidemiological data — https://doi.org/10.1002/hsr2.1030</w:t>
      </w:r>
    </w:p>
    <w:p>
      <w:pPr/>
      <w:r>
        <w:rPr>
          <w:b/>
        </w:rPr>
        <w:t>Shared claim-specific concepts:</w:t>
      </w:r>
      <w:r>
        <w:t xml:space="preserve"> also, showed, decrease, number, three; EU scope visible. This is a provisional connection, not an outcome finding.</w:t>
      </w:r>
    </w:p>
    <w:p>
      <w:pPr>
        <w:pStyle w:val="SourceNote"/>
      </w:pPr>
      <w:r>
        <w:rPr>
          <w:b/>
        </w:rPr>
        <w:t>Available abstract (not full text):</w:t>
      </w:r>
      <w:r>
        <w:t xml:space="preserve"> Monkeypox (MPOX) is a zoonotic viral disease caused by an Orthopox DNA virus named mpox virus (MPOXV). Scientists first discovered MPOXV in a monkey transported from Singapore to Denmark for research purposes. However, at first, the virus's primary animal reservoir was rodents. In 1970, a 9-year-old child from the Democratic Republic of the Congo was first diagnosed with MPOX. Since then, 11 African nations have recorded human instances of MPOX.1 Between 1970 and 1979, six African countries reported only 48 confirmed human MPOX cases. However, African nations reported more than 400 human MPOX cases at a death rate close to 10% by 1986. Several minor MPOX outbreaks between 1991 and 1999 reported 500 MPOX cases in tropical Central and Western Africa.2 However, isolated cases have been discovered in countries outside of Africa since 2003. The United States of America (USA) had the first outbreak of MPOX outside of Africa in 2003.3 The multicountry MPOX outbreaks have been reported in nonendemic nations starting in early May 2022.4 Belgium, Sweden, and Italy detected their first confirmed MPOX cases on May 19, 2022. Australia reported the first case on May 20, 2022, in Sydney and Melbourne in persons who had visited Europe just before their detection. On May 20, 2022, France, Germany, and the Netherlands reported their first cases. In contrast, the United Arab Emirates announced th</w:t>
      </w:r>
    </w:p>
    <w:p>
      <w:pPr/>
      <w:r>
        <w:rPr>
          <w:b/>
        </w:rPr>
        <w:t>POSSIBLE 2022:</w:t>
      </w:r>
      <w:r>
        <w:t xml:space="preserve"> Osteoporosis in Europe: a compendium of country-specific reports — https://doi.org/10.1007/s11657-021-00969-8</w:t>
      </w:r>
    </w:p>
    <w:p>
      <w:pPr/>
      <w:r>
        <w:rPr>
          <w:b/>
        </w:rPr>
        <w:t>Shared claim-specific concepts:</w:t>
      </w:r>
      <w:r>
        <w:t xml:space="preserve"> also, number;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2021:</w:t>
      </w:r>
      <w:r>
        <w:t xml:space="preserve"> A 41‐year bioclimatology of thermal stress in Europe — https://doi.org/10.1002/joc.7051</w:t>
      </w:r>
    </w:p>
    <w:p>
      <w:pPr/>
      <w:r>
        <w:rPr>
          <w:b/>
        </w:rPr>
        <w:t>Shared claim-specific concepts:</w:t>
      </w:r>
      <w:r>
        <w:t xml:space="preserve"> also, showed, number; EU scope visible. This is a provisional connection, not an outcome finding.</w:t>
      </w:r>
    </w:p>
    <w:p>
      <w:pPr>
        <w:pStyle w:val="SourceNote"/>
      </w:pPr>
      <w:r>
        <w:rPr>
          <w:b/>
        </w:rPr>
        <w:t>Available abstract (not full text):</w:t>
      </w:r>
      <w:r>
        <w:t xml:space="preserve"> Abstract The bioclimatology of thermal stress over Europe between 1979 and 2019 was analysed using the Universal Thermal Climate Index (UTCI) derived from ERA5‐HEAT reanalysis. The bioclimatology of different European regions was assessed using Köppen–Geiger climate classification. The annual number of hours with heat stress (UTCI &gt; 32°C) increased significantly during the study period for all the analysed Köppen–Geiger climate subclasses, showing also a clear increase towards southern Europe. The highest percentage of hours (20% of all hours) with cold stress (UTCI &lt; −13°C) occur over northern Europe. A significant increasing trend (&gt;0.05 hr·year−1) in the number of hours with heat stress was observed for 23 out of 32 analysed European cities representative for the Köppen–Geiger climate subclasses. For these cities not only the number of hours with heat stress has increased but also the heat stress is more persistent, while the number of cases and the persistence of the periods with cold stress have decreased over the last four decades. The UTCI values showed a statistically significant increase between 0.6 and 3.2°C for all the analysed cities over the study period reflecting the rising of global mean temperatures.</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also, pm2, emissions,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634.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635.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2024:</w:t>
      </w:r>
      <w:r>
        <w:t xml:space="preserve"> Development of the international transportation projects in Russia – forecast until 2030 year — https://doi.org/10.64457/ru-science-2024-i03-a02</w:t>
      </w:r>
    </w:p>
    <w:p>
      <w:pPr/>
      <w:r>
        <w:rPr>
          <w:b/>
        </w:rPr>
        <w:t>Shared claim-specific concepts:</w:t>
      </w:r>
      <w:r>
        <w:t xml:space="preserve"> article, presents, forecasts, international, until; EU scope not established. This is a provisional connection, not an outcome finding.</w:t>
      </w:r>
    </w:p>
    <w:p>
      <w:pPr>
        <w:pStyle w:val="SourceNote"/>
      </w:pPr>
      <w:r>
        <w:rPr>
          <w:b/>
        </w:rPr>
        <w:t>Available abstract (not full text):</w:t>
      </w:r>
      <w:r>
        <w:t xml:space="preserve">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pPr/>
      <w:r>
        <w:rPr>
          <w:b/>
        </w:rPr>
        <w:t>POSSIBLE 2024:</w:t>
      </w:r>
      <w:r>
        <w:t xml:space="preserve"> Machine Learning-Based Forecasting of Temperature and Solar Irradiance for Photovoltaic Systems — https://doi.org/10.3390/en17051124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pPr/>
      <w:r>
        <w:rPr>
          <w:b/>
        </w:rPr>
        <w:t>POSSIBLE 2023:</w:t>
      </w:r>
      <w:r>
        <w:t xml:space="preserve"> PLANNING AND FORECASTING — https://doi.org/10.5281/zenodo.7818282</w:t>
      </w:r>
    </w:p>
    <w:p>
      <w:pPr/>
      <w:r>
        <w:rPr>
          <w:b/>
        </w:rPr>
        <w:t>Shared claim-specific concepts:</w:t>
      </w:r>
      <w:r>
        <w:t xml:space="preserve"> article, presents, need, related; EU scope not established. This is a provisional connection, not an outcome finding.</w:t>
      </w:r>
    </w:p>
    <w:p>
      <w:pPr>
        <w:pStyle w:val="SourceNote"/>
      </w:pPr>
      <w:r>
        <w:rPr>
          <w:b/>
        </w:rPr>
        <w:t>Available abstract (not full text):</w:t>
      </w:r>
      <w:r>
        <w:t xml:space="preserve"> The article presents scientific analyzes of the economic essence and the objective need for planning and forecasting in a market economy. In the article, in modern literature and manuals on economic planning, the scientific essence of theories and concepts related to the optimization and forecasting of data is explained.</w:t>
      </w:r>
    </w:p>
    <w:p>
      <w:pPr/>
      <w:r>
        <w:rPr>
          <w:b/>
        </w:rPr>
        <w:t>POSSIBLE 2023:</w:t>
      </w:r>
      <w:r>
        <w:t xml:space="preserve"> Improving the quality of the forecast through methods of combining forecasts — https://doi.org/10.18822/byusu20230346-51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Subject of research: The article is devoted to the comparison of forecasting methods and methods of combining forecasts when forecasting average monthly wages for some regions of the Russian Federation for the period from January 2013 to July 2022. Purpose of the study: To test the hypothesis of improving forecast quality through forecast pooling methods. Methods and objects of research: Time series of average monthly wages in the Khanty-Mansi Autonomous Okrug Yugra, Yamal-Nenets Autonomous Okrug and Sverdlovsk region are used to compare forecasting methods and methods of combining forecasts. The paper considers forecasting methods: TBATS, ARIMA, exponential smoothing, ETS, Theta, STL, polynomial regression and the approach in combining forecasts by the Granger-Ramanathan method. Main results of research: The paper presents the results of comparison of forecasting methods and approach in combining forecasts by Granger-Ramanathan method. Time series of average monthly wages were taken from statistical collections of Rosstat. The forecast horizon was set at 12, 18 and 24 points. The Granger-Ramanathan method showed that in most cases it is possible to improve the quality of the forecast by combining private forecasts.</w:t>
      </w:r>
    </w:p>
    <w:p>
      <w:pPr/>
      <w:r>
        <w:rPr>
          <w:b/>
        </w:rPr>
        <w:t>POSSIBLE 2023:</w:t>
      </w:r>
      <w:r>
        <w:t xml:space="preserve"> ENVIRONMENTAL SAFETY IN THE CONTEXT OF FORECASTS FOR THE DEVELOPMENT OF TRADITIONAL AND ALTERNATIVE ENERGY — https://doi.org/10.61260/2307-7476-2023-3-6-21</w:t>
      </w:r>
    </w:p>
    <w:p>
      <w:pPr/>
      <w:r>
        <w:rPr>
          <w:b/>
        </w:rPr>
        <w:t>Shared claim-specific concepts:</w:t>
      </w:r>
      <w:r>
        <w:t xml:space="preserve"> article, presents, forecasts, need, related; EU scope not established. This is a provisional connection, not an outcome finding.</w:t>
      </w:r>
    </w:p>
    <w:p>
      <w:pPr>
        <w:pStyle w:val="SourceNote"/>
      </w:pPr>
      <w:r>
        <w:rPr>
          <w:b/>
        </w:rPr>
        <w:t>Available abstract (not full text):</w:t>
      </w:r>
      <w:r>
        <w:t xml:space="preserve"> In the article, in connection with the problem of ensuring environmental safety and, in particular, in connection with the need to overcome the low level of environmental education and environmental culture of the population, the results of research on the development of energy, the use of renewable energy sources on a planetary scale and in Russia are considered. The research in the framework of this article was carried out, among other things, with the aim of further using the results obtained in the development of an educational and methodological manual at the department of security service of the Saint-Petersburg university of State fire service of EMERCOM of Russia, the content of which is related to the theoretical and practical study in classes on the disciplines of environmental orientation and life safety of the impact on ensuring environmental safety of alternative energy, separate renewable energy sources. This article presents forecast data in the field of energy development in the world, in individual countries and in Russia by 2050, published on the EES EAEC website. The prospects for the development of the electric power industry for the foreseeable future, up to 2050 in the whole world and Russia, are shown, according to which a significant increase in the use of renewable energy sources is expected and, consequently, a reduction in the negative impact on the e</w:t>
      </w:r>
    </w:p>
    <w:p>
      <w:pPr/>
      <w:r>
        <w:rPr>
          <w:b/>
        </w:rPr>
        <w:t>POSSIBLE 2023:</w:t>
      </w:r>
      <w:r>
        <w:t xml:space="preserve"> IMPORTANCE OF BUDGETING AND FORECASTING IN MANAGEMENT — https://openalex.org/W7216813823</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This article discusses the importance of budgeting and forecasting in management. It explains what budgeting and forecasting are, how to organize them, allocate resources, set goals, monitor progress, identify risks, and determine opportunities. The article also highlights some challenges and issues related to budgeting and forecasting, such as accuracy, uncertainty, and inconsistency, and proposes several solutions, including accepting variability and dynamic processes. It suggests using information sources and regularly reviewing and analyzing budgets and forecasts, leveraging technology, and improving accountability. Finally, the article presents literature reviews and comments on the budgeting and forecasting process in financial management.</w:t>
      </w:r>
    </w:p>
    <w:p>
      <w:pPr>
        <w:pStyle w:val="Heading2"/>
      </w:pPr>
      <w:r>
        <w:t>636. The implications of demographic and economic projections on public pension spending in the European Union</w:t>
      </w:r>
    </w:p>
    <w:p>
      <w:pPr>
        <w:pStyle w:val="SourceNote"/>
      </w:pPr>
      <w:r>
        <w:rPr>
          <w:b/>
        </w:rPr>
        <w:t>Original source (2020):</w:t>
      </w:r>
      <w:r>
        <w:t xml:space="preserve"> https://doi.org/10.1080/21699763.2017.1411288</w:t>
      </w:r>
    </w:p>
    <w:p>
      <w:pPr/>
      <w:r>
        <w:t>Original wording (abstract; indexed_source_text_not_full_document_verified): Abstract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r>
        <w:rPr>
          <w:b/>
        </w:rPr>
        <w:t>POSSIBLE 2023:</w:t>
      </w:r>
      <w:r>
        <w:t xml:space="preserve"> The new seismic hazard model ESHM20 of Europe: Investigating the implications to the seismic design and risk assessment of major industrial facilities across Europe — https://doi.org/10.1007/s10518-023-01661-7</w:t>
      </w:r>
    </w:p>
    <w:p>
      <w:pPr/>
      <w:r>
        <w:rPr>
          <w:b/>
        </w:rPr>
        <w:t>Shared claim-specific concepts:</w:t>
      </w:r>
      <w:r>
        <w:t xml:space="preserve"> abstract, analyses, implications, well; EU scope visible. This is a provisional connection, not an outcome finding.</w:t>
      </w:r>
    </w:p>
    <w:p>
      <w:pPr>
        <w:pStyle w:val="SourceNote"/>
      </w:pPr>
      <w:r>
        <w:rPr>
          <w:b/>
        </w:rPr>
        <w:t>Available abstract (not full text):</w:t>
      </w:r>
      <w:r>
        <w:t xml:space="preserve">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pPr/>
      <w:r>
        <w:rPr>
          <w:b/>
        </w:rPr>
        <w:t>POSSIBLE 2022:</w:t>
      </w:r>
      <w:r>
        <w:t xml:space="preserve"> The Accession of European Union to the European Convention on Human Rights — https://openalex.org/W7135539752</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1 The Accession of the European Union to the European Convention on Human Rights 1. Abstract in English This diploma thesis focuses on the relationship between the European Union (EU) and the European Convention on Human Rights (Convention). Especially in the light of the renewed attempt of the EU's accession to the Convention. Introduction (First Chapter) explains in brief the current situation, motivation of the author and the goals of the thesis. Also, the sources and methods used are introduced. Second Chapter describes the rich history of both European Union and European Convention of Human rights, with respect to their interlocking nature in the area of human rights. Analyses instruments such as Lisbon Treaty and the Charter of fundamental rights of the European Union. Third Chapter analyses the Opinion 2/13 of the CJEU and its impact on the accession of the EU to the Convention. Situation before and after the adoption of the Opinion, with its implications for the future relationship between the EU and the Convention. The next major section of this Chapter are the most recent meetings between the EU and the Council of Europe and evaluation of the hitherto progress. Fourth Chapter compares level of protection procedurally. Fifth Chapter compares level of protection substantively, in relevant case-law...</w:t>
      </w:r>
    </w:p>
    <w:p>
      <w:pPr/>
      <w:r>
        <w:rPr>
          <w:b/>
        </w:rPr>
        <w:t>POSSIBLE 2021:</w:t>
      </w:r>
      <w:r>
        <w:t xml:space="preserve"> Paranoid styles and innumeracy: implications of a conspiracy mindset on Europeans' misperceptions about immigrants — https://doi.org/10.1017/ipo.2021.26</w:t>
      </w:r>
    </w:p>
    <w:p>
      <w:pPr/>
      <w:r>
        <w:rPr>
          <w:b/>
        </w:rPr>
        <w:t>Shared claim-specific concepts:</w:t>
      </w:r>
      <w:r>
        <w:t xml:space="preserve"> abstract, implications, facts, population; EU scope visible. This is a provisional connection, not an outcome finding.</w:t>
      </w:r>
    </w:p>
    <w:p>
      <w:pPr>
        <w:pStyle w:val="SourceNote"/>
      </w:pPr>
      <w:r>
        <w:rPr>
          <w:b/>
        </w:rPr>
        <w:t>Available abstract (not full text):</w:t>
      </w:r>
      <w:r>
        <w:t xml:space="preserve"> Abstract Innumeracy, that is, the inability to deal with numbers and provide correct estimates about political issues, is reported to be widespread among the public. Yet, despite the recognition that a conspiracy mindset is an increasingly common phenomenon in Western democracies, this has not been considered as a potential correlate of innumeracy. Using data from an online sample of respondents across 10 European countries, we show that those with a higher propensity to hold a conspiracy worldview tend to overestimate the actual share of the immigrant population living in their own country. This association holds true when accounting for country heterogeneity and other cognitive, affective and socio-demographic factors. Employing a comparative design and refined measurements, the article contributes to our understanding of how a conspiracy mentality may influence perceptions of relevant political facts, questioning basic processes of democratic accountability.</w:t>
      </w:r>
    </w:p>
    <w:p>
      <w:pPr/>
      <w:r>
        <w:rPr>
          <w:b/>
        </w:rPr>
        <w:t>POSSIBLE 2021:</w:t>
      </w:r>
      <w:r>
        <w:t xml:space="preserve"> Assessment and Valorization of Non-Wood Forest Products in Europe: A Quantitative Literature Review — https://doi.org/10.3390/su13063533</w:t>
      </w:r>
    </w:p>
    <w:p>
      <w:pPr/>
      <w:r>
        <w:rPr>
          <w:b/>
        </w:rPr>
        <w:t>Shared claim-specific concepts:</w:t>
      </w:r>
      <w:r>
        <w:t xml:space="preserve"> analyses, implications, trends; EU scope visible. This is a provisional connection, not an outcome finding.</w:t>
      </w:r>
    </w:p>
    <w:p>
      <w:pPr>
        <w:pStyle w:val="SourceNote"/>
      </w:pPr>
      <w:r>
        <w:rPr>
          <w:b/>
        </w:rPr>
        <w:t>Available abstract (not full text):</w:t>
      </w:r>
      <w:r>
        <w:t xml:space="preserve"> This article presents a quantitative review of non-wood forest products (NWFPs) at the regional scale in Europe. A text mining approach was applied to titles, abstracts, and keywords extracted from articles in the Scopus database. Different investigations, such as concept mapping and specificity analyses of textual corpus, were performed. Our search yielded a massive number of NWFP-related papers. Specifically, research was distributed in different countries, being more prevalent in the Mediterranean and Scandinavian contexts. Several NWFPs were analyzed, with mushrooms, resin, cork, and other forest fruit being the most common ones. Local socioeconomic improvement was one of the major aspects investigated in scientific literature. The proposed methodology applies specific scripts that can be updated, and the output of the present research can be compared with that of the future works. For instance, interest trends of products and methods can be investigated, and gap analyses performed. Finally, the potential implications of this review for researchers and stakeholders are discussed.</w:t>
      </w:r>
    </w:p>
    <w:p>
      <w:pPr>
        <w:pStyle w:val="Heading2"/>
      </w:pPr>
      <w:r>
        <w:t>637.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2024:</w:t>
      </w:r>
      <w:r>
        <w:t xml:space="preserve"> Managing CO2 under global and country-specific net-zero emissions targets in Europe — https://doi.org/10.48550/arxiv.2407.18653</w:t>
      </w:r>
    </w:p>
    <w:p>
      <w:pPr/>
      <w:r>
        <w:rPr>
          <w:b/>
        </w:rPr>
        <w:t>Shared claim-specific concepts:</w:t>
      </w:r>
      <w:r>
        <w:t xml:space="preserve"> targets, gas, network, carbon, methane; EU scope visible. This is a provisional connection, not an outcome finding.</w:t>
      </w:r>
    </w:p>
    <w:p>
      <w:pPr>
        <w:pStyle w:val="SourceNote"/>
      </w:pPr>
      <w:r>
        <w:rPr>
          <w:b/>
        </w:rPr>
        <w:t>Available abstract (not full text):</w:t>
      </w:r>
      <w:r>
        <w:t xml:space="preserve">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pPr/>
      <w:r>
        <w:rPr>
          <w:b/>
        </w:rPr>
        <w:t>POSSIBLE 2024:</w:t>
      </w:r>
      <w:r>
        <w:t xml:space="preserve"> Net Zero Emissions and Positive Energy Districts: A Potential Solution to Achieve the European Climate Targets — https://doi.org/10.1109/eeeic/icpseurope61470.2024.10751307</w:t>
      </w:r>
    </w:p>
    <w:p>
      <w:pPr/>
      <w:r>
        <w:rPr>
          <w:b/>
        </w:rPr>
        <w:t>Shared claim-specific concepts:</w:t>
      </w:r>
      <w:r>
        <w:t xml:space="preserve"> net, zero, targets, network, developed, carbon; EU scope visible. This is a provisional connection, not an outcome finding.</w:t>
      </w:r>
    </w:p>
    <w:p>
      <w:pPr>
        <w:pStyle w:val="SourceNote"/>
      </w:pPr>
      <w:r>
        <w:rPr>
          <w:b/>
        </w:rPr>
        <w:t>Available abstract (not full text):</w:t>
      </w:r>
      <w:r>
        <w:t xml:space="preserve">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zero, targets, mean, carbon, need;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Business as Usual: Bank Net Zero Targets, Lending, and Engagement — https://doi.org/10.2139/ssrn.4663933</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Net Zero Policy Performance Measurement of European Countries — https://doi.org/10.37394/232033.2023.1.12</w:t>
      </w:r>
    </w:p>
    <w:p>
      <w:pPr/>
      <w:r>
        <w:rPr>
          <w:b/>
        </w:rPr>
        <w:t>Shared claim-specific concepts:</w:t>
      </w:r>
      <w:r>
        <w:t xml:space="preserve"> net, zero, order, gas, carbon; EU scope visible. This is a provisional connection, not an outcome finding.</w:t>
      </w:r>
    </w:p>
    <w:p>
      <w:pPr>
        <w:pStyle w:val="SourceNote"/>
      </w:pPr>
      <w:r>
        <w:rPr>
          <w:b/>
        </w:rPr>
        <w:t>Available abstract (not full text):</w:t>
      </w:r>
      <w:r>
        <w:t xml:space="preserve"> Net zero goal lays the foundation for a sustainable future. It is in question to keep global warming under control since at least carbon dioxide emissions are balanced with the net zero target. In order to avoid severe climate impacts, global greenhouse gas emissions should decrease by half by 2030 and reach zero by 2050. Thus, this study aims to measure the performance of European Countries based on carbon emissions. To measure performance, Data Envelopment Analysis (DEA) method is used. To use this method, decision-making units (DMUs), inputs, and outputs are determined. Input is identified as Primary Energy Consumption. Outputs are selected as Gross Domestic Product (GDP), Carbon dioxide (CO2) emission, and Nitrous Oxide (N2O) emission.</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hydrogen;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2022:</w:t>
      </w:r>
      <w:r>
        <w:t xml:space="preserve"> Net Zero: Science, Origins, and Implications — https://doi.org/10.1146/annurev-environ-112320-105050</w:t>
      </w:r>
    </w:p>
    <w:p>
      <w:pPr/>
      <w:r>
        <w:rPr>
          <w:b/>
        </w:rPr>
        <w:t>Shared claim-specific concepts:</w:t>
      </w:r>
      <w:r>
        <w:t xml:space="preserve"> net, zero, targets, gas, carbon; EU scope not established. This is a provisional connection, not an outcome finding.</w:t>
      </w:r>
    </w:p>
    <w:p>
      <w:pPr>
        <w:pStyle w:val="SourceNote"/>
      </w:pPr>
      <w:r>
        <w:rPr>
          <w:b/>
        </w:rPr>
        <w:t>Available abstract (not full text):</w:t>
      </w:r>
      <w:r>
        <w:t xml:space="preserve"> This review explains the science behind the drive for global net zero emissions and why this is needed to halt the ongoing rise in global temperatures. We document how the concept of net zero carbon dioxide (CO 2 ) emissions emerged from an earlier focus on stabilization of atmospheric greenhouse gas concentrations. Using simple conceptual models of the coupled climate–carbon cycle system, we explain why approximately net zero CO 2 emissions and declining net energy imbalance due to other climate drivers are required to halt global warming on multidecadal timescales, introducing important concepts, including the rate of adjustment to constant forcing and the rate of adjustment to zero emissions. The concept of net zero was taken up through the 5th Assessment Report of the Intergovernmental Panel on Climate Change and the United Nations Framework Convention on Climate Change (UNFCCC) Structured Expert Dialogue, culminating in Article 4of the 2015 Paris Agreement. Increasing numbers of net zero targets have since been adopted by countries, cities, corporations, and investors. The degree to which any entity can claim to have achieved net zero while continuing to rely on distinct removals to compensate for ongoing emissions is at the heart of current debates over carbon markets and offsetting both inside and outside the UNFCCC. We argue that what matters here is not the precise mak</w:t>
      </w:r>
    </w:p>
    <w:p>
      <w:pPr/>
      <w:r>
        <w:rPr>
          <w:b/>
        </w:rPr>
        <w:t>POSSIBLE 2021:</w:t>
      </w:r>
      <w:r>
        <w:t xml:space="preserve"> Can European electric utilities manage asset impairments arising from net zero carbon targets? — https://doi.org/10.1016/j.jcorpfin.2021.102075</w:t>
      </w:r>
    </w:p>
    <w:p>
      <w:pPr/>
      <w:r>
        <w:rPr>
          <w:b/>
        </w:rPr>
        <w:t>Shared claim-specific concepts:</w:t>
      </w:r>
      <w:r>
        <w:t xml:space="preserve"> net, zero, targets, carbon; EU scope visible. This is a provisional connection, not an outcome finding.</w:t>
      </w:r>
    </w:p>
    <w:p>
      <w:pPr>
        <w:pStyle w:val="SourceNote"/>
      </w:pPr>
      <w:r>
        <w:rPr>
          <w:b/>
        </w:rPr>
        <w:t>Available abstract (not full text):</w:t>
      </w:r>
      <w:r>
        <w:t xml:space="preserve"> Unavailable</w:t>
      </w:r>
    </w:p>
    <w:p>
      <w:pPr>
        <w:pStyle w:val="Heading2"/>
      </w:pPr>
      <w:r>
        <w:t>638.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2023:</w:t>
      </w:r>
      <w:r>
        <w:t xml:space="preserve"> Editors’ Note: Assembly, Gathering and Being with Dance — https://doi.org/10.1017/s0149767723000293</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pPr/>
      <w:r>
        <w:rPr>
          <w:b/>
        </w:rPr>
        <w:t>POSSIBLE 2023:</w:t>
      </w:r>
      <w:r>
        <w:t xml:space="preserve"> Analyzing Communication Strategies in Polyglot Indonesia National Gathering Chapter Semarang: Ethnography of Communication Study — https://doi.org/10.55324/ijoms.v2i12.656</w:t>
      </w:r>
    </w:p>
    <w:p>
      <w:pPr/>
      <w:r>
        <w:rPr>
          <w:b/>
        </w:rPr>
        <w:t>Shared claim-specific concepts:</w:t>
      </w:r>
      <w:r>
        <w:t xml:space="preserve"> gathering, analyzing, article, used; EU scope not established. This is a provisional connection, not an outcome finding.</w:t>
      </w:r>
    </w:p>
    <w:p>
      <w:pPr>
        <w:pStyle w:val="SourceNote"/>
      </w:pPr>
      <w:r>
        <w:rPr>
          <w:b/>
        </w:rPr>
        <w:t>Available abstract (not full text):</w:t>
      </w:r>
      <w:r>
        <w:t xml:space="preserve">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pPr/>
      <w:r>
        <w:rPr>
          <w:b/>
        </w:rPr>
        <w:t>POSSIBLE 2022:</w:t>
      </w:r>
      <w:r>
        <w:t xml:space="preserve"> Edge Workload Trace Gathering and Analysis for Benchmarking — https://doi.org/10.1109/icfec54809.2022.00012</w:t>
      </w:r>
    </w:p>
    <w:p>
      <w:pPr/>
      <w:r>
        <w:rPr>
          <w:b/>
        </w:rPr>
        <w:t>Shared claim-specific concepts:</w:t>
      </w:r>
      <w:r>
        <w:t xml:space="preserve"> gathering, analyzing, diverse, tool; EU scope not established. This is a provisional connection, not an outcome finding.</w:t>
      </w:r>
    </w:p>
    <w:p>
      <w:pPr>
        <w:pStyle w:val="SourceNote"/>
      </w:pPr>
      <w:r>
        <w:rPr>
          <w:b/>
        </w:rPr>
        <w:t>Available abstract (not full text):</w:t>
      </w:r>
      <w:r>
        <w:t xml:space="preserve">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pPr/>
      <w:r>
        <w:rPr>
          <w:b/>
        </w:rPr>
        <w:t>POSSIBLE 2022:</w:t>
      </w:r>
      <w:r>
        <w:t xml:space="preserve"> MAJOR ISSUES AND DILEMMAS IN INTELLIGENCE GATHERING AND SHARING AS A COUNTERTERRORISM STRATEGY — https://doi.org/10.61426/sjbcm.v9i1.2191</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pPr/>
      <w:r>
        <w:rPr>
          <w:b/>
        </w:rPr>
        <w:t>POSSIBLE 2022:</w:t>
      </w:r>
      <w:r>
        <w:t xml:space="preserve"> STRENGTHENING INTELLIGENCE GATHERING AND SHARING IN REDUCING TERROR RELATED ACTS IN KENYA — https://doi.org/10.61426/sjbcm.v9i1.2192</w:t>
      </w:r>
    </w:p>
    <w:p>
      <w:pPr/>
      <w:r>
        <w:rPr>
          <w:b/>
        </w:rPr>
        <w:t>Shared claim-specific concepts:</w:t>
      </w:r>
      <w:r>
        <w:t xml:space="preserve"> gathering, diverse, here, used; EU scope not established. This is a provisional connection, not an outcome finding.</w:t>
      </w:r>
    </w:p>
    <w:p>
      <w:pPr>
        <w:pStyle w:val="SourceNote"/>
      </w:pPr>
      <w:r>
        <w:rPr>
          <w:b/>
        </w:rPr>
        <w:t>Available abstract (not full text):</w:t>
      </w:r>
      <w:r>
        <w:t xml:space="preserve"> This study explored appropriate measures for strengthening Intelligence Gathering &amp; Sharing in reducing terror related acts in Kenya.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Primary data was collected using open and close-ended questionnaires and interview guide. Data analysis done through mixed analysis method while quantitative data was analyzed through descriptive statistics. Qualitative data was analysed through content analysis. The findings revealed that TT has morphed overtime in terms of actors, motives and targets. Initial TT attacks in the country were indirect attacks on U.S and Israel interest but most subsequent attacks were direct targets to Kenya. The study found that diverse security reforms that have been implemented in the country since independence which have helped to improve IG &amp; S. Major improvements were highlighted to have been streamlined in technology used, training and the information shared. Among the</w:t>
      </w:r>
    </w:p>
    <w:p>
      <w:pPr/>
      <w:r>
        <w:rPr>
          <w:b/>
        </w:rPr>
        <w:t>POSSIBLE 2022:</w:t>
      </w:r>
      <w:r>
        <w:t xml:space="preserve"> Data Gathering Techniques in WSN: A Cross-Layer View — https://doi.org/10.3390/s22072650</w:t>
      </w:r>
    </w:p>
    <w:p>
      <w:pPr/>
      <w:r>
        <w:rPr>
          <w:b/>
        </w:rPr>
        <w:t>Shared claim-specific concepts:</w:t>
      </w:r>
      <w:r>
        <w:t xml:space="preserve"> gathering, diverse, view; EU scope not established. This is a provisional connection, not an outcome finding.</w:t>
      </w:r>
    </w:p>
    <w:p>
      <w:pPr>
        <w:pStyle w:val="SourceNote"/>
      </w:pPr>
      <w:r>
        <w:rPr>
          <w:b/>
        </w:rPr>
        <w:t>Available abstract (not full text):</w:t>
      </w:r>
      <w:r>
        <w:t xml:space="preserve"> Wireless sensor networks (WSNs) have taken a giant leap in scale, expanding their applicability to a large variety of technological domains and applications, ranging from the Internet of things (IoT) for smart cities and smart homes to wearable technology healthcare applications, underwater, agricultural and environmental monitoring and many more. This expansion is rapidly growing every passing day in terms of the variety, heterogeneity and the number of devices which such applications support. Data collection is commonly the core application in WSN and IoT networks, which are typically composed of a large variety of devices, some constrained by their resources (e.g., processing, storage, energy) and some by highly diverse demands. Many challenges span all the conceptual communication layers, from the Physical to the Applicational. Many novel solutions devised in the past do not scale well with the exponential growth in the population of the devices and need to be adapted, revised, or new innovative solutions are required to comply with this massive growth. Furthermore, recent technological advances present new opportunities which can be leveraged in this context. This paper provides a cross-layer perspective and review of data gathering in WSN and IoT networks. We provide some background and essential milestones that have laid the foundation of many subsequent solutions sugges</w:t>
      </w:r>
    </w:p>
    <w:p>
      <w:pPr>
        <w:pStyle w:val="Heading2"/>
      </w:pPr>
      <w:r>
        <w:t>639.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r>
        <w:rPr>
          <w:b/>
        </w:rPr>
        <w:t>POSSIBLE 2024:</w:t>
      </w:r>
      <w:r>
        <w:t xml:space="preserve"> The effect of lab ageing on different types of fibre-reinforced bitumen — https://doi.org/10.1201/9781003402541-4</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pPr/>
      <w:r>
        <w:rPr>
          <w:b/>
        </w:rPr>
        <w:t>POSSIBLE 2024:</w:t>
      </w:r>
      <w:r>
        <w:t xml:space="preserve"> Chemical and Rheological Evaluation of the Ageing Behaviour of High-Content Crumb Rubber Asphalt Binder — https://doi.org/10.3390/polym16213088</w:t>
      </w:r>
    </w:p>
    <w:p>
      <w:pPr/>
      <w:r>
        <w:rPr>
          <w:b/>
        </w:rPr>
        <w:t>Shared claim-specific concepts:</w:t>
      </w:r>
      <w:r>
        <w:t xml:space="preserve"> ageing, similar, but; EU scope not established. This is a provisional connection, not an outcome finding.</w:t>
      </w:r>
    </w:p>
    <w:p>
      <w:pPr>
        <w:pStyle w:val="SourceNote"/>
      </w:pPr>
      <w:r>
        <w:rPr>
          <w:b/>
        </w:rPr>
        <w:t>Available abstract (not full text):</w:t>
      </w:r>
      <w:r>
        <w:t xml:space="preserve">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pPr/>
      <w:r>
        <w:rPr>
          <w:b/>
        </w:rPr>
        <w:t>POSSIBLE 2023:</w:t>
      </w:r>
      <w:r>
        <w:t xml:space="preserve"> Unveiling India's Ageing Mosaic: State-level Projections Revealing Regional Variations until 2031 — https://doi.org/10.21203/rs.3.rs-3118396/v1</w:t>
      </w:r>
    </w:p>
    <w:p>
      <w:pPr/>
      <w:r>
        <w:rPr>
          <w:b/>
        </w:rPr>
        <w:t>Shared claim-specific concepts:</w:t>
      </w:r>
      <w:r>
        <w:t xml:space="preserve"> different, ageing, indices, but, abstract, population; EU scope not established. This is a provisional connection, not an outcome finding.</w:t>
      </w:r>
    </w:p>
    <w:p>
      <w:pPr>
        <w:pStyle w:val="SourceNote"/>
      </w:pPr>
      <w:r>
        <w:rPr>
          <w:b/>
        </w:rPr>
        <w:t>Available abstract (not full text):</w:t>
      </w:r>
      <w:r>
        <w:t xml:space="preserve">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pPr/>
      <w:r>
        <w:rPr>
          <w:b/>
        </w:rPr>
        <w:t>POSSIBLE 2023:</w:t>
      </w:r>
      <w:r>
        <w:t xml:space="preserve"> Geospatial analysis of population ageing in Bosnia and Herzegovina — https://doi.org/10.5937/gp27-41960</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pPr/>
      <w:r>
        <w:rPr>
          <w:b/>
        </w:rPr>
        <w:t>POSSIBLE 2022:</w:t>
      </w:r>
      <w:r>
        <w:t xml:space="preserve"> Relationship of Different Anthropometric Indices with Vascular Ageing in an Adult Population without Cardiovascular Disease—EVA Study — https://doi.org/10.3390/jcm11092671</w:t>
      </w:r>
    </w:p>
    <w:p>
      <w:pPr/>
      <w:r>
        <w:rPr>
          <w:b/>
        </w:rPr>
        <w:t>Shared claim-specific concepts:</w:t>
      </w:r>
      <w:r>
        <w:t xml:space="preserve"> different, ageing, indices, population, estimate; EU scope visible. This is a provisional connection, not an outcome finding.</w:t>
      </w:r>
    </w:p>
    <w:p>
      <w:pPr>
        <w:pStyle w:val="SourceNote"/>
      </w:pPr>
      <w:r>
        <w:rPr>
          <w:b/>
        </w:rPr>
        <w:t>Available abstract (not full text):</w:t>
      </w:r>
      <w:r>
        <w:t xml:space="preserve"> The objectives of this study were to analyse the capacity of different anthropometric indices to predict vascular ageing and this association in Spanish adult population without cardiovascular disease. A total of 501 individuals without cardiovascular disease residing in the capital of Salamanca (Spain) were selected (mean age: 55.9 years, 50.3% women), through stratified random sampling by age and sex. Starting from anthropometric measurements such as weight, height, and waist circumference, hip circumference, or biochemical parameters, we could estimate different indices that reflected general obesity, abdominal obesity, and body fat distribution. Arterial stiffness was evaluated by measuring carotid-femoral pulse wave velocity (cf-PWV) using a SphygmoCor® device. Vascular ageing was defined in three steps: Step 1: the participants with vascular injury were classified as early vascular ageing (EVA); Step 2: classification of the participants using the 10 and 90 percentiles of cf-PWV in the study population by age and sex in EVA, healthy vascular ageing (HVA) and normal vascular ageing (NVA); Step 3: re-classification of participants with arterial hypertension or type 2 diabetes mellitus included in HVA as NVA. The total prevalence of HVA and EVA was 8.4% and 21.4%, respectively. All the analysed anthropometric indices, except waist/hip ratio (WHpR), were associated with vascu</w:t>
      </w:r>
    </w:p>
    <w:p>
      <w:pPr/>
      <w:r>
        <w:rPr>
          <w:b/>
        </w:rPr>
        <w:t>POSSIBLE 2022:</w:t>
      </w:r>
      <w:r>
        <w:t xml:space="preserve"> State of the art: Multiscale evaluation of bitumen ageing behaviour — https://doi.org/10.1016/j.fuel.2022.125045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Ageing is a common phenomenon that seriously affects the performance and service life of asphalt pavements. In this paper, multiscale evaluations of bitumen ageing behaviour were reviewed to better understand the bitumen ageing mechanism and thereby contribute to future anti-ageing and binder rejuvenation work in this area. The paper initially looks at conventional as well as bespoke ageing methods before concentrating on bitumen ageing evaluation at different scales ranging from macro, meso, micro to nano scale. This is done by introducing the application of differential scanning calorimetry (DSC) and thermogravimetric analysis (TGA) in thermal indices; thin-layer chromatography-flame ionization detector (TLC-FID), gel permeation chromatography (GPC) and Fourier infrared spectrometer (FTIR) in components and functional groups; atomic force microscopy (AFM), optical spectroscopy and fluorescence spectroscopy (FM) in microstructural analysis; and, finally, nuclear magnetic resonance (NMR), time-of-flight secondary ion mass spectrometry (TOF-SIMS) and molecular dynamic simulations at the nanoscale. This review paper highlights the intricate correlations between the different hierarchical scales of bitumen ageing and the importance of a multiscale approach to provide a more comprehensive study and understanding of the ageing of bitumen.</w:t>
      </w:r>
    </w:p>
    <w:p>
      <w:pPr>
        <w:pStyle w:val="Heading2"/>
      </w:pPr>
      <w:r>
        <w:t>640.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r>
        <w:rPr>
          <w:b/>
        </w:rPr>
        <w:t>POSSIBLE 2024:</w:t>
      </w:r>
      <w:r>
        <w:t xml:space="preserve"> Measuring Digital Sustainability Paying Attention to the Economic, Social, and Environmental Dimensions: A European Perspective — https://doi.org/10.1007/s11205-024-03459-9</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Sustainability Pluralism in the Pharmaceutical Strategy for Europe: In Search of Social, Environmental and Economic Trends — https://doi.org/10.2139/ssrn.4991533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Valuing Public Sector Data in Scotland and Europe: Data Governance for Economic, Environmental and Social Development — https://doi.org/10.20933/100001329</w:t>
      </w:r>
    </w:p>
    <w:p>
      <w:pPr/>
      <w:r>
        <w:rPr>
          <w:b/>
        </w:rPr>
        <w:t>Shared claim-specific concepts:</w:t>
      </w:r>
      <w:r>
        <w:t xml:space="preserve"> environmental, different, needs, explored, benefits; EU scope visible. This is a provisional connection, not an outcome finding.</w:t>
      </w:r>
    </w:p>
    <w:p>
      <w:pPr>
        <w:pStyle w:val="SourceNote"/>
      </w:pPr>
      <w:r>
        <w:rPr>
          <w:b/>
        </w:rPr>
        <w:t>Available abstract (not full text):</w:t>
      </w:r>
      <w:r>
        <w:t xml:space="preserve">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pPr/>
      <w:r>
        <w:rPr>
          <w:b/>
        </w:rPr>
        <w:t>POSSIBLE 2023:</w:t>
      </w:r>
      <w:r>
        <w:t xml:space="preserve"> Advancing the European energy transition based on environmental, economic and social justice — https://doi.org/10.1016/j.spc.2023.10.013</w:t>
      </w:r>
    </w:p>
    <w:p>
      <w:pPr/>
      <w:r>
        <w:rPr>
          <w:b/>
        </w:rPr>
        <w:t>Shared claim-specific concepts:</w:t>
      </w:r>
      <w:r>
        <w:t xml:space="preserve"> environmental, sustainability; EU scope visible. This is a provisional connection, not an outcome finding.</w:t>
      </w:r>
    </w:p>
    <w:p>
      <w:pPr>
        <w:pStyle w:val="SourceNote"/>
      </w:pPr>
      <w:r>
        <w:rPr>
          <w:b/>
        </w:rPr>
        <w:t>Available abstract (not full text):</w:t>
      </w:r>
      <w:r>
        <w:t xml:space="preserve"> Energy transition has implications not only for economic growth and social welfare but also for the planet. It is therefore important to provide a framework of quantifying how this transition might affect these aspects from a triple perspective. In this regard, an in-depth and critical analysis of the available reports, policy frameworks and initiatives on energy transition, under the sustainable and circular perspectives, has been developed. This manuscript provides a “know-how” framework to assist in decision making and to assess the effectiveness, gaps and future actions to be developed for an effective energy transition. It presents a set of indicators to assess the sustainable and circular potential of emerging technologies and renewable energy production schemes, focusing on the environmental, social and economic pillars. It also highlights the policies and initiatives that should be implemented to facilitate this transition, as well as analyzing a comparison between European countries on how to improve energy renewability in those with low scores in the energy transition indexes. This study provides a critical analysis of the implications on energy transition over environmental, social and economic sustainability, as well as on circularity. It provides a preselection of the most appropriate indicators (both quantitative and qualitative) to effectively analyze the transit</w:t>
      </w:r>
    </w:p>
    <w:p>
      <w:pPr/>
      <w:r>
        <w:rPr>
          <w:b/>
        </w:rPr>
        <w:t>POSSIBLE 2023:</w:t>
      </w:r>
      <w:r>
        <w:t xml:space="preserve"> Sustainable Development in Europe: A Review of the Forestry Sector's Social, Environmental, and Economic Dynamics — https://doi.org/10.56556/gssr.v2i3.585</w:t>
      </w:r>
    </w:p>
    <w:p>
      <w:pPr/>
      <w:r>
        <w:rPr>
          <w:b/>
        </w:rPr>
        <w:t>Shared claim-specific concepts:</w:t>
      </w:r>
      <w:r>
        <w:t xml:space="preserve"> environmental, wood, strategies, variety; EU scope visible. This is a provisional connection, not an outcome finding.</w:t>
      </w:r>
    </w:p>
    <w:p>
      <w:pPr>
        <w:pStyle w:val="SourceNote"/>
      </w:pPr>
      <w:r>
        <w:rPr>
          <w:b/>
        </w:rPr>
        <w:t>Available abstract (not full text):</w:t>
      </w:r>
      <w:r>
        <w:t xml:space="preserve"> Despite their resilience, forest ecosystems become increasingly impacted by extreme climatic events, fires, and pathogen outbursts, which have considerable economic repercussions. How forest management solves these difficulties will affect human health, environmental variety, productivity, and forest ecosystem recuperation from exogenic distresses. Assuming forests provide ecosystem services essential to society and humanity along with wood, a better understanding of forest ecosystems seems essential to defining a development policy that meets ecological safeguard and energy and climate goals. According to the UN 2030 Agenda's Sustainable Development Goals, European forest management practices still don't provide a clear picture of ecological conditions, monetary estimate, and biodiversity. In light of the existing research, this article reviews and discusses recent European forestry industry trends and the environmental-economic nexus' complexity. Wood use has social consequences for regions adapting to ecological change, from rising temperatures to landscape modifications. This paper confirms that the technical-economic dimensions of forestry affect short-term economic dynamics, sector growth prospects, supply chain organization, company interconnections, and investment strategies. Forestry practices conserve species and habitats while boosting sustainable timber production. </w:t>
      </w:r>
    </w:p>
    <w:p>
      <w:pPr/>
      <w:r>
        <w:rPr>
          <w:b/>
        </w:rPr>
        <w:t>POSSIBLE 2023:</w:t>
      </w:r>
      <w:r>
        <w:t xml:space="preserve"> Sustainability assessment of economic, environmental and social impacts, feed-food competition and economic robustness of dairy and beef farming systems in South Western Europe — https://doi.org/10.1016/j.spc.2023.01.022</w:t>
      </w:r>
    </w:p>
    <w:p>
      <w:pPr/>
      <w:r>
        <w:rPr>
          <w:b/>
        </w:rPr>
        <w:t>Shared claim-specific concepts:</w:t>
      </w:r>
      <w:r>
        <w:t xml:space="preserve"> environmental, impacts, different, needs, assessed, sustainability; EU scope visible. This is a provisional connection, not an outcome finding.</w:t>
      </w:r>
    </w:p>
    <w:p>
      <w:pPr>
        <w:pStyle w:val="SourceNote"/>
      </w:pPr>
      <w:r>
        <w:rPr>
          <w:b/>
        </w:rPr>
        <w:t>Available abstract (not full text):</w:t>
      </w:r>
      <w:r>
        <w:t xml:space="preserve"> The objective of this study was to evaluate the sustainability of cattle systems in South Western Europe by combining life cycle sustainability assessment (LCSA) with assessment of feed-food competition and economic robustness. We studied three cattle systems using different proportions of semi-natural pasture, and producing either only beef or milk and beef, i.e. a dairy system with Holstein breed in the lowlands of France with &lt;5% of the total land used being semi-natural pastures (HolSy), a dairy system with Montbeliarde breed in the highlands of France with approximately 25% of the total land used being semi-natural pastures (MonSy), and a pure beef system with Parda de Montana breed in the highlands of Spain with &gt;85% of the total land used being semi-natural pastures (ParSy). The functional unit for LCSA was 1000 kg protein of animal origin and the system boundary was from cradle to farmgate. The cattle production systems were assessed using 27 indicators (LCSA, feed-food competition and robustness). The results indicated that MonSy performed less well for 10 and ParSy for 14 out of the 27 indicators researched when compared to HolSy, the reference case. HolSy was less sensitive to a support payment decrease and had lower social impacts on farmers than the other two systems. MonSy had lower impacts on some environmental indicators, lower life cycle costs, lower social imp</w:t>
      </w:r>
    </w:p>
    <w:p>
      <w:pPr>
        <w:pStyle w:val="Heading2"/>
      </w:pPr>
      <w:r>
        <w:t>641.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action, climate, emission, reduction;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Biobased Innovation as a Fashion and Textile Design Must: A European Perspective — https://doi.org/10.3390/su14010570</w:t>
      </w:r>
    </w:p>
    <w:p>
      <w:pPr/>
      <w:r>
        <w:rPr>
          <w:b/>
        </w:rPr>
        <w:t>Shared claim-specific concepts:</w:t>
      </w:r>
      <w:r>
        <w:t xml:space="preserve"> must, possible, feasible; EU scope visible. This is a provisional connection, not an outcome finding.</w:t>
      </w:r>
    </w:p>
    <w:p>
      <w:pPr>
        <w:pStyle w:val="SourceNote"/>
      </w:pPr>
      <w:r>
        <w:rPr>
          <w:b/>
        </w:rPr>
        <w:t>Available abstract (not full text):</w:t>
      </w:r>
      <w:r>
        <w:t xml:space="preserve">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pPr/>
      <w:r>
        <w:rPr>
          <w:b/>
        </w:rPr>
        <w:t>POSSIBLE 2022:</w:t>
      </w:r>
      <w:r>
        <w:t xml:space="preserve"> Musical Responses to Western European Bureaucratic Action — https://doi.org/10.47611/jsrhs.v11i3.2902</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With the rise of popular culture music, as well as resurgence of traditional folk music in the late twentieth century, Western cultures, distinctly Western European states, saw the relations between music and politics emerge to its current state- a deeply intertwined dependency between the two, with its effect spreading across borders to reach greater populations. To look at how the relations between music and politics came to be, first the examination of the dependency between the two in the latter half of the twentieth century must occur. Across genres, artists drew inspiration from their current political climate, creating music as a response. Yet, political action also resulted from music, distinctly with songs coined as “protest soundtracks.” The multifaceted nature of the relationship allows for a greater understanding of the extremes of this relationship, distinctly with music censorship occurring in most European states, democratic and authoritative alike. The continued censorship of music from European states leads to the notion that the existence of music warrants political action, despite proven lack of substantive response of the music itself. To grant a greater autonomy to artists and develop an enhanced comprehension of the multifaceted relationship that is music and politics, the implementation of music-based lessons of core classes into secondary schools will wa</w:t>
      </w:r>
    </w:p>
    <w:p>
      <w:pPr/>
      <w:r>
        <w:rPr>
          <w:b/>
        </w:rPr>
        <w:t>POSSIBLE 2021:</w:t>
      </w:r>
      <w:r>
        <w:t xml:space="preserve"> Innovative actions in oceans and human health for Europe — https://doi.org/10.1093/heapro/daab203</w:t>
      </w:r>
    </w:p>
    <w:p>
      <w:pPr/>
      <w:r>
        <w:rPr>
          <w:b/>
        </w:rPr>
        <w:t>Shared claim-specific concepts:</w:t>
      </w:r>
      <w:r>
        <w:t xml:space="preserve"> action, climate, targets; EU scope visible. This is a provisional connection, not an outcome finding.</w:t>
      </w:r>
    </w:p>
    <w:p>
      <w:pPr>
        <w:pStyle w:val="SourceNote"/>
      </w:pPr>
      <w:r>
        <w:rPr>
          <w:b/>
        </w:rPr>
        <w:t>Available abstract (not full text):</w:t>
      </w:r>
      <w:r>
        <w:t xml:space="preserve"> Innovative actions are local initiatives which leverage the interactions between the ocean and human health to reduce the risks and enhance the benefits for the stakeholders and the natural environment. These initiatives can have strong positive effects on human health and wellbeing as well as on the marine environment. We analysed 150 such innovative actions in Europe. Using a combined case study and survey approach, innovative actions were identified using interviews and content analysis of websites and compiled into a database. Quantitative data were analysed according to the Drivers, Pressures, State, Impact and Response (DPSIR) framework, guided by selected in-depth interviews. Overall, the innovative actions provided a positive impact on the health of both the ocean and humans through increasing food provision, water quality and tourism opportunities; and addressing environmental issues such as commercial fish stock depletion, pollution and climate change. Innovative actions contributed to meeting various targets of the Sustainable Development Goals (SDGs) 3, 13 and 14. These actions played a potential role ahead of and alongside policy. Some of the innovative actions may have potential to be put in place elsewhere. Such up-scaling would need to be adapted to local circumstances and could be facilitated by an innovative action exchange platform.</w:t>
      </w:r>
    </w:p>
    <w:p>
      <w:pPr/>
      <w:r>
        <w:rPr>
          <w:b/>
        </w:rPr>
        <w:t>POSSIBLE 2021:</w:t>
      </w:r>
      <w:r>
        <w:t xml:space="preserve"> Climate Action at Public Health Schools in the European Region — https://doi.org/10.3390/ijerph18041518</w:t>
      </w:r>
    </w:p>
    <w:p>
      <w:pPr/>
      <w:r>
        <w:rPr>
          <w:b/>
        </w:rPr>
        <w:t>Shared claim-specific concepts:</w:t>
      </w:r>
      <w:r>
        <w:t xml:space="preserve"> action, taken, climate, strategy, show; EU scope visible. This is a provisional connection, not an outcome finding.</w:t>
      </w:r>
    </w:p>
    <w:p>
      <w:pPr>
        <w:pStyle w:val="SourceNote"/>
      </w:pPr>
      <w:r>
        <w:rPr>
          <w:b/>
        </w:rPr>
        <w:t>Available abstract (not full text):</w:t>
      </w:r>
      <w:r>
        <w:t xml:space="preserve"> Climate change is putting the achievement of all Sustainable Development Goals at risk and leads to negative impacts on human health and well-being. Consequently, tremendous social responsibility lies with public health professionals and their associations. Therefore, this study addressed the following question: "How can the Association of Schools of Public Health in the European Region (ASPHER) best support the goals of the European Green Deal through its network of public health schools and departments?" This study looked at the implementation of climate education in public health schools in the European region and climate action taken by these public health schools. An online survey among ASPHER members with a 51% overall response rate (excluding non-European members) shows that 64% of the responding schools provide climate-health educational offerings, while 63% consider these for the future. Additionally, most climate actions taken by the schools were ad hoc actions. These findings show that a systematic approach is missing, and there is a general lack of strategy in most schools. We consequently recommend that schools invest in climate and health education in their curricula and become exemplars for climate action to actively contribute to the achievement of Europe's climate goals.</w:t>
      </w:r>
    </w:p>
    <w:p>
      <w:pPr/>
      <w:r>
        <w:rPr>
          <w:b/>
        </w:rPr>
        <w:t>POSSIBLE 2020:</w:t>
      </w:r>
      <w:r>
        <w:t xml:space="preserve"> Analysing European Union circular economy policies: words versus actions — https://doi.org/10.1016/j.spc.2020.11.001</w:t>
      </w:r>
    </w:p>
    <w:p>
      <w:pPr/>
      <w:r>
        <w:rPr>
          <w:b/>
        </w:rPr>
        <w:t>Shared claim-specific concepts:</w:t>
      </w:r>
      <w:r>
        <w:t xml:space="preserve"> action, taken, show, increase; EU scope visible. This is a provisional connection, not an outcome finding.</w:t>
      </w:r>
    </w:p>
    <w:p>
      <w:pPr>
        <w:pStyle w:val="SourceNote"/>
      </w:pPr>
      <w:r>
        <w:rPr>
          <w:b/>
        </w:rPr>
        <w:t>Available abstract (not full text):</w:t>
      </w:r>
      <w:r>
        <w:t xml:space="preserve"> Since the publication of the European Union's Circular Economy Action Plan in 2015, this new sustainability paradigm has become a guiding force behind the environmental and economic policies of the Junker Commission. The European Union (EU) has taken a particular approach to circularity, with high expectations to increase competitiveness, promote economic growth and create jobs while reducing environmental impacts and resource dependency. However, the circular economy (CE) is a contested paradigm, for which many competing interpretations exist, each seeking varying degrees of social, ecological and political transformation. Considering the emerging and contested state of the academic literature on CE, the EU's embrace of the concept is a remarkable phenomenon, which remains poorly researched. The aim of this paper is thus to address this research gap by analysing the CE discourse and policies of the Junker Commission (2014-2019) in order to critically discuss their sustainability implications and develop key policy recommendations. To do so, this research uses a combination of qualitative and quantitative research methods. The paper first critically analyses the EU's discourse based on a typology of circularity discourses. It then reviews the complex set of concrete CE policies and actions adopted by the EU and compares them to its discourse. Results show a dichotomy between wo</w:t>
      </w:r>
    </w:p>
    <w:p>
      <w:pPr>
        <w:pStyle w:val="Heading2"/>
      </w:pPr>
      <w:r>
        <w:t>642.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Unlocking the Power of Crowds: Exploring Crowdsourcing and Crowdfunding Initiatives in Europe — https://doi.org/10.7336/academicus.2023.28.08</w:t>
      </w:r>
    </w:p>
    <w:p>
      <w:pPr/>
      <w:r>
        <w:rPr>
          <w:b/>
        </w:rPr>
        <w:t>Shared claim-specific concepts:</w:t>
      </w:r>
      <w:r>
        <w:t xml:space="preserve"> article, aims, exploring, between, support; EU scope visible. This is a provisional connection, not an outcome finding.</w:t>
      </w:r>
    </w:p>
    <w:p>
      <w:pPr>
        <w:pStyle w:val="SourceNote"/>
      </w:pPr>
      <w:r>
        <w:rPr>
          <w:b/>
        </w:rPr>
        <w:t>Available abstract (not full text):</w:t>
      </w:r>
      <w:r>
        <w:t xml:space="preserve">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pPr/>
      <w:r>
        <w:rPr>
          <w:b/>
        </w:rPr>
        <w:t>POSSIBLE 2022:</w:t>
      </w:r>
      <w:r>
        <w:t xml:space="preserve"> Exploring the Geography of Subjective Happiness in Europe During the Years of the Economic Crisis: A Multilevel Modelling Approach — https://doi.org/10.1007/s11205-021-02874-6</w:t>
      </w:r>
    </w:p>
    <w:p>
      <w:pPr/>
      <w:r>
        <w:rPr>
          <w:b/>
        </w:rPr>
        <w:t>Shared claim-specific concepts:</w:t>
      </w:r>
      <w:r>
        <w:t xml:space="preserve"> article, exploring, understanding; EU scope visible. This is a provisional connection, not an outcome finding.</w:t>
      </w:r>
    </w:p>
    <w:p>
      <w:pPr>
        <w:pStyle w:val="SourceNote"/>
      </w:pPr>
      <w:r>
        <w:rPr>
          <w:b/>
        </w:rPr>
        <w:t>Available abstract (not full text):</w:t>
      </w:r>
      <w:r>
        <w:t xml:space="preserve">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exploring, between;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2021:</w:t>
      </w:r>
      <w:r>
        <w:t xml:space="preserve"> Judicial Dialogue in Social Media Cases in Europe: Exploring the Role of Peers in Judicial Adjudication — https://doi.org/10.1017/glj.2021.57</w:t>
      </w:r>
    </w:p>
    <w:p>
      <w:pPr/>
      <w:r>
        <w:rPr>
          <w:b/>
        </w:rPr>
        <w:t>Shared claim-specific concepts:</w:t>
      </w:r>
      <w:r>
        <w:t xml:space="preserve"> article, aims, exploring; EU scope visible. This is a provisional connection, not an outcome finding.</w:t>
      </w:r>
    </w:p>
    <w:p>
      <w:pPr>
        <w:pStyle w:val="SourceNote"/>
      </w:pPr>
      <w:r>
        <w:rPr>
          <w:b/>
        </w:rPr>
        <w:t>Available abstract (not full text):</w:t>
      </w:r>
      <w:r>
        <w:t xml:space="preserve"> Abstract This Article aims to examine the social media jurisprudence of national courts in a selected set of EU Member States by focusing on judicial dialogue specifically via references to the case law of other courts. Do judges in social media cases engage with the case law of peers, and if so how and to what extent? The analysis investigates whether national judges draw on the jurisprudence of higher domestic courts, foreign courts and/or European supranational courts—the Court of Justice of the European Union (CJEU) and the European Court of Human Rights (ECtHR)—and explores the use of such jurisprudence. It is based on 147 cases from the constitutional and/or supreme courts of Bulgaria, Croatia, Greece, Italy, Latvia, Slovakia, and Slovenia. Although judicial dialogue is generally limited in the cases under study, the analysis illustrates the different ways in which courts interact with the rulings of peers and informs on the latter’s contribution to judicial assessment.</w:t>
      </w:r>
    </w:p>
    <w:p>
      <w:pPr/>
      <w:r>
        <w:rPr>
          <w:b/>
        </w:rPr>
        <w:t>POSSIBLE 2020:</w:t>
      </w:r>
      <w:r>
        <w:t xml:space="preserve"> Creative Connections: The power of contemporary art to explore European citizenship — https://doi.org/10.14324/lre.18.2.10</w:t>
      </w:r>
    </w:p>
    <w:p>
      <w:pPr/>
      <w:r>
        <w:rPr>
          <w:b/>
        </w:rPr>
        <w:t>Shared claim-specific concepts:</w:t>
      </w:r>
      <w:r>
        <w:t xml:space="preserve"> article, citizens, perceptions; EU scope visible. This is a provisional connection, not an outcome finding.</w:t>
      </w:r>
    </w:p>
    <w:p>
      <w:pPr>
        <w:pStyle w:val="SourceNote"/>
      </w:pPr>
      <w:r>
        <w:rPr>
          <w:b/>
        </w:rPr>
        <w:t>Available abstract (not full text):</w:t>
      </w:r>
      <w:r>
        <w:t xml:space="preserve"> Across Europe, educational institutions are essential in assisting exploration of politics, culture and history, and the use of creative arts appears crucial to supporting this aim. This article reports on Creative Connections, a multi-partner research project that facilitated exchanges for young people to explore their European identities using online art galleries and blogging technologies. Their multimodal conversations revealed an openness to consider artworks as sources of knowledge and experience. Participants did not focus on the nationality of the artist, but concentrated on the relationship that the subject matter of the work had with their own concerns. Anxiety related to populism, exclusive nationalism, social inequality and new forms of labour appeared to impact young European citizens’ relationships and their perceptions of democracy.</w:t>
      </w:r>
    </w:p>
    <w:p>
      <w:pPr/>
      <w:r>
        <w:rPr>
          <w:b/>
        </w:rPr>
        <w:t>POSSIBLE 2020:</w:t>
      </w:r>
      <w:r>
        <w:t xml:space="preserve"> The content and potential of the right to social assistance in light of Article 13 of the European Social Charter — https://doi.org/10.1177/1388262720908695</w:t>
      </w:r>
    </w:p>
    <w:p>
      <w:pPr/>
      <w:r>
        <w:rPr>
          <w:b/>
        </w:rPr>
        <w:t>Shared claim-specific concepts:</w:t>
      </w:r>
      <w:r>
        <w:t xml:space="preserve"> article, aims, support; EU scope visible. This is a provisional connection, not an outcome finding.</w:t>
      </w:r>
    </w:p>
    <w:p>
      <w:pPr>
        <w:pStyle w:val="SourceNote"/>
      </w:pPr>
      <w:r>
        <w:rPr>
          <w:b/>
        </w:rPr>
        <w:t>Available abstract (not full text):</w:t>
      </w:r>
      <w:r>
        <w:t xml:space="preserve"> This article explores the current development of the right to social assistance as well as its potential for improving income support policies. Focusing on Article 13 of the European Social Charter (ESC), it aims to shed light on the content of such provision by identifying a list of comprehensive defining standards from the monitoring activity conducted by the European Committee of Social Rights (ECSR). Secondly, it asks whether the right can effectively enhance access to social assistance in practice by studying the implementation of the right in two national cases, the UK and Spain. The article concludes that Article 13 ESC imposes clear obligations on States Parties regarding aspects of the implementation of assistance schemes, such as the level of assistance and the right to appeal. Nevertheless, practical aspects of implementation should be taken into account for the effective realisation of the right. The ESC provisions, as well as the ECSR’s Conclusions, should be enforced by States at the national level. Furthermore, the standards developed by the ECSR for Article 13 can be complemented by recommendations currently suggested by civil society, such as the increased flexibility of activation measures for households with parenting duties, and the splitting of payments to achieve financial independence.</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exploring, understanding, between, support, technological;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Exploring inclusive education across Europe: some insights from the European Agency Statistics on Inclusive Education — https://doi.org/10.32865/fire202061172</w:t>
      </w:r>
    </w:p>
    <w:p>
      <w:pPr/>
      <w:r>
        <w:rPr>
          <w:b/>
        </w:rPr>
        <w:t>Shared claim-specific concepts:</w:t>
      </w:r>
      <w:r>
        <w:t xml:space="preserve"> article, exploring, insights, between; EU scope visible. This is a provisional connection, not an outcome finding.</w:t>
      </w:r>
    </w:p>
    <w:p>
      <w:pPr>
        <w:pStyle w:val="SourceNote"/>
      </w:pPr>
      <w:r>
        <w:rPr>
          <w:b/>
        </w:rPr>
        <w:t>Available abstract (not full text):</w:t>
      </w:r>
      <w:r>
        <w:t xml:space="preserve"> The European Agency Statistics on Inclusive Education (EASIE) work focuses upon the collection and analysis of longitudinal, comparative national data related to inclusive education systems and learners with officially recognised special educational needs (SEN) among its 31 member countries. In this article, the EASIE work is discussed in relation to the key concepts of presence, placement, participation and progress within inclusive education systems.The findings of the EASIE work indicate differences and variations between countries in how they respond to all learners</w:t>
      </w:r>
    </w:p>
    <w:p>
      <w:pPr>
        <w:pStyle w:val="Heading2"/>
      </w:pPr>
      <w:r>
        <w:t>643.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2022:</w:t>
      </w:r>
      <w:r>
        <w:t xml:space="preserve"> The micro-macro interplay of economic factors in late-life loneliness: Evidence from Europe and China — https://doi.org/10.3389/fpubh.2022.968411</w:t>
      </w:r>
    </w:p>
    <w:p>
      <w:pPr/>
      <w:r>
        <w:rPr>
          <w:b/>
        </w:rPr>
        <w:t>Shared claim-specific concepts:</w:t>
      </w:r>
      <w:r>
        <w:t xml:space="preserve"> china, need, increase, low; EU scope visible. This is a provisional connection, not an outcome finding.</w:t>
      </w:r>
    </w:p>
    <w:p>
      <w:pPr>
        <w:pStyle w:val="SourceNote"/>
      </w:pPr>
      <w:r>
        <w:rPr>
          <w:b/>
        </w:rPr>
        <w:t>Available abstract (not full text):</w:t>
      </w:r>
      <w:r>
        <w:t xml:space="preserve">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pPr/>
      <w:r>
        <w:rPr>
          <w:b/>
        </w:rPr>
        <w:t>POSSIBLE 2021:</w:t>
      </w:r>
      <w:r>
        <w:t xml:space="preserve"> Increased trade with China and Eastern Europe hardly affects Dutch workers — https://openalex.org/W3187283793</w:t>
      </w:r>
    </w:p>
    <w:p>
      <w:pPr/>
      <w:r>
        <w:rPr>
          <w:b/>
        </w:rPr>
        <w:t>Shared claim-specific concepts:</w:t>
      </w:r>
      <w:r>
        <w:t xml:space="preserve"> china, need, increase; EU scope visible. This is a provisional connection, not an outcome finding.</w:t>
      </w:r>
    </w:p>
    <w:p>
      <w:pPr>
        <w:pStyle w:val="SourceNote"/>
      </w:pPr>
      <w:r>
        <w:rPr>
          <w:b/>
        </w:rPr>
        <w:t>Available abstract (not full text):</w:t>
      </w:r>
      <w:r>
        <w:t xml:space="preserve"> Contrary to other studies, we find no robust effect of an increase in trade with China and Central European (CEE) countries on local employment, wages and inequality in the Netherlands. If there is an effect, it is small, with positive effects of increased exports counteracting the negative effects of increased imports. One of the reasons why we find different results for the Netherlands is the fact that the Dutch manufacturing industry was already undergoing changes well before the emergence of China and the CEE countries and became less sensitive to import competition from China or the CEE countries. In addition, the Netherlands has collective wage negotiations, which may help to explain that we do not find any effects on wages. While the effect of increased trade with China and the CEE countries on manufacturing jobs is limited, it can create uncertainty for workers. The negative effect of import competition and the positive impact of export opportunities on manufacturing jobs also point to adjustments across industries and regions. Transitioning workers to new types of work can be difficult for these workers, as they are (temporarily) unemployed and may need to move to other regions.</w:t>
      </w:r>
    </w:p>
    <w:p>
      <w:pPr/>
      <w:r>
        <w:rPr>
          <w:b/>
        </w:rPr>
        <w:t>POSSIBLE 2020:</w:t>
      </w:r>
      <w:r>
        <w:t xml:space="preserve"> Dealing with China: A European Perspective — https://doi.org/10.1080/13439006.2020.1826681</w:t>
      </w:r>
    </w:p>
    <w:p>
      <w:pPr/>
      <w:r>
        <w:rPr>
          <w:b/>
        </w:rPr>
        <w:t>Shared claim-specific concepts:</w:t>
      </w:r>
      <w:r>
        <w:t xml:space="preserve"> china, need, increase, investments; EU scope visible. This is a provisional connection, not an outcome finding.</w:t>
      </w:r>
    </w:p>
    <w:p>
      <w:pPr>
        <w:pStyle w:val="SourceNote"/>
      </w:pPr>
      <w:r>
        <w:rPr>
          <w:b/>
        </w:rPr>
        <w:t>Available abstract (not full text):</w:t>
      </w:r>
      <w:r>
        <w:t xml:space="preserve"> The EU faces international (how to tackle Russian and Turkish policies?) and internal challenges, primarily intra-EU cooperation on strategic policies which are not “common European policies.” This reflects in the EU’s China policy. Nonetheless, some progress has been made. European perspectives on China are gradually changing. There is a growing awareness on the part of European institutions of a need to exercise caution over Chinese investments into the European Union and to counterbalance China’s diplomatic initiatives where they oppose European interests. This has opened avenues for cooperation with Japan, which has long taken a cautious yet benevolent approach to China. EU institutions and member states of greater international influence such as France have been keen to increase cooperation with Japan as they worked to strengthen European and internal legal frameworks.</w:t>
      </w:r>
    </w:p>
    <w:p>
      <w:pPr/>
      <w:r>
        <w:rPr>
          <w:b/>
        </w:rPr>
        <w:t>POSSIBLE 2020:</w:t>
      </w:r>
      <w:r>
        <w:t xml:space="preserve"> The People’s Republic of China Connecting Europe? — https://openalex.org/W3084282394</w:t>
      </w:r>
    </w:p>
    <w:p>
      <w:pPr/>
      <w:r>
        <w:rPr>
          <w:b/>
        </w:rPr>
        <w:t>Shared claim-specific concepts:</w:t>
      </w:r>
      <w:r>
        <w:t xml:space="preserve"> china, need, increase, investments, relative; EU scope visible. This is a provisional connection, not an outcome finding.</w:t>
      </w:r>
    </w:p>
    <w:p>
      <w:pPr>
        <w:pStyle w:val="SourceNote"/>
      </w:pPr>
      <w:r>
        <w:rPr>
          <w:b/>
        </w:rPr>
        <w:t>Available abstract (not full text):</w:t>
      </w:r>
      <w:r>
        <w:t xml:space="preserve"> The significance of the Belt and Road Initiative (BRI) of the People's Republic of China (PRC) for Europe is increasing. The diplomatic initiative "16+1," comprising 11 Central and East European EU member states and five Western Balkan economies, expanded to a "17+1" format in April 2019, when Greece officially joined the cooperation forum. In relative terms, the Western Balkans are expected to benefit the most from the BRI, as they show particularly high deficiencies in infrastructure and to date have limited access to EU grants. The economic effects of infrastructure projects in CESEE would, however, trickle through European production and supply chains, with an impact on economies not directly subject to construction plans. EU initiatives presented in 2018 may help to increase complementarity between Chinese and European infrastructure development plans, as well as reducing risks for some European economies, such as unsustainable debt or the rise of new barriers resulting from increased competition for Chinese investments. The BRI is about to change physical and digital connectivity within Europe, while the EU has yet to become an active player engaging in the initiative, in order to enable improved connectivity in Europe to drive economic convergence and not political divergence. The need to establish a level playing field for trade, investment, and its financing has become</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china, need,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The foreign direct investment from China to Europe — https://openalex.org/W3145125818</w:t>
      </w:r>
    </w:p>
    <w:p>
      <w:pPr/>
      <w:r>
        <w:rPr>
          <w:b/>
        </w:rPr>
        <w:t>Shared claim-specific concepts:</w:t>
      </w:r>
      <w:r>
        <w:t xml:space="preserve"> china, need, increase, low, rapid; EU scope visible. This is a provisional connection, not an outcome finding.</w:t>
      </w:r>
    </w:p>
    <w:p>
      <w:pPr>
        <w:pStyle w:val="SourceNote"/>
      </w:pPr>
      <w:r>
        <w:rPr>
          <w:b/>
        </w:rPr>
        <w:t>Available abstract (not full text):</w:t>
      </w:r>
      <w:r>
        <w:t xml:space="preserve"> With the rapid development of China's economy, foreign trade and foreign investment have been taken to great achievements. As in 2000 the Chinese government Chinese actively encourage enterprises going out, and its positioning as a national strategy, China's foreign investment in recent years has entered a period of gold. According to statistics, 2015 annual our country's outward FDI flow of 73.508 million yuan RMB, an increase rate of 14.7%, by the end of the year, China's outward FDI stock accumulated up to 5.4 trillion yuan, which is sufficient to prove that, in our country both from the investment flow or investment stock has been entered the ranks of big country of foreign investment among. In contrast, the European Union and China is the EU's second largest trading partner, very close economic exchanges between China and EU development, but due to the 2008 financial crisis and the European debt crisis to the EU's economic development has brought hit, once malaise, so the current EU need absorb foreign capital to boost the economy and solid economic recovery and relieve the EU internal social and economic contradictions. But the flow and stock of China's FDI is still low compared with the volume of trade between the EU and China, so China still has a huge space for development of EU FDI. Therefore, it is of great significance to study how to further cooperation on investme</w:t>
      </w:r>
    </w:p>
    <w:p>
      <w:pPr>
        <w:pStyle w:val="Heading2"/>
      </w:pPr>
      <w:r>
        <w:t>644.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2020:</w:t>
      </w:r>
      <w:r>
        <w:t xml:space="preserve"> CH2018 – National climate scenarios for Switzerland: How to construct consistent multi-model projections from ensembles of opportunity — https://doi.org/10.1016/j.cliser.2020.100196</w:t>
      </w:r>
    </w:p>
    <w:p>
      <w:pPr/>
      <w:r>
        <w:rPr>
          <w:b/>
        </w:rPr>
        <w:t>Shared claim-specific concepts:</w:t>
      </w:r>
      <w:r>
        <w:t xml:space="preserve"> unique, multi-model, used, ensemble; EU scope visible. This is a provisional connection, not an outcome finding.</w:t>
      </w:r>
    </w:p>
    <w:p>
      <w:pPr>
        <w:pStyle w:val="SourceNote"/>
      </w:pPr>
      <w:r>
        <w:rPr>
          <w:b/>
        </w:rPr>
        <w:t>Available abstract (not full text):</w:t>
      </w:r>
      <w:r>
        <w:t xml:space="preserve">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645.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2022:</w:t>
      </w:r>
      <w:r>
        <w:t xml:space="preserve"> Trends and gaps in photovoltaic power forecasting with machine learning — https://doi.org/10.1016/j.egyr.2022.11.208</w:t>
      </w:r>
    </w:p>
    <w:p>
      <w:pPr/>
      <w:r>
        <w:rPr>
          <w:b/>
        </w:rPr>
        <w:t>Shared claim-specific concepts:</w:t>
      </w:r>
      <w:r>
        <w:t xml:space="preserve"> trends, world, help; EU scope not established. This is a provisional connection, not an outcome finding.</w:t>
      </w:r>
    </w:p>
    <w:p>
      <w:pPr>
        <w:pStyle w:val="SourceNote"/>
      </w:pPr>
      <w:r>
        <w:rPr>
          <w:b/>
        </w:rPr>
        <w:t>Available abstract (not full text):</w:t>
      </w:r>
      <w:r>
        <w:t xml:space="preserve">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pPr/>
      <w:r>
        <w:rPr>
          <w:b/>
        </w:rPr>
        <w:t>POSSIBLE 2020:</w:t>
      </w:r>
      <w:r>
        <w:t xml:space="preserve"> European Mortality Forecasts: Are the Targets Still Moving? — https://doi.org/10.1007/978-3-030-42472-5_9</w:t>
      </w:r>
    </w:p>
    <w:p>
      <w:pPr/>
      <w:r>
        <w:rPr>
          <w:b/>
        </w:rPr>
        <w:t>Shared claim-specific concepts:</w:t>
      </w:r>
      <w:r>
        <w:t xml:space="preserve"> forecasts, show, trends, life; EU scope visible. This is a provisional connection, not an outcome finding.</w:t>
      </w:r>
    </w:p>
    <w:p>
      <w:pPr>
        <w:pStyle w:val="SourceNote"/>
      </w:pPr>
      <w:r>
        <w:rPr>
          <w:b/>
        </w:rPr>
        <w:t>Available abstract (not full text):</w:t>
      </w:r>
      <w:r>
        <w:t xml:space="preserve"> Abstract Many statistical agencies routinely produce population forecasts, and revise these forecasts when new data become available, or when current demographic trends indicate that an update is necessary. When the forecaster strongly revises, from one forecast round to the next one, a forecast for a certain target year (for instance the life expectancy in 2050), this indicates large uncertainty connected to mortality predictions. The aim of this chapter is to shed more light on the uncertainty in mortality forecasts, by analysing the extent to which life expectancy predictions for 2030 and 2050 were revised in subsequent rounds of population forecasts published by statistical agencies in selected countries. It updates and extends earlier work that focused on United Nations and Eurostat forecasts published between 1994 and 2004 (Keilman et al. 2008). There the conclusion was that life expectancy forecasts for 18 European countries for the year 2050 had been revised upwards systematically, by around 2 years on average during the 10-year publication period. A recent analysis based on official population forecasts for Norway published in the period 1999–2018 led to the same conclusion (Keilman 2018). Here we will show that the period of upward revisions seems to have ended for some European countries.</w:t>
      </w:r>
    </w:p>
    <w:p>
      <w:pPr/>
      <w:r>
        <w:rPr>
          <w:b/>
        </w:rPr>
        <w:t>POSSIBLE 2020:</w:t>
      </w:r>
      <w:r>
        <w:t xml:space="preserve"> Trend Analysis and Forecasting of COVID-19 outbreak in India — https://doi.org/10.1101/2020.03.26.20044511</w:t>
      </w:r>
    </w:p>
    <w:p>
      <w:pPr/>
      <w:r>
        <w:rPr>
          <w:b/>
        </w:rPr>
        <w:t>Shared claim-specific concepts:</w:t>
      </w:r>
      <w:r>
        <w:t xml:space="preserve"> show, trends, world; EU scope not established. This is a provisional connection, not an outcome finding.</w:t>
      </w:r>
    </w:p>
    <w:p>
      <w:pPr>
        <w:pStyle w:val="SourceNote"/>
      </w:pPr>
      <w:r>
        <w:rPr>
          <w:b/>
        </w:rPr>
        <w:t>Available abstract (not full text):</w:t>
      </w:r>
      <w:r>
        <w:t xml:space="preserve"> A bstract COVID-19 is spreading really fast around the world. The current study describes the situation of the outbreak of this disease in India and predicts the number of cases expected to rise in India. The study also discusses the regional analysis of Indian states and presents the preparedness level of India in combating this outbreak. The study uses exploratory data analysis to report the current situation and uses time-series forecasting methods to predict the future trends. The data has been considered from the repository of John Hopkins University and covers up the time period from 30 th January 2020 when the first case occurred in India till the end of 24 th March 2020 when the Prime Minister of India declared a complete lockdown in the country for 21 days starting 25 th March 2020. The major findings show that number of infected cases in India is rising quickly with the average infected cases per day rising from 10 to 73 from the first case to the 300 th case. The current mortality rate for India stands around 1.9. Kerala and Maharashtra are the top two infected states in India with more than 100 infected cases reported in each state, respectively. A total of 25 states have reported at least one infected case, however only 8 of them have reported deaths due to COVID-19. The ARIMA model prediction shows that the infected cases in India may reach up to 700 thousands in </w:t>
      </w:r>
    </w:p>
    <w:p>
      <w:pPr>
        <w:pStyle w:val="Heading2"/>
      </w:pPr>
      <w:r>
        <w:t>646.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2021:</w:t>
      </w:r>
      <w:r>
        <w:t xml:space="preserve"> Overview of reported national greenhouse gas policies and measures in Europe in 2021 — https://doi.org/10.5281/zenodo.6020402</w:t>
      </w:r>
    </w:p>
    <w:p>
      <w:pPr/>
      <w:r>
        <w:rPr>
          <w:b/>
        </w:rPr>
        <w:t>Shared claim-specific concepts:</w:t>
      </w:r>
      <w:r>
        <w:t xml:space="preserve"> overview, national; EU scope visible. This is a provisional connection, not an outcome finding.</w:t>
      </w:r>
    </w:p>
    <w:p>
      <w:pPr>
        <w:pStyle w:val="SourceNote"/>
      </w:pPr>
      <w:r>
        <w:rPr>
          <w:b/>
        </w:rPr>
        <w:t>Available abstract (not full text):</w:t>
      </w:r>
      <w:r>
        <w:t xml:space="preserve">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pPr/>
      <w:r>
        <w:rPr>
          <w:b/>
        </w:rPr>
        <w:t>POSSIBLE 2020:</w:t>
      </w:r>
      <w:r>
        <w:t xml:space="preserve"> European Language Grid: An Overview — https://doi.org/10.48550/arxiv.2003.13551</w:t>
      </w:r>
    </w:p>
    <w:p>
      <w:pPr/>
      <w:r>
        <w:rPr>
          <w:b/>
        </w:rPr>
        <w:t>Shared claim-specific concepts:</w:t>
      </w:r>
      <w:r>
        <w:t xml:space="preserve"> overview, national, sectors; EU scope visible. This is a provisional connection, not an outcome finding.</w:t>
      </w:r>
    </w:p>
    <w:p>
      <w:pPr>
        <w:pStyle w:val="SourceNote"/>
      </w:pPr>
      <w:r>
        <w:rPr>
          <w:b/>
        </w:rPr>
        <w:t>Available abstract (not full text):</w:t>
      </w:r>
      <w:r>
        <w:t xml:space="preserve">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pPr/>
      <w:r>
        <w:rPr>
          <w:b/>
        </w:rPr>
        <w:t>POSSIBLE 2020:</w:t>
      </w:r>
      <w:r>
        <w:t xml:space="preserve"> Plant food anti-nutritional factors and their reduction strategies: an overview — https://doi.org/10.1186/s43014-020-0020-5</w:t>
      </w:r>
    </w:p>
    <w:p>
      <w:pPr/>
      <w:r>
        <w:rPr>
          <w:b/>
        </w:rPr>
        <w:t>Shared claim-specific concepts:</w:t>
      </w:r>
      <w:r>
        <w:t xml:space="preserve"> graphical, overview, factors; EU scope not established. This is a provisional connection, not an outcome finding.</w:t>
      </w:r>
    </w:p>
    <w:p>
      <w:pPr>
        <w:pStyle w:val="SourceNote"/>
      </w:pPr>
      <w:r>
        <w:rPr>
          <w:b/>
        </w:rPr>
        <w:t>Available abstract (not full text):</w:t>
      </w:r>
      <w:r>
        <w:t xml:space="preserve"> Abstract Legumes and cereals contain high amounts of macronutrients and micronutrients but also anti-nutritional factors. Major anti-nutritional factors, which are found in edible crops include saponins, tannins, phytic acid, gossypol, lectins, protease inhibitors, amylase inhibitor, and goitrogens. Anti-nutritional factors combine with nutrients and act as the major concern because of reduced nutrient bioavailability. Various other factors like trypsin inhibitors and phytates, which are present mainly in legumes and cereals, reduce the digestibility of proteins and mineral absorption. Anti-nutrients are one of the key factors, which reduce the bioavailability of various components of the cereals and legumes. These factors can cause micronutrient malnutrition and mineral deficiencies. There are various traditional methods and technologies, which can be used to reduce the levels of these anti-nutrient factors. Several processing techniques and methods such as fermentation, germination, debranning, autoclaving, soaking etc. are used to reduce the anti-nutrient contents in foods. By using various methods alone or in combinations, it is possible to reduce the level of anti-nutrients in foods. This review is focused on different types of anti-nutrients, and possible processing methods that can be used to reduce the level of these factors in food products. Graphical abstract A brief </w:t>
      </w:r>
    </w:p>
    <w:p>
      <w:pPr>
        <w:pStyle w:val="Heading2"/>
      </w:pPr>
      <w:r>
        <w:t>647.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Design and application of a key performance indicator (KPI) framework for autonomous shipping in Europe — https://doi.org/10.1016/j.martra.2023.100095</w:t>
      </w:r>
    </w:p>
    <w:p>
      <w:pPr/>
      <w:r>
        <w:rPr>
          <w:b/>
        </w:rPr>
        <w:t>Shared claim-specific concepts:</w:t>
      </w:r>
      <w:r>
        <w:t xml:space="preserve"> effect, key, systems; EU scope visible. This is a provisional connection, not an outcome finding.</w:t>
      </w:r>
    </w:p>
    <w:p>
      <w:pPr>
        <w:pStyle w:val="SourceNote"/>
      </w:pPr>
      <w:r>
        <w:rPr>
          <w:b/>
        </w:rPr>
        <w:t>Available abstract (not full text):</w:t>
      </w:r>
      <w:r>
        <w:t xml:space="preserve">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pPr/>
      <w:r>
        <w:rPr>
          <w:b/>
        </w:rPr>
        <w:t>POSSIBLE 2022:</w:t>
      </w:r>
      <w:r>
        <w:t xml:space="preserve"> European Citizens’ Happiness: Key Factors and the Mediating Effect of Quality of Life, a PLS Approach — https://doi.org/10.3390/math10030367</w:t>
      </w:r>
    </w:p>
    <w:p>
      <w:pPr/>
      <w:r>
        <w:rPr>
          <w:b/>
        </w:rPr>
        <w:t>Shared claim-specific concepts:</w:t>
      </w:r>
      <w:r>
        <w:t xml:space="preserve"> effect, key, population, increasing, show; EU scope visible. This is a provisional connection, not an outcome finding.</w:t>
      </w:r>
    </w:p>
    <w:p>
      <w:pPr>
        <w:pStyle w:val="SourceNote"/>
      </w:pPr>
      <w:r>
        <w:rPr>
          <w:b/>
        </w:rPr>
        <w:t>Available abstract (not full text):</w:t>
      </w:r>
      <w:r>
        <w:t xml:space="preserve">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effect, increasing, distribution, systems;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Assessing the energy potential of modernizing the European hydropower fleet — https://doi.org/10.1016/j.enconman.2021.114655</w:t>
      </w:r>
    </w:p>
    <w:p>
      <w:pPr/>
      <w:r>
        <w:rPr>
          <w:b/>
        </w:rPr>
        <w:t>Shared claim-specific concepts:</w:t>
      </w:r>
      <w:r>
        <w:t xml:space="preserve"> increasing, expected, potential; EU scope visible. This is a provisional connection, not an outcome finding.</w:t>
      </w:r>
    </w:p>
    <w:p>
      <w:pPr>
        <w:pStyle w:val="SourceNote"/>
      </w:pPr>
      <w:r>
        <w:rPr>
          <w:b/>
        </w:rPr>
        <w:t>Available abstract (not full text):</w:t>
      </w:r>
      <w:r>
        <w:t xml:space="preserve"> About 50% of all hydropower plants (HPPs) worldwide were originally commissioned more than 40 years ago, so that the advanced age of the fleet is a major concern across all continents, and especially in Europe. The modernization of HPPs can generate several benefits in terms of generation, flexibility, safety, operation, and may have neutral or even positive implications for the environment. In this work, we appraise several options for the modernization of existing plants, with the exclusion of measures expected to increase the hydro-morphological pressure on water bodies (e.g. increase of withdrawals or new parallel waterways): dam heightening, head loss reduction in waterways, increase of weighted efficiency of electro-mechanical equipment, digitalization and inflow forecast, and floating photovoltaic (evaporation reduction). We provide an indicative estimation of the additional power and annual generation that could be obtained compared to the current condition. We estimate that the overall energy generation could be increased by 8.4% for European Union and 9.4% for the whole Europe by implementing the above-mentioned strategies. The additional energy gain achievable by increasing the inflow was discussed but not included in the above mentioned overall indicator, because it is very site-specific. The additional energy storage achievable by reservoir interconnection and coor</w:t>
      </w:r>
    </w:p>
    <w:p>
      <w:pPr/>
      <w:r>
        <w:rPr>
          <w:b/>
        </w:rPr>
        <w:t>POSSIBLE 2021:</w:t>
      </w:r>
      <w:r>
        <w:t xml:space="preserve"> HIV seroprevalence in five key populations in Europe: a systematic literature review, 2009 to 2019 — https://doi.org/10.2807/1560-7917.es.2021.26.47.2100044</w:t>
      </w:r>
    </w:p>
    <w:p>
      <w:pPr/>
      <w:r>
        <w:rPr>
          <w:b/>
        </w:rPr>
        <w:t>Shared claim-specific concepts:</w:t>
      </w:r>
      <w:r>
        <w:t xml:space="preserve"> key, population, systems; EU scope visible. This is a provisional connection, not an outcome finding.</w:t>
      </w:r>
    </w:p>
    <w:p>
      <w:pPr>
        <w:pStyle w:val="SourceNote"/>
      </w:pPr>
      <w:r>
        <w:rPr>
          <w:b/>
        </w:rPr>
        <w:t>Available abstract (not full text):</w:t>
      </w:r>
      <w:r>
        <w:t xml:space="preserve"> BackgroundIn Europe, HIV disproportionately affects men who have sex with men (MSM), people who inject drugs (PWID), prisoners, sex workers, and transgender people. Epidemiological data are primarily available from national HIV case surveillance systems that rarely capture information on sex work, gender identity or imprisonment. Surveillance of HIV prevalence in key populations often occurs as independent studies with no established mechanism for collating such information at the European level.AimWe assessed HIV prevalence in MSM, PWID, prisoners, sex workers, and transgender people in the 30 European Union/European Economic Area countries and the United Kingdom.MethodsWe conducted a systematic literature review of peer-reviewed studies published during 2009-19, by searching PubMed, Embase and the Cochrane Library. Data are presented in forest plots by country, as simple prevalence or pooled across multiple studies.ResultsEighty-seven country- and population-specific studies were identified from 23 countries. The highest number of studies, and the largest variation in HIV prevalence, were identified for MSM, ranging from 2.4-29.0% (19 countries) and PWID, from 0.0-59.5% (13 countries). Prevalence ranged from 0.0-15.6% in prisoners (nine countries), 1.1-8.5% in sex workers (five countries) and was 10.9% in transgender people (one country). Individuals belonging to several key </w:t>
      </w:r>
    </w:p>
    <w:p>
      <w:pPr>
        <w:pStyle w:val="Heading2"/>
      </w:pPr>
      <w:r>
        <w:t>648.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649.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r>
        <w:rPr>
          <w:b/>
        </w:rPr>
        <w:t>POSSIBLE 2021:</w:t>
      </w:r>
      <w:r>
        <w:t xml:space="preserve"> Large Shareholder Portfolio Diversification and Voluntary Disclosure* — https://doi.org/10.1111/1911-3846.12707</w:t>
      </w:r>
    </w:p>
    <w:p>
      <w:pPr/>
      <w:r>
        <w:rPr>
          <w:b/>
        </w:rPr>
        <w:t>Shared claim-specific concepts:</w:t>
      </w:r>
      <w:r>
        <w:t xml:space="preserve"> relying, diversified, portfolio, benefit; EU scope not established. This is a provisional connection, not an outcome finding.</w:t>
      </w:r>
    </w:p>
    <w:p>
      <w:pPr>
        <w:pStyle w:val="SourceNote"/>
      </w:pPr>
      <w:r>
        <w:rPr>
          <w:b/>
        </w:rPr>
        <w:t>Available abstract (not full text):</w:t>
      </w:r>
      <w:r>
        <w:t xml:space="preserve"> ABSTRACT Although large shareholders have sufficient influence to engage privately with management, extant literature provides inconclusive evidence on the relation between large equity positions and corporate disclosure. This study examines whether large shareholders' portfolio diversification affects voluntary corporate disclosure. We define diversification as the extent to which investors spread investments among portfolio stocks. We predict that holding a diversified portfolio deters large shareholders from incurring the costs of private information gathering about a portfolio firm. We document that firms provide more voluntary disclosure when their large shareholders hold a more diversified portfolio, consistent with investors relying more on public disclosure about portfolio firms when their portfolio diversification is higher. Evidence from cross‐sectional analyses suggests that, as predicted, the positive relation between portfolio diversification and voluntary disclosure is weaker as the net benefit of acquiring private information increases for large shareholders (i.e., when portfolio firms are more connected, have alternative information channels, or are more complex). Overall, our results suggest that diversified large shareholders' preference for a richer public disclosure environment creates a positive externality of lowering the information costs for external sta</w:t>
      </w:r>
    </w:p>
    <w:p>
      <w:pPr>
        <w:pStyle w:val="Heading2"/>
      </w:pPr>
      <w:r>
        <w:t>650.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2023:</w:t>
      </w:r>
      <w:r>
        <w:t xml:space="preserve"> The Drivers of Emission Reductions in the European Carbon Market — https://openalex.org/W7111538042</w:t>
      </w:r>
    </w:p>
    <w:p>
      <w:pPr/>
      <w:r>
        <w:rPr>
          <w:b/>
        </w:rPr>
        <w:t>Shared claim-specific concepts:</w:t>
      </w:r>
      <w:r>
        <w:t xml:space="preserve"> find, emission, reductions, dominant, also; EU scope visible. This is a provisional connection, not an outcome finding.</w:t>
      </w:r>
    </w:p>
    <w:p>
      <w:pPr>
        <w:pStyle w:val="SourceNote"/>
      </w:pPr>
      <w:r>
        <w:rPr>
          <w:b/>
        </w:rPr>
        <w:t>Available abstract (not full text):</w:t>
      </w:r>
      <w:r>
        <w:t xml:space="preserve">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pPr/>
      <w:r>
        <w:rPr>
          <w:b/>
        </w:rPr>
        <w:t>POSSIBLE 2023:</w:t>
      </w:r>
      <w:r>
        <w:t xml:space="preserve"> Emissions savings from equitable energy demand reduction — https://doi.org/10.1038/s41560-023-01283-y</w:t>
      </w:r>
    </w:p>
    <w:p>
      <w:pPr/>
      <w:r>
        <w:rPr>
          <w:b/>
        </w:rPr>
        <w:t>Shared claim-specific concepts:</w:t>
      </w:r>
      <w:r>
        <w:t xml:space="preserve"> reductions, energy, transport, climate; EU scope visible. This is a provisional connection, not an outcome finding.</w:t>
      </w:r>
    </w:p>
    <w:p>
      <w:pPr>
        <w:pStyle w:val="SourceNote"/>
      </w:pPr>
      <w:r>
        <w:rPr>
          <w:b/>
        </w:rPr>
        <w:t>Available abstract (not full text):</w:t>
      </w:r>
      <w:r>
        <w:t xml:space="preserve">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pPr/>
      <w:r>
        <w:rPr>
          <w:b/>
        </w:rPr>
        <w:t>POSSIBLE 2023:</w:t>
      </w:r>
      <w:r>
        <w:t xml:space="preserve"> Identifying and Monitoring Priority Areas for Methane Emissions Reduction — https://doi.org/10.1596/1813-9450-10391</w:t>
      </w:r>
    </w:p>
    <w:p>
      <w:pPr/>
      <w:r>
        <w:rPr>
          <w:b/>
        </w:rPr>
        <w:t>Shared claim-specific concepts:</w:t>
      </w:r>
      <w:r>
        <w:t xml:space="preserve"> dominant, but, also; EU scope visible. This is a provisional connection, not an outcome finding.</w:t>
      </w:r>
    </w:p>
    <w:p>
      <w:pPr>
        <w:pStyle w:val="SourceNote"/>
      </w:pPr>
      <w:r>
        <w:rPr>
          <w:b/>
        </w:rPr>
        <w:t>Available abstract (not full text):</w:t>
      </w:r>
      <w:r>
        <w:t xml:space="preserve">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pPr/>
      <w:r>
        <w:rPr>
          <w:b/>
        </w:rPr>
        <w:t>POSSIBLE 2022:</w:t>
      </w:r>
      <w:r>
        <w:t xml:space="preserve"> An econometric analysis of the potential emission reduction components in Indonesia — https://doi.org/10.1016/j.clpl.2022.100008</w:t>
      </w:r>
    </w:p>
    <w:p>
      <w:pPr/>
      <w:r>
        <w:rPr>
          <w:b/>
        </w:rPr>
        <w:t>Shared claim-specific concepts:</w:t>
      </w:r>
      <w:r>
        <w:t xml:space="preserve"> emission, energy, lead, climate; EU scope not established. This is a provisional connection, not an outcome finding.</w:t>
      </w:r>
    </w:p>
    <w:p>
      <w:pPr>
        <w:pStyle w:val="SourceNote"/>
      </w:pPr>
      <w:r>
        <w:rPr>
          <w:b/>
        </w:rPr>
        <w:t>Available abstract (not full text):</w:t>
      </w:r>
      <w:r>
        <w:t xml:space="preserve">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pPr/>
      <w:r>
        <w:rPr>
          <w:b/>
        </w:rPr>
        <w:t>POSSIBLE 2022:</w:t>
      </w:r>
      <w:r>
        <w:t xml:space="preserve"> Improved monitoring of shipping NO 2 with TROPOMI: decreasing NO x emissions in European seas during the COVID-19 pandemic — https://doi.org/10.5194/amt-15-1415-2022</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pPr/>
      <w:r>
        <w:rPr>
          <w:b/>
        </w:rPr>
        <w:t>POSSIBLE 2021:</w:t>
      </w:r>
      <w:r>
        <w:t xml:space="preserve"> Impact of SOx, NOx and NH3 emission reductions on PM2.5 concentrations across Europe: Hints for future measure development — https://doi.org/10.1016/j.envint.2021.106699</w:t>
      </w:r>
    </w:p>
    <w:p>
      <w:pPr/>
      <w:r>
        <w:rPr>
          <w:b/>
        </w:rPr>
        <w:t>Shared claim-specific concepts:</w:t>
      </w:r>
      <w:r>
        <w:t xml:space="preserve"> find, emission, reductions, but; EU scope visible. This is a provisional connection, not an outcome finding.</w:t>
      </w:r>
    </w:p>
    <w:p>
      <w:pPr>
        <w:pStyle w:val="SourceNote"/>
      </w:pPr>
      <w:r>
        <w:rPr>
          <w:b/>
        </w:rPr>
        <w:t>Available abstract (not full text):</w:t>
      </w:r>
      <w:r>
        <w:t xml:space="preserve"> Given the remaining air quality issues in many European regions, smart air quality strategies are necessary to reduce the burden of poor air quality. While designing effective strategies for non-reactive primary pollutants is straightforward, this is not the case for secondary pollutants for which the relationship between emission changes and the resulting concentration changes can be nonlinear. Under such conditions, strategies targeting the largest emitting sources might not be the most effective. In this work, we provide elements to better understand the role of the main emission precursors (SO2, NOx, NH3) on the formation of secondary inorganic aerosols. By quantifying the PM2.5 sensitivity to emission reductions for each of these three precursors, we define and quantify the intensity of PM2.5 formation chemical regimes across Europe. We find that for emission reductions limited to 25%, the relation between emission and PM concentration changes remain mostly linear, with the exception of the Po Valley where non-linearities reach more than 30% in winter. When emission reductions increase to 50%, non-linearity reaches more than 60% in the Po Valley but stay below 30% in the rest of Europe. In terms of implications on abatement strategies, our findings can be summarized in the following key messages: (1) reducing SO2 emissions where abundant is always efficient (e.g. eastern E</w:t>
      </w:r>
    </w:p>
    <w:p>
      <w:pPr/>
      <w:r>
        <w:rPr>
          <w:b/>
        </w:rPr>
        <w:t>POSSIBLE 2021:</w:t>
      </w:r>
      <w:r>
        <w:t xml:space="preserve"> Pricing carbon in the aviation sector: Evidence from the European emissions trading system — https://doi.org/10.1016/j.jeem.2021.102591</w:t>
      </w:r>
    </w:p>
    <w:p>
      <w:pPr/>
      <w:r>
        <w:rPr>
          <w:b/>
        </w:rPr>
        <w:t>Shared claim-specific concepts:</w:t>
      </w:r>
      <w:r>
        <w:t xml:space="preserve"> find, emission, sector, transport, but, also; EU scope visible. This is a provisional connection, not an outcome finding.</w:t>
      </w:r>
    </w:p>
    <w:p>
      <w:pPr>
        <w:pStyle w:val="SourceNote"/>
      </w:pPr>
      <w:r>
        <w:rPr>
          <w:b/>
        </w:rPr>
        <w:t>Available abstract (not full text):</w:t>
      </w:r>
      <w:r>
        <w:t xml:space="preserve"> A policy change in the European Union's Emissions Trading Scheme (EU ETS) provides us with a unique opportunity to measure the impact of carbon pricing on aviation, the most climate-intensive mode of transport. We implement a difference-in-differences strategy on a sample based on all flights within Europe from 2010 to 2016 to examine the causal impact of the EU ETS on emissions and supply. We find that the EU ETS reduced emissions by 4.7% in the regulated routes relative to the counterfactual. When we restrict the sample to short-haul flights, routes on which competition from other means of transport may exist (less than 1,000 km), the reduction in emissions is 10.7%. Finally, the reduction in emissions is also high for low-cost airlines (−11%) but it is not statistically significant for network airlines. In sum, the EU ETS has helped to mitigate emission growth by 3 Mt CO2 per year during the period analyzed, but not to reduce absolute emissions in the sector, as needed.</w:t>
      </w:r>
    </w:p>
    <w:p>
      <w:pPr/>
      <w:r>
        <w:rPr>
          <w:b/>
        </w:rPr>
        <w:t>POSSIBLE 2021:</w:t>
      </w:r>
      <w:r>
        <w:t xml:space="preserve"> Decoupling of urban CO 2 and air pollutant emission reductions during the European SARS-CoV-2 lockdown — https://doi.org/10.5194/acp-21-3091-2021</w:t>
      </w:r>
    </w:p>
    <w:p>
      <w:pPr/>
      <w:r>
        <w:rPr>
          <w:b/>
        </w:rPr>
        <w:t>Shared claim-specific concepts:</w:t>
      </w:r>
      <w:r>
        <w:t xml:space="preserve"> find, emission, reductions, energy, long-term, mitigation; EU scope visible. This is a provisional connection, not an outcome finding.</w:t>
      </w:r>
    </w:p>
    <w:p>
      <w:pPr>
        <w:pStyle w:val="SourceNote"/>
      </w:pPr>
      <w:r>
        <w:rPr>
          <w:b/>
        </w:rPr>
        <w:t>Available abstract (not full text):</w:t>
      </w:r>
      <w:r>
        <w:t xml:space="preserve"> Abstract. Lockdown and the associated massive reduction in people’s mobility imposed by SARS-CoV-2 mitigation measures across the globe provide a unique sensitivity experiment to investigate impacts on carbon and air pollution emissions. We present an integrated observational analysis based on long-term in-situ multispecies eddy flux measurements, allowing to quantify near real time changes of urban surface emissions for key air quality and climate tracers. During the first European SARS-CoV-2 wave we find that the emission reduction of classic air pollutants decoupled from CO2 and was significantly larger. These differences can only be rationalized by the different nature of urban combustion sources, and point towards a systematic bias of extrapolated urban NOx emissions in state-of the art emission models. The analysis suggests that European policies, shifting residential, public and commercial energy demand towards cleaner combustion, have helped to improve air quality more than expected, and that the urban NOx flux remains to be dominated (e.g. &gt; 90 %) by traffic.</w:t>
      </w:r>
    </w:p>
    <w:p>
      <w:pPr/>
      <w:r>
        <w:rPr>
          <w:b/>
        </w:rPr>
        <w:t>POSSIBLE 2020:</w:t>
      </w:r>
      <w:r>
        <w:t xml:space="preserve"> The European Union Emissions Trading System reduced CO 2 emissions despite low prices — https://doi.org/10.1073/pnas.1918128117</w:t>
      </w:r>
    </w:p>
    <w:p>
      <w:pPr/>
      <w:r>
        <w:rPr>
          <w:b/>
        </w:rPr>
        <w:t>Shared claim-specific concepts:</w:t>
      </w:r>
      <w:r>
        <w:t xml:space="preserve"> find, emission, reductions; EU scope visible. This is a provisional connection, not an outcome finding.</w:t>
      </w:r>
    </w:p>
    <w:p>
      <w:pPr>
        <w:pStyle w:val="SourceNote"/>
      </w:pPr>
      <w:r>
        <w:rPr>
          <w:b/>
        </w:rPr>
        <w:t>Available abstract (not full text):</w:t>
      </w:r>
      <w:r>
        <w:t xml:space="preserve"> International carbon markets are an appealing and increasingly popular tool to regulate carbon emissions. By putting a price on carbon, carbon markets reshape incentives faced by firms and reduce the value of emissions. How effective are carbon markets? Observers have tended to infer their effectiveness from market prices. The general belief is that a carbon market needs a high price in order to reduce emissions. As a result, many observers remain skeptical of initiatives such as the European Union Emissions Trading System (EU ETS), whose price remained low (compared to the social cost of carbon). In this paper, we assess whether the EU ETS reduced [Formula: see text] emissions despite low prices. We motivate our study by documenting that a carbon market can be effective if it is a credible institution that can plausibly become more stringent in the future. In such a case, firms might cut emissions even though market prices are low. In fact, low prices can be a signal that the demand for carbon permits weakens. Thus, low prices are compatible with successful carbon markets. To assess whether the EU ETS reduced carbon emissions even as permits were cheap, we estimate counterfactual carbon emissions using an original sectoral emissions dataset. We find that the EU ETS saved about 1.2 billion tons of [Formula: see text] between 2008 and 2016 (3.8%) relative to a world without carb</w:t>
      </w:r>
    </w:p>
    <w:p>
      <w:pPr/>
      <w:r>
        <w:rPr>
          <w:b/>
        </w:rPr>
        <w:t>POSSIBLE 2020:</w:t>
      </w:r>
      <w:r>
        <w:t xml:space="preserve"> The role of woody biomass for reduction of fossil GHG emissions in the future North European energy sector — https://doi.org/10.1016/j.apenergy.2020.115360</w:t>
      </w:r>
    </w:p>
    <w:p>
      <w:pPr/>
      <w:r>
        <w:rPr>
          <w:b/>
        </w:rPr>
        <w:t>Shared claim-specific concepts:</w:t>
      </w:r>
      <w:r>
        <w:t xml:space="preserve"> find, emission, reductions, energy, sector, transport; EU scope visible. This is a provisional connection, not an outcome finding.</w:t>
      </w:r>
    </w:p>
    <w:p>
      <w:pPr>
        <w:pStyle w:val="SourceNote"/>
      </w:pPr>
      <w:r>
        <w:rPr>
          <w:b/>
        </w:rPr>
        <w:t>Available abstract (not full text):</w:t>
      </w:r>
      <w:r>
        <w:t xml:space="preserve"> In this study, we analyse the use of woody biomass in the heat and power sector in Northern Europe towards 2040 and quantify the fossil GHG-emission reductions from biomass use at different carbon price levels. The applied partial equilibrium energy system model has endogenous capacity investments in relevant heat and power technologies. The results show that use of woody biomass can reduce the direct emissions from the Northern European power and heat sector by 4–27% for carbon prices in the range of 5–103 €/tonne CO2eq in 2030 compared to a scenario where woody biomass is not available for power and heat generation. The cost of delivering heat and electricity increases with 0.2–0.7% when wood chips are excluded, depending on the carbon price. At a low carbon price, the use of natural gas, wind, and coal power generation increases when biomass is not available for power and heat generation. At higher carbon prices, solar power, wind power, power-to-heat, and natural gas become increasingly competitive, and therefore the use of biomass has a lower impact on emission reductions. Using the same biomass volumes for liquid transport fuel, we find a higher impact on fossil carbon emission reductions but substantially higher costs. The main conclusion from this study is that woody biomass contribution to lowering the fossil emission from heat and power generation in the Northern Euro</w:t>
      </w:r>
    </w:p>
    <w:p>
      <w:pPr>
        <w:pStyle w:val="Heading2"/>
      </w:pPr>
      <w:r>
        <w:t>651.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2024:</w:t>
      </w:r>
      <w:r>
        <w:t xml:space="preserve"> Energy access challenge and the role of fossil fuels in meeting electricity demand: Promoting renewable energy capacity for sustainable development — https://doi.org/10.1016/j.gsf.2024.101873</w:t>
      </w:r>
    </w:p>
    <w:p>
      <w:pPr/>
      <w:r>
        <w:rPr>
          <w:b/>
        </w:rPr>
        <w:t>Shared claim-specific concepts:</w:t>
      </w:r>
      <w:r>
        <w:t xml:space="preserve"> electricity, but, environmental, associated; EU scope not established. This is a provisional connection, not an outcome finding.</w:t>
      </w:r>
    </w:p>
    <w:p>
      <w:pPr>
        <w:pStyle w:val="SourceNote"/>
      </w:pPr>
      <w:r>
        <w:rPr>
          <w:b/>
        </w:rPr>
        <w:t>Available abstract (not full text):</w:t>
      </w:r>
      <w:r>
        <w:t xml:space="preserve"> The energy access challenge remains a significant barrier to sustainable development, with millions of people still needing access to modern energy services. Fossil fuels have played a crucial role in meeting electricity demand, but they face challenges and drawbacks in terms of environmental sustainability, energy security, and climate change. This study examines how renewable and non-renewable energy generation capacity impacted the environment in 53 upper-middle-income countries from 1990 to 2020, using energy access and alternative energy sources as mediating variables. The findings of this study provide valuable insights into the complex relationship between renewable energy generation capacity, energy access, alternative energy sources, and environmental conditions in upper-middle-income countries. The positive relationship between renewable energy generation capacity and environmental conditions emphasizes the importance and potential of renewable energy sources in mitigating environmental degradation. Additionally, the findings indicate that energy access also plays a crucial role in shaping energy generation patterns, with higher levels of access being associated with increased renewable energy generation and decreased reliance on non-renewable energy sources. These findings highlight the urgent need for policies and measures to promote renewable energy adoption and pr</w:t>
      </w:r>
    </w:p>
    <w:p>
      <w:pPr/>
      <w:r>
        <w:rPr>
          <w:b/>
        </w:rPr>
        <w:t>POSSIBLE 2023:</w:t>
      </w:r>
      <w:r>
        <w:t xml:space="preserve"> Lessons from Regional Electricity Demand Change following Natural Disasters in Japan — https://doi.org/10.1111/rsp3.12631</w:t>
      </w:r>
    </w:p>
    <w:p>
      <w:pPr/>
      <w:r>
        <w:rPr>
          <w:b/>
        </w:rPr>
        <w:t>Shared claim-specific concepts:</w:t>
      </w:r>
      <w:r>
        <w:t xml:space="preserve"> electricity, decrease, associated; EU scope not established. This is a provisional connection, not an outcome finding.</w:t>
      </w:r>
    </w:p>
    <w:p>
      <w:pPr>
        <w:pStyle w:val="SourceNote"/>
      </w:pPr>
      <w:r>
        <w:rPr>
          <w:b/>
        </w:rPr>
        <w:t>Available abstract (not full text):</w:t>
      </w:r>
      <w:r>
        <w:t xml:space="preserve"> Analyzing the impact of electricity price changes on electricity demand helps in energy supply planning. This study estimated the electricity demand functions of households and industries, as well as the impact of electricity price hikes on electricity demand following natural disasters. We found that structural changes occurred in various regions' electricity demand's price elasticity following natural disasters. Furthermore, the results showed that the decrease in consumer surplus associated with higher electricity prices was more significant in regions that depended on nuclear power. These results have important implications for regional energy policies.</w:t>
      </w:r>
    </w:p>
    <w:p>
      <w:pPr/>
      <w:r>
        <w:rPr>
          <w:b/>
        </w:rPr>
        <w:t>POSSIBLE 2023:</w:t>
      </w:r>
      <w:r>
        <w:t xml:space="preserve"> Summer heatwaves, wind production and electricity demand in Southern Europe: climatic conditions and impacts — https://doi.org/10.1088/2515-7620/acec37</w:t>
      </w:r>
    </w:p>
    <w:p>
      <w:pPr/>
      <w:r>
        <w:rPr>
          <w:b/>
        </w:rPr>
        <w:t>Shared claim-specific concepts:</w:t>
      </w:r>
      <w:r>
        <w:t xml:space="preserve"> electricity, decrease, but, environmental, greater; EU scope visible. This is a provisional connection, not an outcome finding.</w:t>
      </w:r>
    </w:p>
    <w:p>
      <w:pPr>
        <w:pStyle w:val="SourceNote"/>
      </w:pPr>
      <w:r>
        <w:rPr>
          <w:b/>
        </w:rPr>
        <w:t>Available abstract (not full text):</w:t>
      </w:r>
      <w:r>
        <w:t xml:space="preserve"> Abstract Electricity demand for cooling and heating is directly related to weather and climate, primarily through ambient temperature. In Southern Europe, the maximum electricity demand for cooling in summer can be more pronounced than in winter, especially during heat wave (HW) episodes. With the growth of renewable technologies in the energy mix, the dependency of the electricity system on the weather is becoming evident not just from the demand side, but also from the energy supply side. From the resources point of view, summer wind presents a minimum on its annual cycle, so a combination of maximum electricity demand can coincide with a minimum of wind power production. This study presents a strong multidisciplinary focus, merging climate, energy and environmental discipline, due to their relevant connections in Southern Europe where important climate change stresses are expected. The combined anomalies of electricity demand and wind production during heat wave episodes are quantified at the country level, taking into account the HW extension. The summer period (1989-2019) of ERA5 reanalysis and E-OBS-21.0e data is used for atmospheric magnitudes and the Copernicus climate change service (C3S) energy dataset for demand. In heat wave events, an increase of 3.5%–10.6% in electricity demand and a decrease up to −30.8% in wind power production is obtained, with variability depe</w:t>
      </w:r>
    </w:p>
    <w:p>
      <w:pPr/>
      <w:r>
        <w:rPr>
          <w:b/>
        </w:rPr>
        <w:t>POSSIBLE 2022:</w:t>
      </w:r>
      <w:r>
        <w:t xml:space="preserve"> A novel method for acquiring rigorous temperature response functions for electricity demand at a regional scale — https://doi.org/10.1016/j.scitotenv.2021.152893</w:t>
      </w:r>
    </w:p>
    <w:p>
      <w:pPr/>
      <w:r>
        <w:rPr>
          <w:b/>
        </w:rPr>
        <w:t>Shared claim-specific concepts:</w:t>
      </w:r>
      <w:r>
        <w:t xml:space="preserve"> electricity, but; EU scope not established. This is a provisional connection, not an outcome finding.</w:t>
      </w:r>
    </w:p>
    <w:p>
      <w:pPr>
        <w:pStyle w:val="SourceNote"/>
      </w:pPr>
      <w:r>
        <w:rPr>
          <w:b/>
        </w:rPr>
        <w:t>Available abstract (not full text):</w:t>
      </w:r>
      <w:r>
        <w:t xml:space="preserve"> The demand for electricity affects the future climate through its effect on greenhouse gas emissions in the electricity generation process, but climate change also impacts electricity demand by changing the need for heating and cooling. Developing reliable temperature response functions (TRFs) that illustrate electricity demand as a function of temperature is key for decreasing uncertainty in future climate projections under a changing climate and for impact assessments of climate change on energy systems. However, this task is challenging because electricity demand is determined by multiple factors that interact in complicated ways because demand fluctuations represent timely human responses to given meteorological conditions. We propose a novel method to acquire reliable TRFs at a regional scale based on comprehensive modeling of electricity demand fluctuations. Six candidate algorithms were examined, and multivariate adaptive regression splines (MARS) was selected as the best algorithm with the dataset used. Using MARS, we constructed models with the capacity to precisely reproduce complex electricity demand patterns based on multiple predictors and simulated the impact of temperature on electricity demand while controlling for the effects of other factors. The temporal segments in TRFs are detected and parameters and functional forms of TRFs for 10 regions in Japan were pre</w:t>
      </w:r>
    </w:p>
    <w:p>
      <w:pPr/>
      <w:r>
        <w:rPr>
          <w:b/>
        </w:rPr>
        <w:t>POSSIBLE 2022:</w:t>
      </w:r>
      <w:r>
        <w:t xml:space="preserve"> Causal impact of severe events on electricity demand: The case of COVID-19 in Japan — https://doi.org/10.48550/arxiv.2206.02122</w:t>
      </w:r>
    </w:p>
    <w:p>
      <w:pPr/>
      <w:r>
        <w:rPr>
          <w:b/>
        </w:rPr>
        <w:t>Shared claim-specific concepts:</w:t>
      </w:r>
      <w:r>
        <w:t xml:space="preserve"> electricity, decrease, employed, estimate; EU scope not established. This is a provisional connection, not an outcome finding.</w:t>
      </w:r>
    </w:p>
    <w:p>
      <w:pPr>
        <w:pStyle w:val="SourceNote"/>
      </w:pPr>
      <w:r>
        <w:rPr>
          <w:b/>
        </w:rPr>
        <w:t>Available abstract (not full text):</w:t>
      </w:r>
      <w:r>
        <w:t xml:space="preserve"> As of May 2022, the coronavirus disease 2019 (COVID-19) still has a severe global impact on people's lives. Previous studies have reported that COVID-19 decreased the electricity demand in early 2020. However, our study found that the electricity demand increased in summer and winter even when the infection was widespread. The fact that the event has continued over two years suggests that it is essential to introduce the method which can estimate the impact of the event for long period considering seasonal fluctuations. We employed the Bayesian structural time-series model to estimate the causal impact of COVID-19 on electricity demand in Japan. The results indicate that behavioral restrictions due to COVID-19 decreased the daily electricity demand (-5.1% in weekdays, -6.1% in holidays) in April and May 2020 as indicated by previous studies. However, even in 2020, the results show that the demand increases in the hot summer and cold winter (the increasing rate is +14% in the period from 1st August to 15th September 2020, and +7.6% from 16th December 2020 to 15th January 2021). This study shows that the significant decrease in electricity demand for the business sector exceeded the increase in demand for the household sector in April and May 2020; however, the increase in demand for the households exceeded the decrease in demand for the business in hot summer and cold winter per</w:t>
      </w:r>
    </w:p>
    <w:p>
      <w:pPr/>
      <w:r>
        <w:rPr>
          <w:b/>
        </w:rPr>
        <w:t>POSSIBLE 2021:</w:t>
      </w:r>
      <w:r>
        <w:t xml:space="preserve"> The role of humidity in determining future electricity demand in the southeastern United States — https://doi.org/10.1088/1748-9326/ac2fdf</w:t>
      </w:r>
    </w:p>
    <w:p>
      <w:pPr/>
      <w:r>
        <w:rPr>
          <w:b/>
        </w:rPr>
        <w:t>Shared claim-specific concepts:</w:t>
      </w:r>
      <w:r>
        <w:t xml:space="preserve"> electricity, decrease, but, united; EU scope not established. This is a provisional connection, not an outcome finding.</w:t>
      </w:r>
    </w:p>
    <w:p>
      <w:pPr>
        <w:pStyle w:val="SourceNote"/>
      </w:pPr>
      <w:r>
        <w:rPr>
          <w:b/>
        </w:rPr>
        <w:t>Available abstract (not full text):</w:t>
      </w:r>
      <w:r>
        <w:t xml:space="preserve"> Co-occurrence of high relative humidity levels and high temperatures can increase human discomfort, thereby affecting electricity requirements for space cooling. While relative humidity is generally projected to decrease over land in a warming climate, the combined impact of warming and changes in humidity on heat stress, and thus electricity demand, are less clear. To evaluate the role of relative humidity in determining future electricity demand, we first develop predictive models based, separately, on temperature (T) and a heat stress index (apparent temperature (AT)) at an hourly scale using meteorological reanalysis data and electricity load from the United States Energy Information Administration over the four electricity regions in the southeastern United States. The AT model performs better than the T model in the historical period. We then apply the predictive models to a set of high-resolution climate projections to understand the role of relative humidity in determining the electricity demand in a warmer climate. Due to the nonlinear behavior of heat stress with warming, future electricity demand is substantially larger when estimated from AT than from T. The increase in demand projected by AT ranges between 16%–29%, 20%–33%, 14%–32% and 13%–26% and that by T model ranges between 12%–19%, 15%–19%, 14%–22% and 12%–20% over Southeast, Florida, Carolina, and Tennessee r</w:t>
      </w:r>
    </w:p>
    <w:p>
      <w:pPr/>
      <w:r>
        <w:rPr>
          <w:b/>
        </w:rPr>
        <w:t>POSSIBLE 2020:</w:t>
      </w:r>
      <w:r>
        <w:t xml:space="preserve"> Decrease of mobility, electricity demand, and NO2 emissions on COVID-19 times and their feedback on prevention measures — https://doi.org/10.1016/j.scitotenv.2020.143382</w:t>
      </w:r>
    </w:p>
    <w:p>
      <w:pPr/>
      <w:r>
        <w:rPr>
          <w:b/>
        </w:rPr>
        <w:t>Shared claim-specific concepts:</w:t>
      </w:r>
      <w:r>
        <w:t xml:space="preserve"> electricity, decrease;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Impact of the COVID-19 Pandemic on the U.S. Electricity Demand and Supply: An Early View From Data — https://doi.org/10.1109/access.2020.3016912</w:t>
      </w:r>
    </w:p>
    <w:p>
      <w:pPr/>
      <w:r>
        <w:rPr>
          <w:b/>
        </w:rPr>
        <w:t>Shared claim-specific concepts:</w:t>
      </w:r>
      <w:r>
        <w:t xml:space="preserve"> electricity, decrease, but, three; EU scope not established. This is a provisional connection, not an outcome finding.</w:t>
      </w:r>
    </w:p>
    <w:p>
      <w:pPr>
        <w:pStyle w:val="SourceNote"/>
      </w:pPr>
      <w:r>
        <w:rPr>
          <w:b/>
        </w:rPr>
        <w:t>Available abstract (not full text):</w:t>
      </w:r>
      <w:r>
        <w:t xml:space="preserve"> After the onset of the recent COVID-19 pandemic, a number of studies reported on possible changes in electricity consumption trends. The overall theme of these reports was that "electricity use has decreased during the pandemic, but the power grid is still reliable"-mostly due to reduced economic activity. In this paper, we analyze electricity data until the end of May 2020, examining both electricity demand and variables that can indicate stress on the power grid. We limit this study to three states in the U.S. California, Florida and New York. The results indicate that the effect of the pandemic on electricity demand is not a simple reduction, and there are noticeable differences among regions analyzed. The variables that can indicate stress on the grid (e.g., daily peak and trough of the hourly demand, demand ramp rate, demand forecast error, and net electricity interchange) also conveyed mixed messages: some indicate an increase in stress, some indicate a decrease, and some do not indicate any clear difference. A positive message is that some of the changes that were observed around the time stay-at-home orders were issued appeared to revert back by May 2020. A key challenge in ascribing any observed change to the pandemic is correcting for weather as it can be challenging to accurately define it for large geographic regions. We provide a weather-correction method, apply it</w:t>
      </w:r>
    </w:p>
    <w:p>
      <w:pPr/>
      <w:r>
        <w:rPr>
          <w:b/>
        </w:rPr>
        <w:t>POSSIBLE 2020:</w:t>
      </w:r>
      <w:r>
        <w:t xml:space="preserve"> The COVID-19 pandemic’s impact on electricity demand and supply — https://openalex.org/W3034749761</w:t>
      </w:r>
    </w:p>
    <w:p>
      <w:pPr/>
      <w:r>
        <w:rPr>
          <w:b/>
        </w:rPr>
        <w:t>Shared claim-specific concepts:</w:t>
      </w:r>
      <w:r>
        <w:t xml:space="preserve"> electricity, decrease, but, three; EU scope visible. This is a provisional connection, not an outcome finding.</w:t>
      </w:r>
    </w:p>
    <w:p>
      <w:pPr>
        <w:pStyle w:val="SourceNote"/>
      </w:pPr>
      <w:r>
        <w:rPr>
          <w:b/>
        </w:rPr>
        <w:t>Available abstract (not full text):</w:t>
      </w:r>
      <w:r>
        <w:t xml:space="preserve"> After the onset of the recent COVID-19 pandemic, both the news media and academic papers reported on possible changes in electricity consumption trend. The overall theme of these reports, many of which focused on Europe, was that “electricity use has decreased during the pandemic, but the power grid is still reliable”. In this paper we analyze electricity data upto the middle of May 2020, examining both electricity demand and variables that can indicate stress on the power grid, such as peak demand and demand ramp-rate. We limit this study to three states in the USA: New York, California, and Florida. The results indicate that the effect of the pandemic on electricity demand is not a simple reduction from comparable time frames, and there is a large difference among regions. The variables that can indicate stress on the grid also conveyed a mixed messages: some indicate an increase in stress and some indicate a decrease. A positive message is that most changes that were observed around the time stay-at-home orders were issued also appeared to be reverting back. A key challenge in ascribing any observed change to the pandemic is correcting for other weather. We provide a weather-correction method and apply it to a small city-wide area. The exercise underscored that weather-correction is as challenging as it is important.</w:t>
      </w:r>
    </w:p>
    <w:p>
      <w:pPr/>
      <w:r>
        <w:rPr>
          <w:b/>
        </w:rPr>
        <w:t>POSSIBLE 2020:</w:t>
      </w:r>
      <w:r>
        <w:t xml:space="preserve"> THE IMPACT OF THE COVID-19 PANDEMIC ON ELECTRICITY DEMAND IN CROATIA — https://openalex.org/W3083264106</w:t>
      </w:r>
    </w:p>
    <w:p>
      <w:pPr/>
      <w:r>
        <w:rPr>
          <w:b/>
        </w:rPr>
        <w:t>Shared claim-specific concepts:</w:t>
      </w:r>
      <w:r>
        <w:t xml:space="preserve"> electricity, decrease, significantly, total; EU scope visible. This is a provisional connection, not an outcome finding.</w:t>
      </w:r>
    </w:p>
    <w:p>
      <w:pPr>
        <w:pStyle w:val="SourceNote"/>
      </w:pPr>
      <w:r>
        <w:rPr>
          <w:b/>
        </w:rPr>
        <w:t>Available abstract (not full text):</w:t>
      </w:r>
      <w:r>
        <w:t xml:space="preserve"> Electricity as the energy form of final energy consumption is necessary for functioning of economy and society in general It is an input in creating added value for goods and services in national economies The correlation between electricity consumption and gross domestic product, as the most significant macroeconomic variable, is strong Electricity indisputably has a positive impact on a nation's standard and its growth as it is necessary for functioning of the life of individuals and families in their households with regard to their technological equipment The importance of electricity is also seen in exceptional, extraordinary circumstances where significant, sudden in functioning of societies and countries in general occur One of such extraordinary disturbances is an occurrence of various pandemics The latest one appeared in the first quarter of 2020 in almost all countries in the world Croatia was no exception, and the pandemic has impacted its functioning For the first time in the most recent history of the world all countries were brought to a state of isolation from other countries in the world and a shutdown of almost the entire economic activity i e the lockdown The COVID-19 pandemic broke out in China in December 2019, and its world-wide spread, with the exponential growth in the number of infected and death cases as pandemic consequences, has impacted a significant </w:t>
      </w:r>
    </w:p>
    <w:p>
      <w:pPr>
        <w:pStyle w:val="Heading2"/>
      </w:pPr>
      <w:r>
        <w:t>652.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2024:</w:t>
      </w:r>
      <w:r>
        <w:t xml:space="preserve"> The European Union and the Wider Europe — https://doi.org/10.1017/9781009230322.017</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Union Law — https://doi.org/10.1017/9781009230322</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2024:</w:t>
      </w:r>
      <w:r>
        <w:t xml:space="preserve"> European Integration and the Treaties on European Union — https://doi.org/10.1017/9781009230322.008</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pPr/>
      <w:r>
        <w:rPr>
          <w:b/>
        </w:rPr>
        <w:t>POSSIBLE 2023:</w:t>
      </w:r>
      <w:r>
        <w:t xml:space="preserve"> Economic Interdependence between Norway and The European Union Compared to Switzerland and The European Union — https://doi.org/10.34010/gpsjournal.v7i1.8697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pPr/>
      <w:r>
        <w:rPr>
          <w:b/>
        </w:rPr>
        <w:t>POSSIBLE 2022:</w:t>
      </w:r>
      <w:r>
        <w:t xml:space="preserve"> The cultural policy of the European Union — https://doi.org/10.4337/9781800375932.00021</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study reviews the development of EU cultural policy over the past decades. It sets out its foundations in the Treaty on European Union and the Treaty on the Functioning of the European Union, and the role of the EU's various institutions. It assesses the consecutive generations of programmes such as Ariane, Kaleidoscope and Raphael, the European Capital of Culture, the Culture 2000 Programme and its successors, and the Creative Europe Programme (2014 to 2020). The impact of the UNESCO Convention on Cultural Diversity is covered as well. The author concludes that the Union still regards cultural policy mainly as a means to further integration. Although, by now the identity building function of EU cultural policy became less manifest, the different cultural programmes follow a much more comprehensive set of goals. However, some inherent aspects of cultural diversity are still not tackled properly, especially the problem of ethnic minorities.</w:t>
      </w:r>
    </w:p>
    <w:p>
      <w:pPr/>
      <w:r>
        <w:rPr>
          <w:b/>
        </w:rPr>
        <w:t>POSSIBLE 2022:</w:t>
      </w:r>
      <w:r>
        <w:t xml:space="preserve"> Gender Mainstreaming the European Union Energy Transition — https://doi.org/10.3390/en15218087</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2021:</w:t>
      </w:r>
      <w:r>
        <w:t xml:space="preserve"> The European Union and Yemen — https://doi.org/10.4324/9780429317873-38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Yemen is one of the most volatile countries in the Middle East not least as the site of a conflict which has claimed thousands of lives and caused humanitarian catastrophe. Despite this, the country has always occupied a marginal place in the foreign policy of the European Union (EU). This chapter will provide an overview of EU–Yemeni relations since the formation of the modern Republic of Yemen in 1990 with a focus on policies of the Union in the areas of development and political reform as set out in the Country Strategy Paper. It will then examine the role played by the EU in response to the 2011 uprising and in the transitional period that followed, in particular in relation to the National Dialogue Conference. Finally, the chapter will examine the response of the EU to the conflict that has devastated the country since 2015 and, especially, European efforts to mediate between the warring parties. The chapter will examine the extent to which the efforts of the EU have been undermined by the sometimes divergent interests of individual Member States in the region more broadly. It will conclude with a reflection on the possible future course of EU–Yemeni relations.</w:t>
      </w:r>
    </w:p>
    <w:p>
      <w:pPr/>
      <w:r>
        <w:rPr>
          <w:b/>
        </w:rPr>
        <w:t>POSSIBLE 2021:</w:t>
      </w:r>
      <w:r>
        <w:t xml:space="preserve"> Diplomatic service of the European Union — https://doi.org/10.37772/2309-9275-2021-2(17)-3</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Problem setting. Today the European Union interacts with the whole world and represents the interests and values of the European community far beyond one continent. Carrying out such activities provides for the existence of effective institutions for its implementation, which today are the European External Action Service and the European Uniondelegations around the world. It significantly differs from the classical manifestations of diplomacy, which determines the relevance of research into the establishment and development of the European Union diplomatic service. Moreover, understanding the process of formation and features of European Union diplomacy is interesting for domestic researchers of European Union law given the pro-European aspirations of Ukraine. Analysis of recent researches and publications. Certain aspects of this topic have been studied by suchdomesticscientistsas F. Baranovsky, M. Hnatyuk, O. Grinenko, O. Gladenko, M. Entin, O. Opanasyuk-Radlinska, E. Ryaboshtan, D. Tkachenko, O. Turchenko, Y.Sergienko, V. Streltsova, G. Utko, O. Fisun, V. Tsivaty, V. Shamraeva, O. Shapovalova, etc. Target of research is to research the basic preconditions and features of the establishment and development of the European Union diplomatic service and its functioning in today’s conditions. Article’s main body. The article is devoted to the study of the main prerequisites and f</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union, out, other, hand;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European Union — https://doi.org/10.1017/9781839700507.019</w:t>
      </w:r>
    </w:p>
    <w:p>
      <w:pPr/>
      <w:r>
        <w:rPr>
          <w:b/>
        </w:rPr>
        <w:t>Shared claim-specific concepts:</w:t>
      </w:r>
      <w:r>
        <w:t xml:space="preserve"> union, set, out, periods, before; EU scope visible. This is a provisional connection, not an outcome finding.</w:t>
      </w:r>
    </w:p>
    <w:p>
      <w:pPr>
        <w:pStyle w:val="SourceNote"/>
      </w:pPr>
      <w:r>
        <w:rPr>
          <w:b/>
        </w:rPr>
        <w:t>Available abstract (not full text):</w:t>
      </w:r>
      <w:r>
        <w:t xml:space="preserve"> INTRODUCTION As concerns the issue of limitation periods on claims in tort, there are three dimensions in EU law. First, limitation of claims brought against the EU itself has been regulated. This is the primary subject matter of the present report. Second, in striving to harmonise national laws and ensure the functioning of the common market, the EU enacts directives requiring the implementation of specified regulations into domestic law. At times these directives concern tort law, and make reference in some scope to the issue of limitation periods. Third, the issue of expiry of claims appears in conjunction with the liability of a Member State for damage caused by a violation of EU law; such liability is subject to a mixed set of regulations, both national and European. The second and third issues are the focus of the last fragment of the report. DEFINITION OF PRESCRIPTION Expiry of a claim for damages against the EU 1 is regulated in art 46 of the Statute of the Court of Justice of the European Union. Article 46 Proceedings against the Union in matters arising from non-contractual liability shall be barred after a period of five years from the occurrence of the event giving rise thereto. The period of limitation shall be interrupted if proceedings are instituted before the Court of Justice or if prior to such proceedings an application is made by the aggrieved party to the r</w:t>
      </w:r>
    </w:p>
    <w:p>
      <w:pPr/>
      <w:r>
        <w:rPr>
          <w:b/>
        </w:rPr>
        <w:t>POSSIBLE 2020:</w:t>
      </w:r>
      <w:r>
        <w:t xml:space="preserve"> Policies for transitioning towards a circular economy: Expectations from the European Union (EU) — https://doi.org/10.1016/j.resconrec.2019.104634</w:t>
      </w:r>
    </w:p>
    <w:p>
      <w:pPr/>
      <w:r>
        <w:rPr>
          <w:b/>
        </w:rPr>
        <w:t>Shared claim-specific concepts:</w:t>
      </w:r>
      <w:r>
        <w:t xml:space="preserve"> union, set, out, hand; EU scope visible. This is a provisional connection, not an outcome finding.</w:t>
      </w:r>
    </w:p>
    <w:p>
      <w:pPr>
        <w:pStyle w:val="SourceNote"/>
      </w:pPr>
      <w:r>
        <w:rPr>
          <w:b/>
        </w:rPr>
        <w:t>Available abstract (not full text):</w:t>
      </w:r>
      <w:r>
        <w:t xml:space="preserve"> The circular economy is a much discussed pathway towards sustainability. While some scholarly work has been carried out on barriers towards a circular economy, there are relatively few academic studies on policies that may accelerate a transition towards a circular economy. Those that focus on policies mostly scrutinize existing policies. The study at hand utilizes data from semi-structured interviews with 47 public and private sector circular economy experts from the European Union to explore expectations regarding circular economy policies, with expectations possibly going beyond existing policies. Expectations identified via this work include more robust standards and norms in production, expansion of circular procurement, tax relief for circular products, liberalization of waste trading and its facilitation through virtual platforms, support for eco-industrial parks, and awareness campaigns. The set of policy recommendations is presented from a life-cycle perspective that is necessary for a transition towards a circular economy. The study aims to contribute to the nascent body of circular economy literature concerning policies and may be of particular interest to practitioners.</w:t>
      </w:r>
    </w:p>
    <w:p>
      <w:pPr>
        <w:pStyle w:val="Heading2"/>
      </w:pPr>
      <w:r>
        <w:t>653.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two, transition, pathways, energy, system, current;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2023:</w:t>
      </w:r>
      <w:r>
        <w:t xml:space="preserve"> An assessment of different transition pathways to a green global economy — https://doi.org/10.1038/s43247-023-01109-5</w:t>
      </w:r>
    </w:p>
    <w:p>
      <w:pPr/>
      <w:r>
        <w:rPr>
          <w:b/>
        </w:rPr>
        <w:t>Shared claim-specific concepts:</w:t>
      </w:r>
      <w:r>
        <w:t xml:space="preserve"> transition, pathways, renewable, energy, sector; EU scope not established. This is a provisional connection, not an outcome finding.</w:t>
      </w:r>
    </w:p>
    <w:p>
      <w:pPr>
        <w:pStyle w:val="SourceNote"/>
      </w:pPr>
      <w:r>
        <w:rPr>
          <w:b/>
        </w:rPr>
        <w:t>Available abstract (not full text):</w:t>
      </w:r>
      <w:r>
        <w:t xml:space="preserve">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pPr/>
      <w:r>
        <w:rPr>
          <w:b/>
        </w:rPr>
        <w:t>POSSIBLE 2023:</w:t>
      </w:r>
      <w:r>
        <w:t xml:space="preserve"> AdJUST: Potential Pathways of a Just Energy Transition in Europe — https://doi.org/10.20446/jep-2414-3197-39-3-139</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transition, pathways, renewable, energy, system, current;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Policy Instruments to Support Agroecological Transitions in Europe — https://doi.org/10.1111/1746-692x.12367</w:t>
      </w:r>
    </w:p>
    <w:p>
      <w:pPr/>
      <w:r>
        <w:rPr>
          <w:b/>
        </w:rPr>
        <w:t>Shared claim-specific concepts:</w:t>
      </w:r>
      <w:r>
        <w:t xml:space="preserve"> two, transition, system; EU scope visible. This is a provisional connection, not an outcome finding.</w:t>
      </w:r>
    </w:p>
    <w:p>
      <w:pPr>
        <w:pStyle w:val="SourceNote"/>
      </w:pPr>
      <w:r>
        <w:rPr>
          <w:b/>
        </w:rPr>
        <w:t>Available abstract (not full text):</w:t>
      </w:r>
      <w:r>
        <w:t xml:space="preserve"> Summary Agroecological transitions have the potential to deliver multiple environmental and social benefits. However socio‐economic barriers have prevented those transitions in many European contexts. This article aims to inform policymakers about policy instruments that can foster agroecological transitions in Europe, especially by removing key socio‐economic barriers. A multi‐step methodology was carried out over a two‐year period in 15 case studies across Europe. The case studies represent farming systems that are in the process of initiating or enhancing the transition. Data collection relied on a participatory process, involving a variety of transdisciplinary actors. Study findings identify three major themes of barriers to agroecological transitions, namely actor capacity , value chain and policy . To address these barriers, policy instruments should consider the farming system’s stage in the transition pathway to take account of the different priorities of local actors. At the stage of initiating the transition, removing the barriers requires improvements in knowledge delivery mechanisms by strengthening advisory services and reducing decision‐makers’ uncertainty. At the stage of enhancing the transition, a focus on social capital is needed, for example by strengthening networking and cooperation measures. Generally, more attention towards state interventions which suppo</w:t>
      </w:r>
    </w:p>
    <w:p>
      <w:pPr/>
      <w:r>
        <w:rPr>
          <w:b/>
        </w:rPr>
        <w:t>POSSIBLE 2022:</w:t>
      </w:r>
      <w:r>
        <w:t xml:space="preserve"> Reflecting the energy transition from a European perspective and in the global context—Relevance of solar photovoltaics benchmarking two ambitious scenarios — https://doi.org/10.1002/pip.3659</w:t>
      </w:r>
    </w:p>
    <w:p>
      <w:pPr/>
      <w:r>
        <w:rPr>
          <w:b/>
        </w:rPr>
        <w:t>Shared claim-specific concepts:</w:t>
      </w:r>
      <w:r>
        <w:t xml:space="preserve"> two, transition, renewable, energy, power, sector; EU scope visible. This is a provisional connection, not an outcome finding.</w:t>
      </w:r>
    </w:p>
    <w:p>
      <w:pPr>
        <w:pStyle w:val="SourceNote"/>
      </w:pPr>
      <w:r>
        <w:rPr>
          <w:b/>
        </w:rPr>
        <w:t>Available abstract (not full text):</w:t>
      </w:r>
      <w:r>
        <w:t xml:space="preserve"> Abstract Multiple energy‐related crises require a fast transition towards a sustainable energy system. The European Green Deal aims for zero CO 2 emission by 2050, while accelerating climate change impacts obligate a faster phase‐out of fossil fuels. Energy transition studies for Europe at and near 100% renewable energy are used as a benchmark for two newly introduced scenarios for Europe reaching zero CO 2 emissions by 2050 and 2040. A technology‐rich energy system model was applied in hourly resolution for Europe in 20 interconnected regions and in full sector coupling covering all energy demands. The results reveal a cost‐neutral energy transition towards 2050 based on declining levelised cost of electricity and a pathway with 9% higher energy costs leading to 17% lower total CO 2 emissions with an accelerated energy transition by 2040. The two scenarios find shares of solar photovoltaic (PV) in total generation of 61%–63% by 2050, the highest ever estimated for Europe, still below the highest global average shares ranging between 75% and 77% form three independent studies. The central energy system components are solar PV, wind power, batteries, electrolysers and CO 2 direct air capture for carbon capture and utilisation. The core characteristic of the European energy future may be best described by a power‐to‐X economy, which may evolve on the global scale to a solar‐to‐X </w:t>
      </w:r>
    </w:p>
    <w:p>
      <w:pPr/>
      <w:r>
        <w:rPr>
          <w:b/>
        </w:rPr>
        <w:t>POSSIBLE 2022:</w:t>
      </w:r>
      <w:r>
        <w:t xml:space="preserve"> Pathways of Transition to Organic Agriculture in Morocco — https://doi.org/10.3390/world3030040</w:t>
      </w:r>
    </w:p>
    <w:p>
      <w:pPr/>
      <w:r>
        <w:rPr>
          <w:b/>
        </w:rPr>
        <w:t>Shared claim-specific concepts:</w:t>
      </w:r>
      <w:r>
        <w:t xml:space="preserve"> transition, pathways, sector, system, current, area; EU scope not established. This is a provisional connection, not an outcome finding.</w:t>
      </w:r>
    </w:p>
    <w:p>
      <w:pPr>
        <w:pStyle w:val="SourceNote"/>
      </w:pPr>
      <w:r>
        <w:rPr>
          <w:b/>
        </w:rPr>
        <w:t>Available abstract (not full text):</w:t>
      </w:r>
      <w:r>
        <w:t xml:space="preserve"> Agriculture is a vital sector in Morocco through its contribution to the gross domestic product (13%) and workforce (30%). However, the sector faces important sustainability challenges due to Morocco’s dependence on rain-fed crops for 90% of the production and its vulnerability to climate change. In this context, organic agriculture presents itself as a promising alternative to valorize production and mitigate climate change effects. This article describes the dynamics and development of the organic agriculture niche in Morocco through the lens of the Multi-Level Perspective (MLP) on socio-technical transitions. The MLP is a widely used framework that bases its analysis on transitions being the result of the interaction of niches, socio-technical regimes, and socio-technical landscape. Results of the literature review and semi-structured interviews show that, although the organic niche is relatively well established (11,000 ha of organic land area in 2019), it is still developing at a slower rate than expected due to multiple setbacks. While organic farming does solve many sustainability challenges that Moroccan agriculture faces, it still lacks the infrastructure and human capital to succeed as a niche. All in all, organic farming is still in the first transition stages and can follow a multitude of pathways before becoming relevant in the current agri-food system.</w:t>
      </w:r>
    </w:p>
    <w:p>
      <w:pPr/>
      <w:r>
        <w:rPr>
          <w:b/>
        </w:rPr>
        <w:t>POSSIBLE 2020:</w:t>
      </w:r>
      <w:r>
        <w:t xml:space="preserve"> Developing Transition Pathways towards Sustainable Mobility in European Cities — https://openalex.org/W3217687997</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To create a climate-neutral Europe and liveable cities by 2050, transitions towards sustainable urban mobility need to be accelerated. To make these goals possible, cities need a clear long-term vision and a strategic pathway charting these transitions– as well as practical skills in relation to implementation in shorter-term. This report provides an evidence-based conceptual framework for how such transition pathways might look and implementation strategies for them, whilst and implementation strategies, and provides two sets of practical guidance to support European cities in developing these.</w:t>
      </w:r>
    </w:p>
    <w:p>
      <w:pPr>
        <w:pStyle w:val="Heading2"/>
      </w:pPr>
      <w:r>
        <w:t>654.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r>
        <w:rPr>
          <w:b/>
        </w:rPr>
        <w:t>POSSIBLE 2023:</w:t>
      </w:r>
      <w:r>
        <w:t xml:space="preserve"> Leadership styles: a study in Latin America, the United States and Europe — https://doi.org/10.56294/saludcyt2023401</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pPr/>
      <w:r>
        <w:rPr>
          <w:b/>
        </w:rPr>
        <w:t>POSSIBLE 2023:</w:t>
      </w:r>
      <w:r>
        <w:t xml:space="preserve"> Membership Trends in European Countries — https://doi.org/10.1353/ben.2023.a923758</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pPr/>
      <w:r>
        <w:rPr>
          <w:b/>
        </w:rPr>
        <w:t>POSSIBLE 2022:</w:t>
      </w:r>
      <w:r>
        <w:t xml:space="preserve">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pPr/>
      <w:r>
        <w:rPr>
          <w:b/>
        </w:rPr>
        <w:t>Shared claim-specific concepts:</w:t>
      </w:r>
      <w:r>
        <w:t xml:space="preserve"> them, one, both, but; EU scope visible. This is a provisional connection, not an outcome finding.</w:t>
      </w:r>
    </w:p>
    <w:p>
      <w:pPr>
        <w:pStyle w:val="SourceNote"/>
      </w:pPr>
      <w:r>
        <w:rPr>
          <w:b/>
        </w:rPr>
        <w:t>Available abstract (not full text):</w:t>
      </w:r>
      <w:r>
        <w:t xml:space="preserve">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analyzing, one, hand, other;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Possibilities of the Development of Edible Insect-Based Foods in Europe — https://doi.org/10.3390/foods10040766</w:t>
      </w:r>
    </w:p>
    <w:p>
      <w:pPr/>
      <w:r>
        <w:rPr>
          <w:b/>
        </w:rPr>
        <w:t>Shared claim-specific concepts:</w:t>
      </w:r>
      <w:r>
        <w:t xml:space="preserve"> them, one, valuable, knowledge, both, hand;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Perceptions of plagiarism by biomedical researchers: an online survey in Europe and China — https://doi.org/10.1186/s12910-020-00473-7</w:t>
      </w:r>
    </w:p>
    <w:p>
      <w:pPr/>
      <w:r>
        <w:rPr>
          <w:b/>
        </w:rPr>
        <w:t>Shared claim-specific concepts:</w:t>
      </w:r>
      <w:r>
        <w:t xml:space="preserve"> them, one, both, but, other, indicate; EU scope visible. This is a provisional connection, not an outcome finding.</w:t>
      </w:r>
    </w:p>
    <w:p>
      <w:pPr>
        <w:pStyle w:val="SourceNote"/>
      </w:pPr>
      <w:r>
        <w:rPr>
          <w:b/>
        </w:rPr>
        <w:t>Available abstract (not full text):</w:t>
      </w:r>
      <w:r>
        <w:t xml:space="preserve">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pPr/>
      <w:r>
        <w:rPr>
          <w:b/>
        </w:rPr>
        <w:t>POSSIBLE 2020:</w:t>
      </w:r>
      <w:r>
        <w:t xml:space="preserve"> Youth Participation in Europe — https://doi.org/10.1093/oso/9780190937768.003.0007</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Abstract In the European context, there is no one accepted definition of youth participation either in the political arena or in academic debates. This chapter analyzes whether the current discourses consider reshaping youth involvement in both public and individual spheres. It presents empirical findings on youth participation’s discourses as they emerge in exemplary interviews with experts, contrasting them with comments from young people collected through focus groups conducted in different youth social spaces in eight European cities. The goal is to analyze whether the claim for youth inclusion and engagement is inspired by the socio-pedagogical principle of participation as an empowering tool for young people, groups, and communities or by an adult-driven agenda focused on young people’s future as adults rather than their actual way of living, their needs, and their desires.</w:t>
      </w:r>
    </w:p>
    <w:p>
      <w:pPr>
        <w:pStyle w:val="Heading2"/>
      </w:pPr>
      <w:r>
        <w:t>655.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r>
        <w:rPr>
          <w:b/>
        </w:rPr>
        <w:t>POSSIBLE 2021:</w:t>
      </w:r>
      <w:r>
        <w:t xml:space="preserve"> Decision-making in sustainable energy transition in Southeastern Europe: probabilistic network-based model — https://doi.org/10.1186/s13705-021-00315-3</w:t>
      </w:r>
    </w:p>
    <w:p>
      <w:pPr/>
      <w:r>
        <w:rPr>
          <w:b/>
        </w:rPr>
        <w:t>Shared claim-specific concepts:</w:t>
      </w:r>
      <w:r>
        <w:t xml:space="preserve"> decision-making, transition, energy, challenging, different; EU scope visible. This is a provisional connection, not an outcome finding.</w:t>
      </w:r>
    </w:p>
    <w:p>
      <w:pPr>
        <w:pStyle w:val="SourceNote"/>
      </w:pPr>
      <w:r>
        <w:rPr>
          <w:b/>
        </w:rPr>
        <w:t>Available abstract (not full text):</w:t>
      </w:r>
      <w:r>
        <w:t xml:space="preserve"> Abstract Background Sustainable energy transition of a country is complex and long-term process, which requires decision-making in all stages and at all levels, including a large number of different factors, with different causality. The main objective of this paper is the development of a probabilistic model for decision-making in sustainable energy transition in developing countries of SE Europe. The model will be developed according to the specificities of the countries for which it is intended—SE Europe. These are countries where energy transition is slower and more difficult due to many factors: high degree of uncertainty, low transparency, corruption, investment problems, insufficiently reliable data, lower level of economic development, high level of corruption and untrained human resources. All these factors are making decision-making more challenging and demanding. Methods Research was done by using content analysis, artificial intelligence methods, software development method and testing. The model was developed by using MSBNx—Microsoft Research’s Bayesian Network Authoring and Evaluation Tool. Results Due to the large number of insufficiently clear, but interdependent factors, the model is developed on the principle of probabilistic (Bayesian) networks of factors of interest. The paper presents the first model for supporting decision-making in the field of energy sus</w:t>
      </w:r>
    </w:p>
    <w:p>
      <w:pPr/>
      <w:r>
        <w:rPr>
          <w:b/>
        </w:rPr>
        <w:t>POSSIBLE 2021:</w:t>
      </w:r>
      <w:r>
        <w:t xml:space="preserve"> Overcoming decision paralysis—A digital twin for decision making in energy system design — https://doi.org/10.1016/j.apenergy.2021.117954</w:t>
      </w:r>
    </w:p>
    <w:p>
      <w:pPr/>
      <w:r>
        <w:rPr>
          <w:b/>
        </w:rPr>
        <w:t>Shared claim-specific concepts:</w:t>
      </w:r>
      <w:r>
        <w:t xml:space="preserve"> energy, uncertainties, different; EU scope not established. This is a provisional connection, not an outcome finding.</w:t>
      </w:r>
    </w:p>
    <w:p>
      <w:pPr>
        <w:pStyle w:val="SourceNote"/>
      </w:pPr>
      <w:r>
        <w:rPr>
          <w:b/>
        </w:rPr>
        <w:t>Available abstract (not full text):</w:t>
      </w:r>
      <w:r>
        <w:t xml:space="preserve"> The design of efficient energy systems, through the development of new technologies and the improvement of current ones, requires the use of rigorous process synthesis methods for generating and analysing design alternatives. We introduce a digital twin of process and energy system design that interactively translates needs and preferences of decision makers into an optimization-based model and generates meaningful solutions. The Interactive Digital Twin (InDiT) assists decision makers in steering the exploration of the solution space and guiding them towards relevant system design decisions, taking into account multiple aspects such as the impact of uncertainties and multi-criteria analysis. InDiT enhances step-by-step communication with the decision maker, relying on visual aids to keep the communication during solution generation and exploration intuitive and flexible. In this way, decision makers are guided towards relevant solutions and improve their understanding of relations between the problem definition and system design decisions, while InDiT builds on the decision makers’ preferences and can, after training, suggest solutions that are best-suited to their interests. The novelty of this work lies in the holistic approach of addressing both (i) the systematic generation and exploration of solutions with the assistance of a digital consultant, which translates the decis</w:t>
      </w:r>
    </w:p>
    <w:p>
      <w:pPr/>
      <w:r>
        <w:rPr>
          <w:b/>
        </w:rPr>
        <w:t>POSSIBLE 2020:</w:t>
      </w:r>
      <w:r>
        <w:t xml:space="preserve"> Decision making on regional energy transition : models, tools and approaches — https://openalex.org/W3034318633</w:t>
      </w:r>
    </w:p>
    <w:p>
      <w:pPr/>
      <w:r>
        <w:rPr>
          <w:b/>
        </w:rPr>
        <w:t>Shared claim-specific concepts:</w:t>
      </w:r>
      <w:r>
        <w:t xml:space="preserve"> transition, energy, technological; EU scope not established. This is a provisional connection, not an outcome finding.</w:t>
      </w:r>
    </w:p>
    <w:p>
      <w:pPr>
        <w:pStyle w:val="SourceNote"/>
      </w:pPr>
      <w:r>
        <w:rPr>
          <w:b/>
        </w:rPr>
        <w:t>Available abstract (not full text):</w:t>
      </w:r>
      <w:r>
        <w:t xml:space="preserve"> Since the industrial revolution we have relied heavily on fossil fuels as feedstock and energy source. A major drawback in using fossil fuels is the emission of anthropogenic greenhouse gases. Deep reductions in these greenhouse gas emissions are needed if climate change is to be limited to 1.5-2°C above pre-industrial levels. These reductions will require a drastic transformation of the energy system as indicated by scenario studies which have evaluated possible roadmaps for this transformation. There is no straightforward solution to make a transition from a fossil-driven energy system to one based on renewables. There are many technological options to consider and which options work best depends to a great extent on local and regional circumstances. Therefore, it is increasingly recognized that the energy transition will take place at the local and regional level. This is where major decisions will have to be made.</w:t>
      </w:r>
    </w:p>
    <w:p>
      <w:pPr/>
      <w:r>
        <w:rPr>
          <w:b/>
        </w:rPr>
        <w:t>POSSIBLE 2020:</w:t>
      </w:r>
      <w:r>
        <w:t xml:space="preserve"> Energy transition in the South East Europe: The case of the Romanian power system — https://doi.org/10.1016/j.egyr.2020.07.032</w:t>
      </w:r>
    </w:p>
    <w:p>
      <w:pPr/>
      <w:r>
        <w:rPr>
          <w:b/>
        </w:rPr>
        <w:t>Shared claim-specific concepts:</w:t>
      </w:r>
      <w:r>
        <w:t xml:space="preserve"> decision-making, transition, energy, three; EU scope visible. This is a provisional connection, not an outcome finding.</w:t>
      </w:r>
    </w:p>
    <w:p>
      <w:pPr>
        <w:pStyle w:val="SourceNote"/>
      </w:pPr>
      <w:r>
        <w:rPr>
          <w:b/>
        </w:rPr>
        <w:t>Available abstract (not full text):</w:t>
      </w:r>
      <w:r>
        <w:t xml:space="preserve"> With the exception of Albania, the countries of South-Eastern Europe (SEE) have high shares of electricity generation from an ageing fleet of coal-fired power units with quite low efficiencies. Energy planning-related decision-making regarding whether to modernize or replace a significant share of this old generating capacity has to be fixed within a global clean energy transition context. At the same time, the SEE region has a huge potential for renewable energy deployment and energy efficiency implementation. This work presents a generic mixed integer linear programming model to determine the optimal energy scheduling of a multi-zonal power system following the roadmaps of its energy transition process. Through a detailed unit commitment model implementing a co-optimization of energy and reserves market with a cost minimization objective function, the developed approach determines the optimal annual energy mixes of the Romanian power system through the day by day iterative solution of all the dates of three specific time milestones (2020, 2030, and 2040), where the outputs of a specific date comprise the inputs of the next one. The model outputs highlight the impacts on the power system in terms of technical, economic, and environmental performance. The energy transition towards a renewables dominant capacity and production mix guarantees the system’s security of supply, and </w:t>
      </w:r>
    </w:p>
    <w:p>
      <w:pPr/>
      <w:r>
        <w:rPr>
          <w:b/>
        </w:rPr>
        <w:t>POSSIBLE 2020:</w:t>
      </w:r>
      <w:r>
        <w:t xml:space="preserve"> The International Energy Security Risk Index in Sustainable Energy and Economy Transition Decision Making—A Reliability Analysis — https://doi.org/10.3390/en13143691</w:t>
      </w:r>
    </w:p>
    <w:p>
      <w:pPr/>
      <w:r>
        <w:rPr>
          <w:b/>
        </w:rPr>
        <w:t>Shared claim-specific concepts:</w:t>
      </w:r>
      <w:r>
        <w:t xml:space="preserve"> decision-making, transition, energy, economy, different; EU scope not established. This is a provisional connection, not an outcome finding.</w:t>
      </w:r>
    </w:p>
    <w:p>
      <w:pPr>
        <w:pStyle w:val="SourceNote"/>
      </w:pPr>
      <w:r>
        <w:rPr>
          <w:b/>
        </w:rPr>
        <w:t>Available abstract (not full text):</w:t>
      </w:r>
      <w:r>
        <w:t xml:space="preserve"> The world economy and society are in a complex process of transition characterized by a high degree of uncertainty. Therefore, further development and management of the transition will largely depend on the quality of the decisions made and, accordingly, on the decision-making process itself. The main goal of this study is to analyze the reliability of International Energy Security Risk Index as a tool to support the process of energy and economy transition decision making, as closely related and highly interdependent phenomena. The index is composed of 29 aggregated variables (grouped into eight categories), and the research is conducted on a research sample of 25 countries over a period of 36 years. The reliability assessment is performed by using Multiple Regression Analysis. Multicollinearity test, plus Multicollinearity test with Variance Inflation Factors, is used for methodological verification. The test results indicate a high degree of unreliability of the Index, as is concluded based on the observed errors in its methodological settings. These errors primarily relate to a high degree of multicollinearity in all 29 variables, whereby independent variables lose their independence and thus jeopardize reliability of the total Index. Out of the eight groups of variables, the fuel imports group is the only one that does not show big methodological errors. The paper presents</w:t>
      </w:r>
    </w:p>
    <w:p>
      <w:pPr/>
      <w:r>
        <w:rPr>
          <w:b/>
        </w:rPr>
        <w:t>POSSIBLE 2020:</w:t>
      </w:r>
      <w:r>
        <w:t xml:space="preserve"> Stakeholder involvement through national panels and surveys to address the issues and uncertainties arising in the preparedness and management of the transition phase — https://doi.org/10.1051/radiopro/2020022</w:t>
      </w:r>
    </w:p>
    <w:p>
      <w:pPr/>
      <w:r>
        <w:rPr>
          <w:b/>
        </w:rPr>
        <w:t>Shared claim-specific concepts:</w:t>
      </w:r>
      <w:r>
        <w:t xml:space="preserve"> decision-making, transition, uncertainties; EU scope visible. This is a provisional connection, not an outcome finding.</w:t>
      </w:r>
    </w:p>
    <w:p>
      <w:pPr>
        <w:pStyle w:val="SourceNote"/>
      </w:pPr>
      <w:r>
        <w:rPr>
          <w:b/>
        </w:rPr>
        <w:t>Available abstract (not full text):</w:t>
      </w:r>
      <w:r>
        <w:t xml:space="preserve"> Under the framework of the CONFIDENCE project, work package 4 was focusing on the transition to long-term recovery, involving stakeholders in decision-making processes. The essential research was performed using a participatory approach, which combined scenario-based stakeholder discussion panels and transnational stakeholder surveys following the Delphi methodology. The objective was to identify and address the issues and uncertainties arising in the preparedness and management of the transition phase and to explore ways to facilitate the incorporation of stakeholders’ expertise, points of view and interests in the decision-making processes. The final goal was to build best practices for planning optimal remediation strategies during the transition phase considering stakeholder involvement in the decision-making process. The results obtained from the work undertaken in nine European countries are presented.</w:t>
      </w:r>
    </w:p>
    <w:p>
      <w:pPr>
        <w:pStyle w:val="Heading2"/>
      </w:pPr>
      <w:r>
        <w:t>656. Future Scenarios of European Forests</w:t>
      </w:r>
    </w:p>
    <w:p>
      <w:pPr>
        <w:pStyle w:val="SourceNote"/>
      </w:pPr>
      <w:r>
        <w:rPr>
          <w:b/>
        </w:rPr>
        <w:t>Original source (2019):</w:t>
      </w:r>
      <w:r>
        <w:t xml:space="preserve"> https://doi.org/10.2478/jlecol-2018-0020</w:t>
      </w:r>
    </w:p>
    <w:p>
      <w:pPr/>
      <w:r>
        <w:t>Original wording (abstract; indexed_source_text_not_full_document_verified):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2023:</w:t>
      </w:r>
      <w:r>
        <w:t xml:space="preserve"> Performance-based sub-selection of CMIP6 models for impact assessments in Europe — https://doi.org/10.5194/esd-14-457-2023</w:t>
      </w:r>
    </w:p>
    <w:p>
      <w:pPr/>
      <w:r>
        <w:rPr>
          <w:b/>
        </w:rPr>
        <w:t>Shared claim-specific concepts:</w:t>
      </w:r>
      <w:r>
        <w:t xml:space="preserve"> abstract, based, used, trends; EU scope visible. This is a provisional connection, not an outcome finding.</w:t>
      </w:r>
    </w:p>
    <w:p>
      <w:pPr>
        <w:pStyle w:val="SourceNote"/>
      </w:pPr>
      <w:r>
        <w:rPr>
          <w:b/>
        </w:rPr>
        <w:t>Available abstract (not full text):</w:t>
      </w:r>
      <w:r>
        <w:t xml:space="preserve">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based, used, explore, develop;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2022:</w:t>
      </w:r>
      <w:r>
        <w:t xml:space="preserve"> Contrasting future lightning stories across Europe — https://doi.org/10.1088/1748-9326/ac9b78</w:t>
      </w:r>
    </w:p>
    <w:p>
      <w:pPr/>
      <w:r>
        <w:rPr>
          <w:b/>
        </w:rPr>
        <w:t>Shared claim-specific concepts:</w:t>
      </w:r>
      <w:r>
        <w:t xml:space="preserve"> abstract, contrasting, here, general; EU scope visible. This is a provisional connection, not an outcome finding.</w:t>
      </w:r>
    </w:p>
    <w:p>
      <w:pPr>
        <w:pStyle w:val="SourceNote"/>
      </w:pPr>
      <w:r>
        <w:rPr>
          <w:b/>
        </w:rPr>
        <w:t>Available abstract (not full text):</w:t>
      </w:r>
      <w:r>
        <w:t xml:space="preserve"> Abstract Thunderstorms are the most common source of hazardous weather at local scales, but are poorly represented in conventional climate models, resulting in high uncertainty in future changes. How these changes manifest in terms of lightning is even more uncertain, with previous studies giving conflicting projections. Here, for the first time, we use a km-scale model that explicitly resolves convection across Europe; suggesting more convection by 2100 under RCP8.5. Our ice-based lightning scheme indicates a highly altered lightning climatology-the consequence of general increases in instability, partly limited by convective inhibition, along with huge increases in melting level height and less cloud ice. A northward shift in favourable weather regimes increases lightning frequency at higher latitudes, and favours more thunderstorms over the Alps, but lightning decreases over lower terrain elsewhere and over the sea. Our results suggest the need to re-evaluate lightning risk to wildfires, properties, and human life across Europe.</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abstract, based, different, impacts, large, recent;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Keeping Up or Giving Up? Income Inequality and Materialism in Europe and the United States — https://doi.org/10.1007/s11205-021-02760-1</w:t>
      </w:r>
    </w:p>
    <w:p>
      <w:pPr/>
      <w:r>
        <w:rPr>
          <w:b/>
        </w:rPr>
        <w:t>Shared claim-specific concepts:</w:t>
      </w:r>
      <w:r>
        <w:t xml:space="preserve"> abstract, based, used, different, trends; EU scope visible. This is a provisional connection, not an outcome finding.</w:t>
      </w:r>
    </w:p>
    <w:p>
      <w:pPr>
        <w:pStyle w:val="SourceNote"/>
      </w:pPr>
      <w:r>
        <w:rPr>
          <w:b/>
        </w:rPr>
        <w:t>Available abstract (not full text):</w:t>
      </w:r>
      <w:r>
        <w:t xml:space="preserve"> Abstract We examine the extent to which income inequality is associated with materialistic values and behavior in Europe and the United States (US). In the US, existing research on materialistic behavior is largely focused on the study of shopping behavior and shows that, when income inequality is higher, individuals search for and buy products that are more luxury. In Europe, the evidence for this phenomenon is mainly based on survey questions on people’s values, and results are mixed. To determine whether these conflicting findings are rooted in methodology or reflect structural differences between the situation of Americans and Europeans, we measure materialistic behavior and values in both the US and Europe. Different types of data are used to test our arguments. In study 1, we use information on materialistic values from the European Social Survey (ESS) and the World Values Survey (WVS) to study the relationship between income inequality and materialistic values, examining the same research question in the contexts of Europe and the United States. In study 2, we use information from Google Trends to examine the relationship between income inequality and internet searching behavior both in Europe and in the United States. Hybrid multilevel models analyzing the variation in these relationships both over time and across regions show that in Europe as well as in the US, income</w:t>
      </w:r>
    </w:p>
    <w:p>
      <w:pPr/>
      <w:r>
        <w:rPr>
          <w:b/>
        </w:rPr>
        <w:t>POSSIBLE 2020:</w:t>
      </w:r>
      <w:r>
        <w:t xml:space="preserve"> Diverging hydrological drought traits over Europe with global warming — https://doi.org/10.5194/hess-24-5919-2020</w:t>
      </w:r>
    </w:p>
    <w:p>
      <w:pPr/>
      <w:r>
        <w:rPr>
          <w:b/>
        </w:rPr>
        <w:t>Shared claim-specific concepts:</w:t>
      </w:r>
      <w:r>
        <w:t xml:space="preserve"> abstract, different, develop, impacts,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2020:</w:t>
      </w:r>
      <w:r>
        <w:t xml:space="preserve"> Is There a Crisis of Democracy in Europe? — https://doi.org/10.1007/s11615-020-00231-9</w:t>
      </w:r>
    </w:p>
    <w:p>
      <w:pPr/>
      <w:r>
        <w:rPr>
          <w:b/>
        </w:rPr>
        <w:t>Shared claim-specific concepts:</w:t>
      </w:r>
      <w:r>
        <w:t xml:space="preserve"> abstract, large, trends;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abstract, based, used, explore, impacts, here;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Attribution of precipitation to cyclones and fronts over Europe in a kilometer-scale regional climate simulation — https://doi.org/10.5194/wcd-1-675-2020</w:t>
      </w:r>
    </w:p>
    <w:p>
      <w:pPr/>
      <w:r>
        <w:rPr>
          <w:b/>
        </w:rPr>
        <w:t>Shared claim-specific concepts:</w:t>
      </w:r>
      <w:r>
        <w:t xml:space="preserve"> abstract, based, contrasting, characteristics; EU scope visible. This is a provisional connection, not an outcome finding.</w:t>
      </w:r>
    </w:p>
    <w:p>
      <w:pPr>
        <w:pStyle w:val="SourceNote"/>
      </w:pPr>
      <w:r>
        <w:rPr>
          <w:b/>
        </w:rPr>
        <w:t>Available abstract (not full text):</w:t>
      </w:r>
      <w:r>
        <w:t xml:space="preserve"> Abstract. This study presents a detailed analysis of the climatological distribution of precipitation in relation to cyclones and fronts over Europe for the nine-year period 2000–2008. The analysis uses hourly output of a COSMO (Consortium for Small-scale Modeling) model simulation with 2.2 km grid spacing and resolved deep convection. Cyclones and fronts are identified as two-dimensional features in 850 hPa geopotential, equivalent potential temperature, and wind fields, and subsequently tracked over time based on feature overlap and size. Thermal heat lows and local thermal fronts are removed based on track properties. This data set then serves to define seven mutually exclusive precipitation components: high-pressure (e.g., summer convection), cyclonic (near cyclone center), cold-frontal, warm-frontal, collocated (e.g., occlusion area), far-frontal, and residual. The approach is illustrated with two case studies with contrasting precipitation characteristics. The climatological analysis for the nine-year period shows that frontal precipitation peaks in fall and winter over the eastern North Atlantic, with cold frontal precipitation also being crucial year-round near the Alps; cyclonic precipitation is largest over the North Atlantic (especially in summer) and in the northern Mediterranean (except in summer); high-pressure precipitation occurs almost exclusively over land and</w:t>
      </w:r>
    </w:p>
    <w:p>
      <w:pPr>
        <w:pStyle w:val="Heading2"/>
      </w:pPr>
      <w:r>
        <w:t>657.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2022:</w:t>
      </w:r>
      <w:r>
        <w:t xml:space="preserve"> Global wood anatomical perspective on the onset of the Late Antique Little Ice Age (LALIA) in the mid-6th century CE — https://doi.org/10.1016/j.scib.2022.10.019</w:t>
      </w:r>
    </w:p>
    <w:p>
      <w:pPr/>
      <w:r>
        <w:rPr>
          <w:b/>
        </w:rPr>
        <w:t>Shared claim-specific concepts:</w:t>
      </w:r>
      <w:r>
        <w:t xml:space="preserve"> ice, two, climate; EU scope not established. This is a provisional connection, not an outcome finding.</w:t>
      </w:r>
    </w:p>
    <w:p>
      <w:pPr>
        <w:pStyle w:val="SourceNote"/>
      </w:pPr>
      <w:r>
        <w:rPr>
          <w:b/>
        </w:rPr>
        <w:t>Available abstract (not full text):</w:t>
      </w:r>
      <w:r>
        <w:t xml:space="preserve">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pPr/>
      <w:r>
        <w:rPr>
          <w:b/>
        </w:rPr>
        <w:t>POSSIBLE 2022:</w:t>
      </w:r>
      <w:r>
        <w:t xml:space="preserve"> Tunnel valley formation beneath deglaciating mid-latitude ice sheets: Observations and modelling — https://doi.org/10.1016/j.quascirev.2022.107680</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pPr/>
      <w:r>
        <w:rPr>
          <w:b/>
        </w:rPr>
        <w:t>POSSIBLE 2022:</w:t>
      </w:r>
      <w:r>
        <w:t xml:space="preserve"> Split westerlies over Europe in the early Little Ice Age — https://doi.org/10.1038/s41467-022-32654-w</w:t>
      </w:r>
    </w:p>
    <w:p>
      <w:pPr/>
      <w:r>
        <w:rPr>
          <w:b/>
        </w:rPr>
        <w:t>Shared claim-specific concepts:</w:t>
      </w:r>
      <w:r>
        <w:t xml:space="preserve"> ice, cover, climate; EU scope visible. This is a provisional connection, not an outcome finding.</w:t>
      </w:r>
    </w:p>
    <w:p>
      <w:pPr>
        <w:pStyle w:val="SourceNote"/>
      </w:pPr>
      <w:r>
        <w:rPr>
          <w:b/>
        </w:rPr>
        <w:t>Available abstract (not full text):</w:t>
      </w:r>
      <w:r>
        <w:t xml:space="preserve">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pPr/>
      <w:r>
        <w:rPr>
          <w:b/>
        </w:rPr>
        <w:t>POSSIBLE 2022:</w:t>
      </w:r>
      <w:r>
        <w:t xml:space="preserve"> Global tree-ring response and inferred climate variation following the mid-thirteenth century Samalas eruption — https://doi.org/10.1007/s00382-022-06141-3</w:t>
      </w:r>
    </w:p>
    <w:p>
      <w:pPr/>
      <w:r>
        <w:rPr>
          <w:b/>
        </w:rPr>
        <w:t>Shared claim-specific concepts:</w:t>
      </w:r>
      <w:r>
        <w:t xml:space="preserve"> predominantly, climate; EU scope visible. This is a provisional connection, not an outcome finding.</w:t>
      </w:r>
    </w:p>
    <w:p>
      <w:pPr>
        <w:pStyle w:val="SourceNote"/>
      </w:pPr>
      <w:r>
        <w:rPr>
          <w:b/>
        </w:rPr>
        <w:t>Available abstract (not full text):</w:t>
      </w:r>
      <w:r>
        <w:t xml:space="preserve">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pPr/>
      <w:r>
        <w:rPr>
          <w:b/>
        </w:rPr>
        <w:t>POSSIBLE 2022:</w:t>
      </w:r>
      <w:r>
        <w:t xml:space="preserve"> Tricentennial trends in spring ice break-ups on three rivers in northern Europe — https://doi.org/10.5194/tc-16-2881-2022</w:t>
      </w:r>
    </w:p>
    <w:p>
      <w:pPr/>
      <w:r>
        <w:rPr>
          <w:b/>
        </w:rPr>
        <w:t>Shared claim-specific concepts:</w:t>
      </w:r>
      <w:r>
        <w:t xml:space="preserve"> ice, cover, two; EU scope visible. This is a provisional connection, not an outcome finding.</w:t>
      </w:r>
    </w:p>
    <w:p>
      <w:pPr>
        <w:pStyle w:val="SourceNote"/>
      </w:pPr>
      <w:r>
        <w:rPr>
          <w:b/>
        </w:rPr>
        <w:t>Available abstract (not full text):</w:t>
      </w:r>
      <w:r>
        <w:t xml:space="preserve">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pPr/>
      <w:r>
        <w:rPr>
          <w:b/>
        </w:rPr>
        <w:t>POSSIBLE 2021:</w:t>
      </w:r>
      <w:r>
        <w:t xml:space="preserve"> Exposure of mammal genetic diversity to mid‐21st century global change — https://doi.org/10.1111/ecog.05588</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Accelerating climate and land‐use change are rapidly transforming Earth's biodiversity. While there is substantial evidence on the exposure and vulnerability of biodiversity to global change at the species level, the global exposure of intraspecific genetic diversity (GD) is still unknown. Here, we assess the exposure of mitochondrial GD to mid‐21st century climate and land‐use change in terrestrial mammal assemblages at grid‐cell and bioclimatic region scales under alternative narratives of future societal development. We used global predictions of mammal GD distribution based on thousands of georeferenced mitochondrial genes for hundreds of mammal species, the latest generation of global climate models from the ongoing sixth phase of the Coupled Model Intercomparison Project (CMIP6), and global future projections of land‐use prepared for CMIP6. We found that more than 50% of the genetically poorest geographic areas (grid‐cells), primarily distributed in tundra, boreal forests/taiga and temperate bioclimatic regions, will be exposed to mean annual temperature rise that exceeds 2°C compared to the baseline period under all considered future scenarios. We also show that at least 30% of the most genetically rich areas in tropical, subtropical and montane regions will be exposed to an increase of mean annual temperature &gt; 2°C under less optimal scenarios. Genetic diversity in thes</w:t>
      </w:r>
    </w:p>
    <w:p>
      <w:pPr/>
      <w:r>
        <w:rPr>
          <w:b/>
        </w:rPr>
        <w:t>POSSIBLE 2021:</w:t>
      </w:r>
      <w:r>
        <w:t xml:space="preserve"> Limnological changes in Lake Victoria since the mid‐20th century — https://doi.org/10.1111/fwb.13780</w:t>
      </w:r>
    </w:p>
    <w:p>
      <w:pPr/>
      <w:r>
        <w:rPr>
          <w:b/>
        </w:rPr>
        <w:t>Shared claim-specific concepts:</w:t>
      </w:r>
      <w:r>
        <w:t xml:space="preserve"> increase, about, deeper, climate; EU scope not established. This is a provisional connection, not an outcome finding.</w:t>
      </w:r>
    </w:p>
    <w:p>
      <w:pPr>
        <w:pStyle w:val="SourceNote"/>
      </w:pPr>
      <w:r>
        <w:rPr>
          <w:b/>
        </w:rPr>
        <w:t>Available abstract (not full text):</w:t>
      </w:r>
      <w:r>
        <w:t xml:space="preserve"> Abstract Lake Victoria experienced a strong degradation of water quality between the 1960s and the 1990s and, as a consequence of eutrophication, the dominant phytoplankton group changed from diatoms to N2‐fixing cyanobacteria and there was a 2‐ to 10‐fold increase in chlorophyll‐a. The goal of this study is to determine whether the 2018–2019 physical (light, stratification) and ecological (nutrient, chlorophyll‐a, phytoplankton composition) conditions in Lake Victoria changed from the 1990s. Samples were collected in 2018–2019 in nearshore and offshore waters (Uganda), during three contrasting seasons: heavy rains (March), low rains (October), and dry (June), which corresponded to distinct water column mixing regimes, respectively, late‐stratified, early‐stratified, and mixed regimes. At each station (48 nearshore and 25 offshore), we measured vertical profiles of temperature, oxygen, phytoplankton biomass and composition, inorganic nutrients, and particulate organic carbon, particulate nitrogen (N), and phosphorus (P). Chlorophyll‐a concentrations in 2018–2019 were 10.3 ± 7.1 and 2.8 ± 1.1 µg/L in the nearshore and offshore surface waters, respectively, close to those measured in the 1960s before eutrophication, but distinctly lower than those measured in the 1990s (71 ± 100 and 14 ± 6 µg/L). The phytoplankton of Lake Victoria in 2018–2019 still appears dominated by diatoms a</w:t>
      </w:r>
    </w:p>
    <w:p>
      <w:pPr/>
      <w:r>
        <w:rPr>
          <w:b/>
        </w:rPr>
        <w:t>POSSIBLE 2020:</w:t>
      </w:r>
      <w:r>
        <w:t xml:space="preserve"> Increased European heat waves in recent decades in response to shrinking Arctic sea ice and Eurasian snow cover — https://doi.org/10.1038/s41612-020-0110-8</w:t>
      </w:r>
    </w:p>
    <w:p>
      <w:pPr/>
      <w:r>
        <w:rPr>
          <w:b/>
        </w:rPr>
        <w:t>Shared claim-specific concepts:</w:t>
      </w:r>
      <w:r>
        <w:t xml:space="preserve"> ice, increase, cover, climate; EU scope visible. This is a provisional connection, not an outcome finding.</w:t>
      </w:r>
    </w:p>
    <w:p>
      <w:pPr>
        <w:pStyle w:val="SourceNote"/>
      </w:pPr>
      <w:r>
        <w:rPr>
          <w:b/>
        </w:rPr>
        <w:t>Available abstract (not full text):</w:t>
      </w:r>
      <w:r>
        <w:t xml:space="preserve"> Abstract In recent decades, unprecedented extreme summer heat waves have occurred in Europe, and they have exhibited an increasing trend since 1970s. Although previous studies have suggested that these recent hot European summers could have been instigated by the underlying surface thermal conditions, the possible influence of shrinking Arctic sea ice and Eurasian snow cover on heat waves are not well understood. Herein, we present evidence obtained via observational analyses and numerical experiments indicating that the interdecadal increase in European heat waves is closely linked to the reductions in Arctic sea ice concentration (ASIC) and Eurasian snow cover fraction (EASC) across mid–high latitudes via the excitation of the anomalous Eurasian wave train. The combined effects of declined ASIC and EASC, accompanied by the drier soil and the stronger heat flux, tend to weaken the poleward temperature gradient at mid–high latitudes and affect the midlatitude jet stream and transient eddy activities. These dynamic and thermodynamic circulations increase the likelihood of more persistent European blocking events that favor frequent and strengthened heat waves. Further projection analysis of simulations from 13 CMIP5 climate models suggests that Europe may experience more hot summers as the ASIC and EASC continue to decline over the next century.</w:t>
      </w:r>
    </w:p>
    <w:p>
      <w:pPr/>
      <w:r>
        <w:rPr>
          <w:b/>
        </w:rPr>
        <w:t>POSSIBLE 2020:</w:t>
      </w:r>
      <w:r>
        <w:t xml:space="preserve"> Six hundred years of South American tree rings reveal an increase in severe hydroclimatic events since mid-20th century — https://doi.org/10.1073/pnas.2002411117</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South American (SA) societies are highly vulnerable to droughts and pluvials, but lack of long-term climate observations severely limits our understanding of the global processes driving climatic variability in the region. The number and quality of SA climate-sensitive tree ring chronologies have significantly increased in recent decades, now providing a robust network of 286 records for characterizing hydroclimate variability since 1400 CE. We combine this network with a self-calibrated Palmer Drought Severity Index (scPDSI) dataset to derive the South American Drought Atlas (SADA) over the continent south of 12°S. The gridded annual reconstruction of austral summer scPDSI is the most spatially complete estimate of SA hydroclimate to date, and well matches past historical dry/wet events. Relating the SADA to the Australia-New Zealand Drought Atlas, sea surface temperatures and atmospheric pressure fields, we determine that the El Niño-Southern Oscillation (ENSO) and the Southern Annular Mode (SAM) are strongly associated with spatially extended droughts and pluvials over the SADA domain during the past several centuries. SADA also exhibits more extended severe droughts and extreme pluvials since the mid-20th century. Extensive droughts are consistent with the observed 20th-century trend toward positive SAM anomalies concomitant with the weakening of midlatitude Westerlies, whi</w:t>
      </w:r>
    </w:p>
    <w:p>
      <w:pPr>
        <w:pStyle w:val="Heading2"/>
      </w:pPr>
      <w:r>
        <w:t>658.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2020:</w:t>
      </w:r>
      <w:r>
        <w:t xml:space="preserve"> Right‐Wing Populism in Rural Europe. Introduction to the Special Issue — https://doi.org/10.1111/soru.12306</w:t>
      </w:r>
    </w:p>
    <w:p>
      <w:pPr/>
      <w:r>
        <w:rPr>
          <w:b/>
        </w:rPr>
        <w:t>Shared claim-specific concepts:</w:t>
      </w:r>
      <w:r>
        <w:t xml:space="preserve"> here, built, system; EU scope visible. This is a provisional connection, not an outcome finding.</w:t>
      </w:r>
    </w:p>
    <w:p>
      <w:pPr>
        <w:pStyle w:val="SourceNote"/>
      </w:pPr>
      <w:r>
        <w:rPr>
          <w:b/>
        </w:rPr>
        <w:t>Available abstract (not full text):</w:t>
      </w:r>
      <w:r>
        <w:t xml:space="preserve">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pPr/>
      <w:r>
        <w:rPr>
          <w:b/>
        </w:rPr>
        <w:t>POSSIBLE 2020:</w:t>
      </w:r>
      <w:r>
        <w:t xml:space="preserve"> Alternative lenses for viewing how China has built its accounting and auditing profession — https://doi.org/10.1108/jaee-01-2019-0029</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Purpose The paper reviews some theoretical approaches that have been adopted for understanding the drivers and achievements of the Chinese professional project and the challenges it faces for the future, as a complement and a contrast to previous histories of China and to studies of other developing economies. Design/methodology/approach Based mainly on evaluating the information as obtained from the interviews in mainland China, in Hong Kong and in London reported by Macve (2020), complemented by other published histories. Findings China remains a paradox. Since the “reform and open” policy began in 1978 it has been transformed from one of the poorest countries to one of the economically most powerful in just some 40 years. However it remains (per capita) a “developing country”/”emerging economy” and ideologically a Communist country. While the accounting profession in the USA and UK has developed “from the bottom up” over more than a century and a half, the Chinese profession has effectively been created “from the top down” in under 25 years. The paper outlines alternative theorizations of the major stages in this achievement, in the context of the continuing rapid growth of China's economy and its stock markets, and of the overseas expansion of its manufacturing and increasingly service-oriented base. Research limitations/implications Space has restricted the analysis here t</w:t>
      </w:r>
    </w:p>
    <w:p>
      <w:pPr/>
      <w:r>
        <w:rPr>
          <w:b/>
        </w:rPr>
        <w:t>POSSIBLE 2020:</w:t>
      </w:r>
      <w:r>
        <w:t xml:space="preserve"> Flood exposure and vulnerability estimation methods for residential and commercial assets in Europe — https://doi.org/10.5194/egusphere-egu2020-4753</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Floods affect many types of tangible assets in Europe. Here, we present novel methods of estimating exposure and vulnerability of four important categories of assets: (1) residential buildings, (2) household contents, (3) non-residential buildings, (4) machinery and equipment. One set of models was developed for “residential” assets (1+2) and another one for “commercial” assets (3+4) within the activities of EIT Climate-KIC “SaferPLACES” project. All methods are applicable within Europe using only openly-available datasets at the level of individual buildings. Residential exposure is calculated through combination of estimated useful flood space of buildings and average national replacement costs of buildings and household contents. We devised a method for estimating building height using OpenStreetMap and pan-European raster datasets and transforming it into floor space area. Combining economic and demographic data, we calculated replacement costs of residential assets per m2 of floor space in 30 European countries, covering years 2000–2017. Regarding commercial assets, we created a method to disaggregate economic statistics to obtain detailed building-level estimates of replacement costs of non-residential buildings and machinery/equipment. Finally, we developed two Bayesian Network-based, probabilistic, multivariate models to estimate relative losses to residential and comme</w:t>
      </w:r>
    </w:p>
    <w:p>
      <w:pPr>
        <w:pStyle w:val="Heading2"/>
      </w:pPr>
      <w:r>
        <w:t>659.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2023:</w:t>
      </w:r>
      <w:r>
        <w:t xml:space="preserve"> QuantMig microsimulation population projection model and migration scenarios for 31 European countries — https://doi.org/10.5281/zenodo.7728048</w:t>
      </w:r>
    </w:p>
    <w:p>
      <w:pPr/>
      <w:r>
        <w:rPr>
          <w:b/>
        </w:rPr>
        <w:t>Shared claim-specific concepts:</w:t>
      </w:r>
      <w:r>
        <w:t xml:space="preserve"> microsimulation, project, population, immigration; EU scope visible. This is a provisional connection, not an outcome finding.</w:t>
      </w:r>
    </w:p>
    <w:p>
      <w:pPr>
        <w:pStyle w:val="SourceNote"/>
      </w:pPr>
      <w:r>
        <w:rPr>
          <w:b/>
        </w:rPr>
        <w:t>Available abstract (not full text):</w:t>
      </w:r>
      <w:r>
        <w:t xml:space="preserve">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pPr/>
      <w:r>
        <w:rPr>
          <w:b/>
        </w:rPr>
        <w:t>POSSIBLE 2023:</w:t>
      </w:r>
      <w:r>
        <w:t xml:space="preserve"> MicSim, a microsimulation model for population dynamics — https://doi.org/10.21203/rs.3.rs-2986170/v1</w:t>
      </w:r>
    </w:p>
    <w:p>
      <w:pPr/>
      <w:r>
        <w:rPr>
          <w:b/>
        </w:rPr>
        <w:t>Shared claim-specific concepts:</w:t>
      </w:r>
      <w:r>
        <w:t xml:space="preserve"> microsimulation, used, project, population, different, dynamics; EU scope visible. This is a provisional connection, not an outcome finding.</w:t>
      </w:r>
    </w:p>
    <w:p>
      <w:pPr>
        <w:pStyle w:val="SourceNote"/>
      </w:pPr>
      <w:r>
        <w:rPr>
          <w:b/>
        </w:rPr>
        <w:t>Available abstract (not full text):</w:t>
      </w:r>
      <w:r>
        <w:t xml:space="preserve">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pPr/>
      <w:r>
        <w:rPr>
          <w:b/>
        </w:rPr>
        <w:t>POSSIBLE 2022:</w:t>
      </w:r>
      <w:r>
        <w:t xml:space="preserve"> Health Equity and Its Economic Determinants (HEED): protocol for a pan-European microsimulation model for health impacts of income and social security policies — https://doi.org/10.1136/bmjopen-2022-062405</w:t>
      </w:r>
    </w:p>
    <w:p>
      <w:pPr/>
      <w:r>
        <w:rPr>
          <w:b/>
        </w:rPr>
        <w:t>Shared claim-specific concepts:</w:t>
      </w:r>
      <w:r>
        <w:t xml:space="preserve"> microsimulation, project, population, different; EU scope visible. This is a provisional connection, not an outcome finding.</w:t>
      </w:r>
    </w:p>
    <w:p>
      <w:pPr>
        <w:pStyle w:val="SourceNote"/>
      </w:pPr>
      <w:r>
        <w:rPr>
          <w:b/>
        </w:rPr>
        <w:t>Available abstract (not full text):</w:t>
      </w:r>
      <w:r>
        <w:t xml:space="preserve">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pPr/>
      <w:r>
        <w:rPr>
          <w:b/>
        </w:rPr>
        <w:t>POSSIBLE 2022:</w:t>
      </w:r>
      <w:r>
        <w:t xml:space="preserve"> Modeling Fuzzy Fidelity: Using Microsimulation to Explore Age, Period, and Cohort Effects in Secularization — https://doi.org/10.1163/2589742x-bja10012</w:t>
      </w:r>
    </w:p>
    <w:p>
      <w:pPr/>
      <w:r>
        <w:rPr>
          <w:b/>
        </w:rPr>
        <w:t>Shared claim-specific concepts:</w:t>
      </w:r>
      <w:r>
        <w:t xml:space="preserve"> microsimulation, population, period; EU scope visible. This is a provisional connection, not an outcome finding.</w:t>
      </w:r>
    </w:p>
    <w:p>
      <w:pPr>
        <w:pStyle w:val="SourceNote"/>
      </w:pPr>
      <w:r>
        <w:rPr>
          <w:b/>
        </w:rPr>
        <w:t>Available abstract (not full text):</w:t>
      </w:r>
      <w:r>
        <w:t xml:space="preserve">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pPr/>
      <w:r>
        <w:rPr>
          <w:b/>
        </w:rPr>
        <w:t>POSSIBLE 2021:</w:t>
      </w:r>
      <w:r>
        <w:t xml:space="preserve"> Projecting health-ageing trajectories in Europe using a dynamic microsimulation model — https://doi.org/10.1038/s41598-021-81092-z</w:t>
      </w:r>
    </w:p>
    <w:p>
      <w:pPr/>
      <w:r>
        <w:rPr>
          <w:b/>
        </w:rPr>
        <w:t>Shared claim-specific concepts:</w:t>
      </w:r>
      <w:r>
        <w:t xml:space="preserve"> microsimulation, used, project, population, period; EU scope visible. This is a provisional connection, not an outcome finding.</w:t>
      </w:r>
    </w:p>
    <w:p>
      <w:pPr>
        <w:pStyle w:val="SourceNote"/>
      </w:pPr>
      <w:r>
        <w:rPr>
          <w:b/>
        </w:rPr>
        <w:t>Available abstract (not full text):</w:t>
      </w:r>
      <w:r>
        <w:t xml:space="preserve"> The extent of the challenges and opportunities that population ageing presents depends heavily on the population's health. Hence, for the development of appropriate strategies that enable countries to adopt the emerging demographic and epidemiological realities, information on future health trajectories of elderly population is a natural requirement. This study presents an innovative methodological framework for projecting the health of individuals using a dynamic microsimulation model that considers interactions between sociodemographic characteristics, health, mortality, bio-medical and behavioral risk factors. The model developed, called ATHLOS-Mic, is used to project the health of cohorts born before 1960 for the period 2015-2060 for selected European Countries using SHARE data to illustrate the possible effects of some selected risk factors and education on future health trajectories. Results show that, driven by a better educational attainment, each generation will be healthier than the previous one at same age. Also, we see that, on average, an individual of our base population will live about 18 more years since the start of the projection period, but only 5 years in good health. Finally, we find that a scenario that removes the effect of having a low level of education on individual health has the largest impact on the projected average health, the average number of ye</w:t>
      </w:r>
    </w:p>
    <w:p>
      <w:pPr/>
      <w:r>
        <w:rPr>
          <w:b/>
        </w:rPr>
        <w:t>POSSIBLE 2021:</w:t>
      </w:r>
      <w:r>
        <w:t xml:space="preserve"> Development and Validation of Three Regional Microsimulation Models for Predicting Colorectal Cancer Screening Benefits in Europe — https://doi.org/10.1177/2381468320984974</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Development and Validation of Three Regional Microsimulation Models for Predicting Colorectal Cancer Screening Benefits in Europe — https://doi.org/10.25384/sage.c.5291471</w:t>
      </w:r>
    </w:p>
    <w:p>
      <w:pPr/>
      <w:r>
        <w:rPr>
          <w:b/>
        </w:rPr>
        <w:t>Shared claim-specific concepts:</w:t>
      </w:r>
      <w:r>
        <w:t xml:space="preserve"> microsimulation, period, different, rates; EU scope visible. This is a provisional connection, not an outcome finding.</w:t>
      </w:r>
    </w:p>
    <w:p>
      <w:pPr>
        <w:pStyle w:val="SourceNote"/>
      </w:pPr>
      <w:r>
        <w:rPr>
          <w:b/>
        </w:rPr>
        <w:t>Available abstract (not full text):</w:t>
      </w:r>
      <w:r>
        <w:t xml:space="preserve">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pPr/>
      <w:r>
        <w:rPr>
          <w:b/>
        </w:rPr>
        <w:t>POSSIBLE 2021:</w:t>
      </w:r>
      <w:r>
        <w:t xml:space="preserve"> POS-323 INSIDE CKD: PROJECTING THE FUTURE BURDEN OF CHRONIC KIDNEY DISEASE IN EUROPE USING MICROSIMULATION MODELLING — https://doi.org/10.1016/j.ekir.2021.03.339</w:t>
      </w:r>
    </w:p>
    <w:p>
      <w:pPr/>
      <w:r>
        <w:rPr>
          <w:b/>
        </w:rPr>
        <w:t>Shared claim-specific concepts:</w:t>
      </w:r>
      <w:r>
        <w:t xml:space="preserve"> microsimulation, project, period; EU scope visible. This is a provisional connection, not an outcome finding.</w:t>
      </w:r>
    </w:p>
    <w:p>
      <w:pPr>
        <w:pStyle w:val="SourceNote"/>
      </w:pPr>
      <w:r>
        <w:rPr>
          <w:b/>
        </w:rPr>
        <w:t>Available abstract (not full text):</w:t>
      </w:r>
      <w:r>
        <w:t xml:space="preserve"> Chronic kidney disease (CKD) is a debilitating and costly condition, affecting about 10% of people globally. Progression of CKD is associated with increased incidence of cardiovascular events, adverse renal outcomes and mortality, as well as high costs from renal replacement therapy (RRT) in end-stage renal disease. The future trajectories of CKD prevalence, progression and outcomes and their related costs, are critical considerations for public health and policy planning. Inside CKD aims to project, for the 2020–2025 period, the public health burden of CKD in Europe using a patient-level microsimulation-based model.</w:t>
      </w:r>
    </w:p>
    <w:p>
      <w:pPr/>
      <w:r>
        <w:rPr>
          <w:b/>
        </w:rPr>
        <w:t>POSSIBLE 2021:</w:t>
      </w:r>
      <w:r>
        <w:t xml:space="preserve"> Developing an integrated microsimulation model for the impact of fiscal policies on child health in Europe: the example of childhood obesity in Italy — https://doi.org/10.1186/s12916-021-02155-6</w:t>
      </w:r>
    </w:p>
    <w:p>
      <w:pPr/>
      <w:r>
        <w:rPr>
          <w:b/>
        </w:rPr>
        <w:t>Shared claim-specific concepts:</w:t>
      </w:r>
      <w:r>
        <w:t xml:space="preserve"> microsimulation, population, different, increase; EU scope visible. This is a provisional connection, not an outcome finding.</w:t>
      </w:r>
    </w:p>
    <w:p>
      <w:pPr>
        <w:pStyle w:val="SourceNote"/>
      </w:pPr>
      <w:r>
        <w:rPr>
          <w:b/>
        </w:rPr>
        <w:t>Available abstract (not full text):</w:t>
      </w:r>
      <w:r>
        <w:t xml:space="preserve"> BACKGROUND: We developed an integrated model called Microsimulation for Income and Child Health (MICH) that provides a tool for analysing the prospective effects of fiscal policies on childhood health in European countries. The aim of this first MICH study is to evaluate the impact of alternative fiscal policies on childhood overweight and obesity in Italy. METHODS: MICH model is composed of three integrated modules. Firstly, module 1 (M1) simulates the effects of fiscal policies on disposable household income using the tax-benefit microsimulation program EUROMOD fed with the Italian EU-SILC 2010 data. Secondly, module 2 (M2) exploits data provided by the Italian birth cohort called Nascita e Infanzia: gli Effetti dell'Ambiente (NINFEA), translated as Birth and Childhood: the Effects of the Environment study, and runs a series of concatenated regressions in order to estimate the prospective effects of income on child body mass index (BMI) at different ages. Finally, module 3 (M3) uses dynamic microsimulation techniques that combine the population structure and incomes obtained by M1, with regression model specifications and estimated effect sizes provided by M2, projecting BMI distributions according to the simulated policy scenarios. RESULTS: Both universal benefits, such as universal basic income (BI), and targeted interventions, such as child benefit (CB) for poorer househol</w:t>
      </w:r>
    </w:p>
    <w:p>
      <w:pPr/>
      <w:r>
        <w:rPr>
          <w:b/>
        </w:rPr>
        <w:t>POSSIBLE 2021:</w:t>
      </w:r>
      <w:r>
        <w:t xml:space="preserve"> MO494INSIDE CKD: MODELLING THE ECONOMIC BURDEN OF CHRONIC KIDNEY DISEASE IN EUROPE USING PATIENT-LEVEL MICROSIMULATION — https://doi.org/10.1093/ndt/gfab087.0014</w:t>
      </w:r>
    </w:p>
    <w:p>
      <w:pPr/>
      <w:r>
        <w:rPr>
          <w:b/>
        </w:rPr>
        <w:t>Shared claim-specific concepts:</w:t>
      </w:r>
      <w:r>
        <w:t xml:space="preserve"> microsimulation, used, population, country-specific, rates, increase; EU scope visible. This is a provisional connection, not an outcome finding.</w:t>
      </w:r>
    </w:p>
    <w:p>
      <w:pPr>
        <w:pStyle w:val="SourceNote"/>
      </w:pPr>
      <w:r>
        <w:rPr>
          <w:b/>
        </w:rPr>
        <w:t>Available abstract (not full text):</w:t>
      </w:r>
      <w:r>
        <w:t xml:space="preserve"> Abstract Background and Aims Chronic kidney disease (CKD) is a debilitating and costly condition, affecting approximately 10% of people globally. Progression of CKD is associated with an increased incidence of adverse renal and cardiovascular outcomes, and premature mortality, as well as increased requirement for renal replacement therapies (RRTs), which are associated with significant healthcare costs and resource use. The trajectories of CKD prevalence, progression, outcomes and the related costs are therefore critical considerations for public health and policy planning. Using country-specific, patient-level microsimulation, Inside CKD aims to model the global clinical and economic burden of CKD from 2020 to 2025. Method We used the Inside CKD microsimulation to model the economic burden of CKD in Europe. A virtual general population was developed for each country using national survey data and relevant data from published literature. Data inputs included country demographics, the prevalence of CKD and RRT, comorbidities and complication rates, as well as associated healthcare costs. CKD stages were defined according to Kidney Disease Improving Global Outcomes (KDIGO) 2012 recommendations and patients were categorized according to estimated glomerular filtration rate and albuminuria status. RRT modelling was calibrated against historical trends from country-specific renal re</w:t>
      </w:r>
    </w:p>
    <w:p>
      <w:pPr>
        <w:pStyle w:val="Heading2"/>
      </w:pPr>
      <w:r>
        <w:t>660.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2024:</w:t>
      </w:r>
      <w:r>
        <w:t xml:space="preserve"> Ex-ante LCA of magnet recycling: Progressing towards sustainable industrial-scale technology — https://doi.org/10.1016/j.jclepro.2024.142453</w:t>
      </w:r>
    </w:p>
    <w:p>
      <w:pPr/>
      <w:r>
        <w:rPr>
          <w:b/>
        </w:rPr>
        <w:t>Shared claim-specific concepts:</w:t>
      </w:r>
      <w:r>
        <w:t xml:space="preserve"> lca, environmental, categories; EU scope not established. This is a provisional connection, not an outcome finding.</w:t>
      </w:r>
    </w:p>
    <w:p>
      <w:pPr>
        <w:pStyle w:val="SourceNote"/>
      </w:pPr>
      <w:r>
        <w:rPr>
          <w:b/>
        </w:rPr>
        <w:t>Available abstract (not full text):</w:t>
      </w:r>
      <w:r>
        <w:t xml:space="preserve">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pPr/>
      <w:r>
        <w:rPr>
          <w:b/>
        </w:rPr>
        <w:t>POSSIBLE 2023:</w:t>
      </w:r>
      <w:r>
        <w:t xml:space="preserve"> Waste LCA and the future — https://doi.org/10.1016/j.wasman.2023.11.021</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pPr/>
      <w:r>
        <w:rPr>
          <w:b/>
        </w:rPr>
        <w:t>POSSIBLE 2023:</w:t>
      </w:r>
      <w:r>
        <w:t xml:space="preserve"> A LCA and LCC analysis of pure subtractive manufacturing, wire arc additive manufacturing, and selective laser melting approaches — https://doi.org/10.1016/j.jmapro.2023.05.102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pPr/>
      <w:r>
        <w:rPr>
          <w:b/>
        </w:rPr>
        <w:t>POSSIBLE 2022:</w:t>
      </w:r>
      <w:r>
        <w:t xml:space="preserve"> Stochastic Ex-Ante LCA under Multidimensional Uncertainty: Anticipating the Production of Undiscovered Microalgal Compounds in Europe — https://doi.org/10.1021/acs.est.2c04849</w:t>
      </w:r>
    </w:p>
    <w:p>
      <w:pPr/>
      <w:r>
        <w:rPr>
          <w:b/>
        </w:rPr>
        <w:t>Shared claim-specific concepts:</w:t>
      </w:r>
      <w:r>
        <w:t xml:space="preserve"> lca, environmental; EU scope visible. This is a provisional connection, not an outcome finding.</w:t>
      </w:r>
    </w:p>
    <w:p>
      <w:pPr>
        <w:pStyle w:val="SourceNote"/>
      </w:pPr>
      <w:r>
        <w:rPr>
          <w:b/>
        </w:rPr>
        <w:t>Available abstract (not full text):</w:t>
      </w:r>
      <w:r>
        <w:t xml:space="preserve">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r>
        <w:rPr>
          <w:b/>
        </w:rPr>
        <w:t>POSSIBLE 2022:</w:t>
      </w:r>
      <w:r>
        <w:t xml:space="preserve"> Closing gaps in LCA of lithium-ion batteries: LCA of lab-scale cell production with new primary data — https://doi.org/10.1016/j.jclepro.2022.135510</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Battery storage systems have become an important pillar in the transformation of the energy and transportation sector over the last decades. Lithium-ion batteries (LIBs) are the dominating technology in this process making them a constant subject of analysis regarding their sustainability. To assess their environmental performance, several Life Cycle Assessments (LCA) of LIBs have been performed over the last years. Yet, the amount of available primary data on their production remains low, leading to recurrent reliance on a few disclosed datasets, mostly at industrial scale. Thus, there is a need for new LCA studies at different scales (lab, pilot, industrial) using transparent datasets to facilitate more reliable and robust assessments. This work presents a screening of recent environmental assessments for LIBs at different production scales aiming at identifying remaining gaps and challenges, and deriving a detailed LCA of a lab-scale battery cell production. For the first time the environmental impact of a lab-scale battery production based on process-oriented primary data is investigated. The results are flanked by sensitivity analyses and scenarios and compared with literature values. The hotspots identified in this study, cathode slurry, anode current collector, as well as the energy demand of the dry room and coating process, are consistent with the literature, although </w:t>
      </w:r>
    </w:p>
    <w:p>
      <w:pPr/>
      <w:r>
        <w:rPr>
          <w:b/>
        </w:rPr>
        <w:t>POSSIBLE 2022:</w:t>
      </w:r>
      <w:r>
        <w:t xml:space="preserve"> Exploring the photocatalytic total oxidation of methane through the lens of a prospective LCA — https://doi.org/10.1016/j.aeaoa.2022.100190</w:t>
      </w:r>
    </w:p>
    <w:p>
      <w:pPr/>
      <w:r>
        <w:rPr>
          <w:b/>
        </w:rPr>
        <w:t>Shared claim-specific concepts:</w:t>
      </w:r>
      <w:r>
        <w:t xml:space="preserve"> lca, environmental, emission; EU scope not established. This is a provisional connection, not an outcome finding.</w:t>
      </w:r>
    </w:p>
    <w:p>
      <w:pPr>
        <w:pStyle w:val="SourceNote"/>
      </w:pPr>
      <w:r>
        <w:rPr>
          <w:b/>
        </w:rPr>
        <w:t>Available abstract (not full text):</w:t>
      </w:r>
      <w:r>
        <w:t xml:space="preserve"> Hundreds of megatons of the second most important greenhouse gas (GHG), methane, are released annually to the atmosphere, often from emission sources which are difficult to abate. Research on post-emission mitigation technology is scarce and still in its infancy. This paper proposes a self-sufficient photocatalytic system to mitigate atmospheric methane via total oxidation to CO 2 and analyzes its future viability and feasibility using environmental as well as physicochemical metrics. A four-step, explorative, scaled-up, prospective life cycle assessment (LCA) for the year 2050 shows that, in the best-case scenario, the market-ready photocatalytic module will amortize the produced GHG emissions in 1.5 years, while under more conservative assumptions, the physicochemical properties hinder a climate reasonable implementation. Targets like photocatalytic turnover numbers as well as reaction rates are calculated and compared to values reported in the literature to enable goal-oriented research and development. It is shown that more R&amp;D is needed to have the proposed photocatalyst ready by 2050. The importance of methane mitigation development is highlighted and avenues for doing so are presented.</w:t>
      </w:r>
    </w:p>
    <w:p>
      <w:pPr/>
      <w:r>
        <w:rPr>
          <w:b/>
        </w:rPr>
        <w:t>POSSIBLE 2022:</w:t>
      </w:r>
      <w:r>
        <w:t xml:space="preserve"> A Modular Tool to Support Data Management for LCA in Industry: Methodology, Application and Potentialities — https://doi.org/10.3390/su14073746</w:t>
      </w:r>
    </w:p>
    <w:p>
      <w:pPr/>
      <w:r>
        <w:rPr>
          <w:b/>
        </w:rPr>
        <w:t>Shared claim-specific concepts:</w:t>
      </w:r>
      <w:r>
        <w:t xml:space="preserve"> lca, environmental, across; EU scope not established. This is a provisional connection, not an outcome finding.</w:t>
      </w:r>
    </w:p>
    <w:p>
      <w:pPr>
        <w:pStyle w:val="SourceNote"/>
      </w:pPr>
      <w:r>
        <w:rPr>
          <w:b/>
        </w:rPr>
        <w:t>Available abstract (not full text):</w:t>
      </w:r>
      <w:r>
        <w:t xml:space="preserve"> Life Cycle Assessment (LCA) computes potential environmental impacts of a product or process. However, LCAs in the industrial sector are generally delivered through static yearly analyses which cannot capture any temporal dynamics of inventory data. Moreover, LCA must deal with differences across background models, Life Cycle Impact Assessment (LCIA) methods and specific rules of environmental labels, together with their developments over time and the difficulty of the non-expert organization staff to effectively interpret LCA results. A case study which discusses how to manage these barriers and their relevance is currently lacking. Here, we fill this gap by proposing a general methodology to develop a modular tool which integrates spreadsheets, LCA software, coding and visualization modules that can be independently modified while leaving the architecture unchanged. We test the tool within the ORI Martin secondary steelmaking plant, finding that it can manage (i) a high amount of primary foreground data to build a dynamic LCA; (ii) different background models, LCIA methods and environmental labels rules; (iii) interactive visualizations. Then, we outline the relevance of these capabilities since (i) temporal dynamics of foreground inventory data affect monthly LCA results, which may vary by ±14% around the yearly value; (ii) background datasets, LCIA methods and environmental</w:t>
      </w:r>
    </w:p>
    <w:p>
      <w:pPr/>
      <w:r>
        <w:rPr>
          <w:b/>
        </w:rPr>
        <w:t>POSSIBLE 2021:</w:t>
      </w:r>
      <w:r>
        <w:t xml:space="preserve"> Environmental assessments of scales: The effect of ex-ante and ex-post data on life cycle assessment of wood torrefaction — https://doi.org/10.1016/j.resconrec.2021.105906</w:t>
      </w:r>
    </w:p>
    <w:p>
      <w:pPr/>
      <w:r>
        <w:rPr>
          <w:b/>
        </w:rPr>
        <w:t>Shared claim-specific concepts:</w:t>
      </w:r>
      <w:r>
        <w:t xml:space="preserve"> ex-post, lca, environmental; EU scope not established. This is a provisional connection, not an outcome finding.</w:t>
      </w:r>
    </w:p>
    <w:p>
      <w:pPr>
        <w:pStyle w:val="SourceNote"/>
      </w:pPr>
      <w:r>
        <w:rPr>
          <w:b/>
        </w:rPr>
        <w:t>Available abstract (not full text):</w:t>
      </w:r>
      <w:r>
        <w:t xml:space="preserve"> Life Cycle Assessment (LCA) is a powerful tool for achieving sustainability. Traditional LCAs analyze well defined and developed industrial systems, but recent developments of LCA focus on analyzing emerging technologies which are not yet optimized with respect to energy and materials. Therefore, LCA results of ex-ante applications can be very different from ex-post applications for the same system. The purpose of this study is to show the different effects of data scales on LCA results regarding global warming, fine particulate matter formation, terrestrial acidification and freshwater eutrophication potentials. For this purpose torrefaction technology was selected as the case study and assessed based on bench scale data, lab scale data, data derived from process simulations, pilot scale data and commercial scale data. Considered environmental impacts were global warming, fine particulate matter formation, terrestrial acidification and freshwater eutrophication. Results showed that process efficiencies improved significantly between the bench scale system and systems with higher technology readiness levels (TRLs), such as pilot, process simulations and commercial scale systems. Furthermore, process simulations result in scores closer to commercial scale regarding all considered environmental impacts. However, if LCA practitioners focus only on global warming impact, then pilot</w:t>
      </w:r>
    </w:p>
    <w:p>
      <w:pPr>
        <w:pStyle w:val="Heading2"/>
      </w:pPr>
      <w:r>
        <w:t>661.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2020:</w:t>
      </w:r>
      <w:r>
        <w:t xml:space="preserve"> Minding the gap: identifying values to enable public and patient involvement at the pre-commencement stage of research projects — https://doi.org/10.1186/s40900-020-00220-7</w:t>
      </w:r>
    </w:p>
    <w:p>
      <w:pPr/>
      <w:r>
        <w:rPr>
          <w:b/>
        </w:rPr>
        <w:t>Shared claim-specific concepts:</w:t>
      </w:r>
      <w:r>
        <w:t xml:space="preserve"> respect, includes, critical, applied; EU scope not established. This is a provisional connection, not an outcome finding.</w:t>
      </w:r>
    </w:p>
    <w:p>
      <w:pPr>
        <w:pStyle w:val="SourceNote"/>
      </w:pPr>
      <w:r>
        <w:rPr>
          <w:b/>
        </w:rPr>
        <w:t>Available abstract (not full text):</w:t>
      </w:r>
      <w:r>
        <w:t xml:space="preserve">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662.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r>
        <w:rPr>
          <w:b/>
        </w:rPr>
        <w:t>POSSIBLE 2020:</w:t>
      </w:r>
      <w:r>
        <w:t xml:space="preserve"> Flood trends in Europe: are changes in small and big floods different? — https://doi.org/10.5194/hess-24-1805-2020</w:t>
      </w:r>
    </w:p>
    <w:p>
      <w:pPr/>
      <w:r>
        <w:rPr>
          <w:b/>
        </w:rPr>
        <w:t>Shared claim-specific concepts:</w:t>
      </w:r>
      <w:r>
        <w:t xml:space="preserve"> selected, especially, regional;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Mapping interventional cardiology in Europe: the European Association of Percutaneous Cardiovascular Interventions (EAPCI) Atlas Project — https://doi.org/10.1093/eurheartj/ehaa475</w:t>
      </w:r>
    </w:p>
    <w:p>
      <w:pPr/>
      <w:r>
        <w:rPr>
          <w:b/>
        </w:rPr>
        <w:t>Shared claim-specific concepts:</w:t>
      </w:r>
      <w:r>
        <w:t xml:space="preserve"> shown, countries, international; EU scope visible. This is a provisional connection, not an outcome finding.</w:t>
      </w:r>
    </w:p>
    <w:p>
      <w:pPr>
        <w:pStyle w:val="SourceNote"/>
      </w:pPr>
      <w:r>
        <w:rPr>
          <w:b/>
        </w:rPr>
        <w:t>Available abstract (not full text):</w:t>
      </w:r>
      <w:r>
        <w:t xml:space="preserve">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shown, international, regional;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countries, potential, especially, regional;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663.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projections, temperature, climate;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2022:</w:t>
      </w:r>
      <w:r>
        <w:t xml:space="preserve"> Model Projections of Increased Severity of Heat Waves in Eastern Europe — https://doi.org/10.1029/2022gl100183</w:t>
      </w:r>
    </w:p>
    <w:p>
      <w:pPr/>
      <w:r>
        <w:rPr>
          <w:b/>
        </w:rPr>
        <w:t>Shared claim-specific concepts:</w:t>
      </w:r>
      <w:r>
        <w:t xml:space="preserve"> projections, combined, climate; EU scope visible. This is a provisional connection, not an outcome finding.</w:t>
      </w:r>
    </w:p>
    <w:p>
      <w:pPr>
        <w:pStyle w:val="SourceNote"/>
      </w:pPr>
      <w:r>
        <w:rPr>
          <w:b/>
        </w:rPr>
        <w:t>Available abstract (not full text):</w:t>
      </w:r>
      <w:r>
        <w:t xml:space="preserve">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2021:</w:t>
      </w:r>
      <w:r>
        <w:t xml:space="preserve"> Projections of temperature-attributable mortality in Europe: a time series analysis of 147 contiguous regions in 16 countries — https://doi.org/10.1016/s2542-5196(21)00150-9</w:t>
      </w:r>
    </w:p>
    <w:p>
      <w:pPr/>
      <w:r>
        <w:rPr>
          <w:b/>
        </w:rPr>
        <w:t>Shared claim-specific concepts:</w:t>
      </w:r>
      <w:r>
        <w:t xml:space="preserve"> projections, temperature, not, rcp2, combined, background; EU scope visible. This is a provisional connection, not an outcome finding.</w:t>
      </w:r>
    </w:p>
    <w:p>
      <w:pPr>
        <w:pStyle w:val="SourceNote"/>
      </w:pPr>
      <w:r>
        <w:rPr>
          <w:b/>
        </w:rPr>
        <w:t>Available abstract (not full text):</w:t>
      </w:r>
      <w:r>
        <w:t xml:space="preserve"> BACKGROUND: Europe has emerged as a major climate change hotspot, both in terms of an increase in seasonal averages and climate extremes. Projections of temperature-attributable mortality, however, have not been comprehensively reported for an extensive part of the continent. Therefore, we aim to estimate the future effect of climate change on temperature-attributable mortality across Europe. METHODS: We did a time series analysis study. We derived temperature-mortality associations by collecting daily temperature and all-cause mortality records of both urban and rural areas for the observational period between 1998 and 2012 from 147 regions in 16 European countries. We estimated the location-specific temperature-mortality relationships by using standard time series quasi-Poisson regression in conjunction with a distributed lag non-linear model. These associations were used to transform the daily temperature simulations from the climate models in the historical period (1971-2005) and scenario period (2006-2099) into projections of temperature-attributable mortality. We combined the resulting risk functions with daily time series of future temperatures simulated by four climate models (ie, GFDL-ESM2M, HadGEM2-ES, IPSL-CM5A-LR, and MIROC5) under three greenhouse gas emission scenarios (ie, Representative Concentration Pathway [RCP]2.6, RCP6.0, and RCP8.5), providing projections o</w:t>
      </w:r>
    </w:p>
    <w:p>
      <w:pPr/>
      <w:r>
        <w:rPr>
          <w:b/>
        </w:rPr>
        <w:t>POSSIBLE 2021:</w:t>
      </w:r>
      <w:r>
        <w:t xml:space="preserve"> Can we trust CMIP5/6 future projections of European winter precipitation? — https://doi.org/10.1088/1748-9326/abf28a</w:t>
      </w:r>
    </w:p>
    <w:p>
      <w:pPr/>
      <w:r>
        <w:rPr>
          <w:b/>
        </w:rPr>
        <w:t>Shared claim-specific concepts:</w:t>
      </w:r>
      <w:r>
        <w:t xml:space="preserve"> projections, suggest, over, climate;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projections, suggest, temperature, not, over, climate;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projections, suggest, temperature, climate;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2020:</w:t>
      </w:r>
      <w:r>
        <w:t xml:space="preserve"> Causal networks for climate model evaluation and constrained projections — https://doi.org/10.1038/s41467-020-15195-y</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pStyle w:val="Heading2"/>
      </w:pPr>
      <w:r>
        <w:t>664.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r>
        <w:rPr>
          <w:b/>
        </w:rPr>
        <w:t>POSSIBLE 2023:</w:t>
      </w:r>
      <w:r>
        <w:t xml:space="preserve"> A conceptual model for enabling sustainable management of soil-sediment-water ecosystems in support of European policy — https://doi.org/10.14321/aehm.026.02.063</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pPr/>
      <w:r>
        <w:rPr>
          <w:b/>
        </w:rPr>
        <w:t>POSSIBLE 2021:</w:t>
      </w:r>
      <w:r>
        <w:t xml:space="preserve"> IMPLEMENTING EUROPEAN ENVIRONMENTAL POLICY IN THE EUROPEAN UNION AND TURKEY: THE COST AND EXPENDITURES OF THE POLICY COMPLIANCE — https://doi.org/10.30546/2616-4418.bitd.2021.86</w:t>
      </w:r>
    </w:p>
    <w:p>
      <w:pPr/>
      <w:r>
        <w:rPr>
          <w:b/>
        </w:rPr>
        <w:t>Shared claim-specific concepts:</w:t>
      </w:r>
      <w:r>
        <w:t xml:space="preserve"> aim, water, good, all; EU scope visible. This is a provisional connection, not an outcome finding.</w:t>
      </w:r>
    </w:p>
    <w:p>
      <w:pPr>
        <w:pStyle w:val="SourceNote"/>
      </w:pPr>
      <w:r>
        <w:rPr>
          <w:b/>
        </w:rPr>
        <w:t>Available abstract (not full text):</w:t>
      </w:r>
      <w:r>
        <w:t xml:space="preserve"> This paper examines the European environmental policy and the tools that the European Union (EU) uses for the aim of protecting the environment. Environmental policy is of crucial importance indeed as it has direct impact on human’s health, on the quality of environment, on the well-being of all living creatures and species and on the preservation of our natural resources around the world. The EU is quite active in environmental protection policy making and the scope of her environmental policy expanded with time, including nowadays many aspects such as air, water and soil pollution, waste management, protection of the environment, industrial pollution, chemicals, climate change and noise pollution. The methodology of the study consists of the review and analysis of primary and secondary sources regarding EU legislation on European environmental policy. The requirements of environmental policy are exposed and evaluated at the European level and other international engagements at the global level such as the United Nations Framework Convention on Climate Change (UNFCC), Kyoto Protocol and Paris Agreement are also evaluated in our paper. European statistics and reports are evaluated to provide a good understanding and assessment of the relation between governments and corporations’ expenditures and the protection of environment in EU member states and in Turkey. Our paper also in</w:t>
      </w:r>
    </w:p>
    <w:p>
      <w:pPr/>
      <w:r>
        <w:rPr>
          <w:b/>
        </w:rPr>
        <w:t>POSSIBLE 2021:</w:t>
      </w:r>
      <w:r>
        <w:t xml:space="preserve"> WATER PRODUCTIVITY, EXPLOITATION AND FOOTPRINT: OBSOLETE CONCEPTS OR REPRESENTATIVE TOOLS IN UNDERSTANDING EUROPEAN ENVIRONMENTAL POLICY? — https://doi.org/10.15666/aeer/1903_25412564</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In contemporary economies, water represents a key resource in ensuring the sustainable economic development, being equally a factor of production in the economic branches, and also a relevant indicator in shaping the evolution of human activity.Water resources are vital for humanity, ecosystems and the economy, and its inefficient use is a serious problem.The main aim of the present research was to analyse and evaluate the impact of water use, from the perspective of a sustainable economic development, and to determine to what extent it can become a relevant indicator in this respect.For this purpose, three indicators were considered: water productivity, water exploitation index and water footprint.Based on the findings highlighted in the research, it can be concluded that the considered indicators can constitute representative instruments in understanding the European environmental policy.</w:t>
      </w:r>
    </w:p>
    <w:p>
      <w:pPr/>
      <w:r>
        <w:rPr>
          <w:b/>
        </w:rPr>
        <w:t>POSSIBLE 2020:</w:t>
      </w:r>
      <w:r>
        <w:t xml:space="preserve"> Perception of bottlenecks in the implementation of the European Water Framework Directive — https://openalex.org/W4390178243</w:t>
      </w:r>
    </w:p>
    <w:p>
      <w:pPr/>
      <w:r>
        <w:rPr>
          <w:b/>
        </w:rPr>
        <w:t>Shared claim-specific concepts:</w:t>
      </w:r>
      <w:r>
        <w:t xml:space="preserve"> water, achieve, good, ecological, status; EU scope visible. This is a provisional connection, not an outcome finding.</w:t>
      </w:r>
    </w:p>
    <w:p>
      <w:pPr>
        <w:pStyle w:val="SourceNote"/>
      </w:pPr>
      <w:r>
        <w:rPr>
          <w:b/>
        </w:rPr>
        <w:t>Available abstract (not full text):</w:t>
      </w:r>
      <w:r>
        <w:t xml:space="preserve"> The European Water Framework Directive (WFD) entered into force in December 2000; it marks a decisive turn in European water governance and related policies, management practices and restoration trends. After 20 years of implementation through two anagement cycles, EU member states have transposed the WFD requirements into national law, performed baseline assessments of water bodies, and implemented first measures such as hydromorphological river restoration which aims to achieve 'good ecological status', or at least the potential level targeted for that particular water body, by 2027. So far, however, WFD implementation has shown limited success; this weak result has given rise to studies, which are mainly discussions about possible technical limitations of WFD implementation and the appropriateness of monitoring procedures. This paper complements these studies by exploring governance-related bottlenecks that have emerged in the last two decades, as perceived by scientists and practitioners. An online survey was conducted which built on a list of 24 barriers to WFD implementation; these barriers had been identified previously by more than 40 researchers during a workshop in January 2019 and through a literature review. In this survey, the list of perceived barriers to WFD implementation was shared to 130 scientists and practitioners, who were asked to prioritise the items on l</w:t>
      </w:r>
    </w:p>
    <w:p>
      <w:pPr/>
      <w:r>
        <w:rPr>
          <w:b/>
        </w:rPr>
        <w:t>POSSIBLE 2020:</w:t>
      </w:r>
      <w:r>
        <w:t xml:space="preserve"> The Fifth Stage in Water Management: Policy Lessons for Water Governance — https://doi.org/10.1029/2019wr026714</w:t>
      </w:r>
    </w:p>
    <w:p>
      <w:pPr/>
      <w:r>
        <w:rPr>
          <w:b/>
        </w:rPr>
        <w:t>Shared claim-specific concepts:</w:t>
      </w:r>
      <w:r>
        <w:t xml:space="preserve"> water, achieve; EU scope not established. This is a provisional connection, not an outcome finding.</w:t>
      </w:r>
    </w:p>
    <w:p>
      <w:pPr>
        <w:pStyle w:val="SourceNote"/>
      </w:pPr>
      <w:r>
        <w:rPr>
          <w:b/>
        </w:rPr>
        <w:t>Available abstract (not full text):</w:t>
      </w:r>
      <w:r>
        <w:t xml:space="preserve"> Abstract Effective management of water resources is a critical policy issue globally. Using a framework developed by Turton, and a common set of characteristics describing key stages of water demand, we examine the effectiveness of isolated technical (e.g., irrigation upgrades) and allocative (e.g., buyback) efficiency for reducing water demand to sustainable levels. We base our analysis on Australia's water reform context which offers an advanced example of applying these levers to achieve allocative and technical efficiency. The study is motivated by appreciation of the benefits from increased policy flexibility and adaptability in response to the following: potential transformations toward inflexible production systems; uncertainty associated with impacts of climate change on future water reliability; and the need for increased possible future equity between uses/users (productive/consumptive, environmental, cultural). Our results highlight that a balance between technical and allocative efficiency mechanisms is necessary, as neither is sufficient in isolation, when seeking to reduce total water use. This approach also enables a clearer representation of uncertainty in future policy choices in many global settings with respect to water demand reduction.</w:t>
      </w:r>
    </w:p>
    <w:p>
      <w:pPr/>
      <w:r>
        <w:rPr>
          <w:b/>
        </w:rPr>
        <w:t>POSSIBLE 2020:</w:t>
      </w:r>
      <w:r>
        <w:t xml:space="preserve"> Policy and legislative barriers to close water-related loops in innovative small water and wastewater systems in Europe: A critical analysis — https://doi.org/10.1016/j.jclepro.2020.125604</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Water supply and reuse through non-conventional water resources can significantly decrease the stress on natural water resources. Decentralized systems can help not only to alleviate issues of water security in arid areas, but also to create a sustainable framework within a circular economy. Although these small-scale innovative technologies are able to achieve ready-to-use, high quality of recovered/treated water on-site, the loop cannot be closed in most cases due to legislative barriers. Similarly, the end-use of sewage sludge after treatment in decentralized systems still lacks specific regulations that limit its valorization. This work analyzes the current policy and legislations related to water supply, wastewater treatment, water reuse and resource valorization within the context of decentralized state-of-the-art technologies applied in rural areas. The drawbacks in the current EU legislation that set barriers to close water-related loops in European countries are highlighted. A regulatory fitness check was applied to each type of loop to identify the key factors to accomplish the legislative compliance, and financing pathways were further evaluated at the EU level. As a possible solution, further development of an innovation deal approach is recommended to address the environmental, regulatory and financial gaps in water management through an integrated framework, provi</w:t>
      </w:r>
    </w:p>
    <w:p>
      <w:pPr>
        <w:pStyle w:val="Heading2"/>
      </w:pPr>
      <w:r>
        <w:t>665.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r>
        <w:rPr>
          <w:b/>
        </w:rPr>
        <w:t>POSSIBLE 2023:</w:t>
      </w:r>
      <w:r>
        <w:t xml:space="preserve"> Shaping Sustainable Cities: A Long-Term GIS-Emanated Spatial Analysis of Settlement Growth and Planning in a Coastal Mediterranean European City — https://doi.org/10.3390/su151411202</w:t>
      </w:r>
    </w:p>
    <w:p>
      <w:pPr/>
      <w:r>
        <w:rPr>
          <w:b/>
        </w:rPr>
        <w:t>Shared claim-specific concepts:</w:t>
      </w:r>
      <w:r>
        <w:t xml:space="preserve"> long-term, planning, actions, levels; EU scope visible. This is a provisional connection, not an outcome finding.</w:t>
      </w:r>
    </w:p>
    <w:p>
      <w:pPr>
        <w:pStyle w:val="SourceNote"/>
      </w:pPr>
      <w:r>
        <w:rPr>
          <w:b/>
        </w:rPr>
        <w:t>Available abstract (not full text):</w:t>
      </w:r>
      <w:r>
        <w:t xml:space="preserve">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pPr/>
      <w:r>
        <w:rPr>
          <w:b/>
        </w:rPr>
        <w:t>POSSIBLE 2022:</w:t>
      </w:r>
      <w:r>
        <w:t xml:space="preserve"> A stratified decision-making model for long-term planning: Application in flood risk management in Scotland — https://doi.org/10.1016/j.omega.2022.102803</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In a standard decision-making model for a game of chance, the best strategy is chosen based on the current state of the system under various conditions. There is however a shortcoming of this standard model, in that it can be applicable only for short-term decision-making periods. This is primarily due to not evaluating the dynamic characteristics and changes in status of the system and the outcomes of nature towards an a priori target or ideal state, which can occur in longer periods. Thus, in this study, a decision-making model based on the concept of stratification (CST), game theory and shared socio-economic pathway (SSP) is developed and its applicability to disaster management is shown. The game of chance and CST have been integrated to incorporate the dynamic nature of the decision environment for long-term disaster risk planning, while accounting for various states of the system and an ideal state. Furthermore, an interactive web application with dynamic user interface is built based on the proposed model to enable decision makers to identify the best choices in their model by a predictive approach. The Monte Carlo simulation is applied to experimentally validate the proposed model. Then, it is demonstrated how this methodology can suitably be applied to obtain ad hoc models, solutions, and analysis in the strategic decision-making process of flooding risk strategy eval</w:t>
      </w:r>
    </w:p>
    <w:p>
      <w:pPr/>
      <w:r>
        <w:rPr>
          <w:b/>
        </w:rPr>
        <w:t>POSSIBLE 2021:</w:t>
      </w:r>
      <w:r>
        <w:t xml:space="preserve"> Sequential Model for Long-Term Planning of Building Renewal and Capital Improvement — https://doi.org/10.3390/su13179575</w:t>
      </w:r>
    </w:p>
    <w:p>
      <w:pPr/>
      <w:r>
        <w:rPr>
          <w:b/>
        </w:rPr>
        <w:t>Shared claim-specific concepts:</w:t>
      </w:r>
      <w:r>
        <w:t xml:space="preserve"> long-term, planning, actions, levels; EU scope not established. This is a provisional connection, not an outcome finding.</w:t>
      </w:r>
    </w:p>
    <w:p>
      <w:pPr>
        <w:pStyle w:val="SourceNote"/>
      </w:pPr>
      <w:r>
        <w:rPr>
          <w:b/>
        </w:rPr>
        <w:t>Available abstract (not full text):</w:t>
      </w:r>
      <w:r>
        <w:t xml:space="preserve"> The paper puts forward a mixed integer linear programming model to support the long-term planning and budgeting for renewal and capital improvements of residential buildings, i.e., to select the optimal sequence of repair and improvement actions over a predefined planning horizon. The input is provided by the evaluation of the building performance according to a set of criteria. Then a set of possible repairs, replacements and improvements needs to be proposed together with the estimates of their cost and benefits; the latter are expressed by increments of building performance ratings according to predefined criteria. The renewal and modernization measures are not mutually independent: at least some of them are complementary and should be carried out in a specific order. The optimization problem was to define the order of renewal/improvement measures resulting with the highest benefits available within the budget, or to achieve the required levels of building performance at the lowest cost. A unique feature of the model is the approach to the constraints on sequential relationships between the measures and to their selection. The model can be used to construct long-term renewal and capital improvement plans.</w:t>
      </w:r>
    </w:p>
    <w:p>
      <w:pPr/>
      <w:r>
        <w:rPr>
          <w:b/>
        </w:rPr>
        <w:t>POSSIBLE 2020:</w:t>
      </w:r>
      <w:r>
        <w:t xml:space="preserve"> Long-Term Impact of Disasters on the Public Health System: A Multi-Case Analysis — https://doi.org/10.3390/ijerph17176251</w:t>
      </w:r>
    </w:p>
    <w:p>
      <w:pPr/>
      <w:r>
        <w:rPr>
          <w:b/>
        </w:rPr>
        <w:t>Shared claim-specific concepts:</w:t>
      </w:r>
      <w:r>
        <w:t xml:space="preserve"> setting, long-term, planning, well; EU scope visible. This is a provisional connection, not an outcome finding.</w:t>
      </w:r>
    </w:p>
    <w:p>
      <w:pPr>
        <w:pStyle w:val="SourceNote"/>
      </w:pPr>
      <w:r>
        <w:rPr>
          <w:b/>
        </w:rPr>
        <w:t>Available abstract (not full text):</w:t>
      </w:r>
      <w:r>
        <w:t xml:space="preserve"> As past events have shown, disasters can have a tremendous impact on the affected population's health. However, research regarding the long-term impact on a systems level perspective is still scarce. In this multi-case study, we analyzed and compared the long-term impacts on the public health system of five disasters which took place in Europe: avalanche (Austria), terror attack (Spain), airplane crash (Luxembourg), cable-car tunnel fire (Austria), and a flood in Central Europe. We used a mixed-methods approach consisting of a document analysis and interviews with key stakeholders, to examine the various long-term impacts each of the disasters had on health-system performance, as well as on security and health protection. The results show manifold changes undertaken in the fields of psychosocial support, infrastructure, and contingency and preparedness planning. The holistic approach of this study shows the importance of analyzing long-term impacts from the perspective of the type (e.g., disasters associated with natural hazards) and characteristic (e.g., duration and extent) of a disaster, as well as the regional context where a disaster took place. However, the identified recurring themes demonstrate the opportunity of learning from case studies in order to customize the lessons and apply them to the own-disaster-management setting.</w:t>
      </w:r>
    </w:p>
    <w:p>
      <w:pPr>
        <w:pStyle w:val="Heading2"/>
      </w:pPr>
      <w:r>
        <w:t>666.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2023:</w:t>
      </w:r>
      <w:r>
        <w:t xml:space="preserve"> Long-term optimization of the Norwegian energy system under the influence of the European power market — https://doi.org/10.1109/eem58374.2023.10161972</w:t>
      </w:r>
    </w:p>
    <w:p>
      <w:pPr/>
      <w:r>
        <w:rPr>
          <w:b/>
        </w:rPr>
        <w:t>Shared claim-specific concepts:</w:t>
      </w:r>
      <w:r>
        <w:t xml:space="preserve"> energy, system, indicate, investments, modelling; EU scope visible. This is a provisional connection, not an outcome finding.</w:t>
      </w:r>
    </w:p>
    <w:p>
      <w:pPr>
        <w:pStyle w:val="SourceNote"/>
      </w:pPr>
      <w:r>
        <w:rPr>
          <w:b/>
        </w:rPr>
        <w:t>Available abstract (not full text):</w:t>
      </w:r>
      <w:r>
        <w:t xml:space="preserve">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pPr/>
      <w:r>
        <w:rPr>
          <w:b/>
        </w:rPr>
        <w:t>POSSIBLE 2022:</w:t>
      </w:r>
      <w:r>
        <w:t xml:space="preserve"> Indicators for the optimization of sustainable urban energy systems based on energy system modeling — https://doi.org/10.1186/s13705-021-00323-3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Sustainable renewable energy supply networks optimization – The gradual transition to a renewable energy system within the European Union by 2050 — https://doi.org/10.1016/j.rser.2021.111186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pPr/>
      <w:r>
        <w:rPr>
          <w:b/>
        </w:rPr>
        <w:t>POSSIBLE 2021:</w:t>
      </w:r>
      <w:r>
        <w:t xml:space="preserve"> A modeler's guide to handle complexity in energy systems optimization — https://doi.org/10.1016/j.adapen.2021.100063</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Determining environmentally- and economically-optimal energy systems designs and operations is complex. In particular, the integration of weather-dependent renewable energy technologies into energy system optimization models presents new challenges to computational tractability that cannot only be solved by advancements in computational resources. In consequence, energy system modelers must tackle the complexity of their models by applying various methods to manipulate the underlying data and model structure, with the ultimate goal of finding optimal solutions. As which complexity reduction method is suitable for which research question is often unclear, herein we review different approaches for handling complexity. We first analyze the determinants of complexity and note that many drivers of complexity could be avoided a priori with a tailored model design. Second, we conduct a review of systematic complexity reduction methods for energy system optimization models, which can range from simple linearization performed by modelers to sophisticated multi-level approaches combining aggregation and decomposition methods. Based on this overview, we develop a guide for energy system modelers who encounter computational limitations.</w:t>
      </w:r>
    </w:p>
    <w:p>
      <w:pPr/>
      <w:r>
        <w:rPr>
          <w:b/>
        </w:rPr>
        <w:t>POSSIBLE 2021:</w:t>
      </w:r>
      <w:r>
        <w:t xml:space="preserve"> Application of Markal Model Generator in Optimizing Energy Systems — https://doi.org/10.46873/2300-3960.1307</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The main objectives of European energy policy include: security of energy supply, reduction of greenhouse gas emissions and the development of efficient and clean energy technologies. The obligation to fulfil these objectives is connected, among others, with the optimization of the development of all energy system i.e. a group of facilities and equipment for the collection, transmission, processing, distribution and use of energy in all its forms. Computer programs such as MARKAL, TIMES, ENPEP, MIDAS are the basic tools for modelling different energy systems. Various simulation, optimization and macro models are created with them. Multi-criteria methods are also used. In this paper the use of MARKAL as a tool for the optimization of an energy system was the matter of research. The article presents the characteristics of MARKAL. Additionally, it includes an example of the use of the program to create a model of the supply of heat for the province of Silesia together with its results.</w:t>
      </w:r>
    </w:p>
    <w:p>
      <w:pPr/>
      <w:r>
        <w:rPr>
          <w:b/>
        </w:rPr>
        <w:t>POSSIBLE 2020:</w:t>
      </w:r>
      <w:r>
        <w:t xml:space="preserve"> A Novel Modular Optimization Framework for Modelling Investment and Operation of Energy Systems at European Level — https://openalex.org/W3026649545</w:t>
      </w:r>
    </w:p>
    <w:p>
      <w:pPr/>
      <w:r>
        <w:rPr>
          <w:b/>
        </w:rPr>
        <w:t>Shared claim-specific concepts:</w:t>
      </w:r>
      <w:r>
        <w:t xml:space="preserve"> energy, system, modelling; EU scope visible. This is a provisional connection, not an outcome finding.</w:t>
      </w:r>
    </w:p>
    <w:p>
      <w:pPr>
        <w:pStyle w:val="SourceNote"/>
      </w:pPr>
      <w:r>
        <w:rPr>
          <w:b/>
        </w:rPr>
        <w:t>Available abstract (not full text):</w:t>
      </w:r>
      <w:r>
        <w:t xml:space="preserve"> Project plan4res (www.plan4res.eu) involves the development of a modular framework for the modeling and analysis of energy system strategies at the European level. It will include models describing the investment and operation decisions for a wide variety of technologies related to electricity and non-electricity energy sectors across generation, consumption, transmission and distribution. The modularity of the framework allows for detailed modelling of major areas of energy systems that can help stakeholders from different backgrounds to focus on specific topics related to the energy landscape in Europe and to receive relevant outputs and insights tailored to their needs. The current paper presents a qualitative description of key concepts and methods of the novel modular optimization framework and provides insights into the corresponding energy landscape.</w:t>
      </w:r>
    </w:p>
    <w:p>
      <w:pPr>
        <w:pStyle w:val="Heading2"/>
      </w:pPr>
      <w:r>
        <w:t>667.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2023:</w:t>
      </w:r>
      <w:r>
        <w:t xml:space="preserve"> Elaborating, sharing, narrating: a narrative analysis of three approaches to health communication — https://doi.org/10.6084/m9.figshare.23584934</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r>
        <w:rPr>
          <w:b/>
        </w:rPr>
        <w:t>POSSIBLE 2022:</w:t>
      </w:r>
      <w:r>
        <w:t xml:space="preserve"> FRAMING AND NARRATIVES AS ASSISTANTS IN ADVANCING A SCIENCE-ORIENTED MINDSET. THE EXAMPLE OF THE POLICE IN THE BALTICS — https://doi.org/10.17770/acj.v1i93.6492</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pPr/>
      <w:r>
        <w:rPr>
          <w:b/>
        </w:rPr>
        <w:t>POSSIBLE 2022:</w:t>
      </w:r>
      <w:r>
        <w:t xml:space="preserve"> For a narrative hospital : a training model to narrative medicine at the hospital — https://openalex.org/W4399152333</w:t>
      </w:r>
    </w:p>
    <w:p>
      <w:pPr/>
      <w:r>
        <w:rPr>
          <w:b/>
        </w:rPr>
        <w:t>Shared claim-specific concepts:</w:t>
      </w:r>
      <w:r>
        <w:t xml:space="preserve"> three, narratives, elaborated, based; EU scope not established. This is a provisional connection, not an outcome finding.</w:t>
      </w:r>
    </w:p>
    <w:p>
      <w:pPr>
        <w:pStyle w:val="SourceNote"/>
      </w:pPr>
      <w:r>
        <w:rPr>
          <w:b/>
        </w:rPr>
        <w:t>Available abstract (not full text):</w:t>
      </w:r>
      <w:r>
        <w:t xml:space="preserve">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pPr/>
      <w:r>
        <w:rPr>
          <w:b/>
        </w:rPr>
        <w:t>POSSIBLE 2021:</w:t>
      </w:r>
      <w:r>
        <w:t xml:space="preserve"> Elaborating Visual Narrative into Modern Adaptation Concept for Picture Book with Indonesian Folklore Theme — https://doi.org/10.2991/assehr.k.211228.061</w:t>
      </w:r>
    </w:p>
    <w:p>
      <w:pPr/>
      <w:r>
        <w:rPr>
          <w:b/>
        </w:rPr>
        <w:t>Shared claim-specific concepts:</w:t>
      </w:r>
      <w:r>
        <w:t xml:space="preserve"> three, based, literature, content; EU scope not established. This is a provisional connection, not an outcome finding.</w:t>
      </w:r>
    </w:p>
    <w:p>
      <w:pPr>
        <w:pStyle w:val="SourceNote"/>
      </w:pPr>
      <w:r>
        <w:rPr>
          <w:b/>
        </w:rPr>
        <w:t>Available abstract (not full text):</w:t>
      </w:r>
      <w:r>
        <w:t xml:space="preserve">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pPr/>
      <w:r>
        <w:rPr>
          <w:b/>
        </w:rPr>
        <w:t>POSSIBLE 2021:</w:t>
      </w:r>
      <w:r>
        <w:t xml:space="preserve"> About narrative: a study of the use of narratives in fashion design — https://doi.org/10.32920/ryerson.14646882</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2021:</w:t>
      </w:r>
      <w:r>
        <w:t xml:space="preserve"> About narrative: a study of the use of narratives in fashion design — https://doi.org/10.32920/ryerson.14646882.v1</w:t>
      </w:r>
    </w:p>
    <w:p>
      <w:pPr/>
      <w:r>
        <w:rPr>
          <w:b/>
        </w:rPr>
        <w:t>Shared claim-specific concepts:</w:t>
      </w:r>
      <w:r>
        <w:t xml:space="preserve"> three, narratives, interviews; EU scope not established. This is a provisional connection, not an outcome finding.</w:t>
      </w:r>
    </w:p>
    <w:p>
      <w:pPr>
        <w:pStyle w:val="SourceNote"/>
      </w:pPr>
      <w:r>
        <w:rPr>
          <w:b/>
        </w:rPr>
        <w:t>Available abstract (not full text):</w:t>
      </w:r>
      <w:r>
        <w:t xml:space="preserve">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pPr/>
      <w:r>
        <w:rPr>
          <w:b/>
        </w:rPr>
        <w:t>POSSIBLE 2020:</w:t>
      </w:r>
      <w:r>
        <w:t xml:space="preserve"> The Basic Concept of Narratology and Narrative — https://doi.org/10.15294/lc.v14i2.23247</w:t>
      </w:r>
    </w:p>
    <w:p>
      <w:pPr/>
      <w:r>
        <w:rPr>
          <w:b/>
        </w:rPr>
        <w:t>Shared claim-specific concepts:</w:t>
      </w:r>
      <w:r>
        <w:t xml:space="preserve"> three, narratives, elaborated, review; EU scope not established. This is a provisional connection, not an outcome finding.</w:t>
      </w:r>
    </w:p>
    <w:p>
      <w:pPr>
        <w:pStyle w:val="SourceNote"/>
      </w:pPr>
      <w:r>
        <w:rPr>
          <w:b/>
        </w:rPr>
        <w:t>Available abstract (not full text):</w:t>
      </w:r>
      <w:r>
        <w:t xml:space="preserve"> The field of narratology is concerned with the study and analysis of narrative texts. It puts under investigation literary pieces of language and yields an understanding of the components has in its very texture. The aim of this article is to provide insights about the field of ‘narratology’ and its associated subject of study ‘narrative’. It also tries to sketch the main issues concerning these two concepts. For this, the present review is presented in two major sections, each with related discussions about narratology and narrative. The first major part, narratology, will be presented in three sections: the first section, deals with the definitions and origins of narratology. The definitions are inspected and the researchers show how they go from general (encompassing all which is narrated) to more specific (encompassing literary narratives told by a narrator) ones. The second section, focuses on the two phases of narratology which are classical and post-classical ones in which narratology changed its orientations and scope. The last section is devoted to some of the elements and components of which narratology is made up, such as narration, focalization, narrative situation, action, story analysis, tellability, tense, time, and narrative modes which will be elaborated on in more details. The second major part, narrative, will be presented in four sections: first the concept </w:t>
      </w:r>
    </w:p>
    <w:p>
      <w:pPr/>
      <w:r>
        <w:rPr>
          <w:b/>
        </w:rPr>
        <w:t>POSSIBLE 2020:</w:t>
      </w:r>
      <w:r>
        <w:t xml:space="preserve"> Pastoral care and narrative: Towards a narrative pastoral care approach in intercultural communities — https://doi.org/10.4102/ids.v54i1.2619</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Narrative therapy, or narrative pastoral care, is one of the approaches of the last three decades that has attempted to address care for our current fluid communities. Stories and narratives play an important role in the meaning making of personhood and identity. Narratives and stories are becoming more used and recognised as an indispensable part of the healing of vulnerable persons within Psychology, Literature, Sociology and Theology. This contribution is an attempt to add to the growing scholarship of story and narrative approaches in Pastoral Care and Counselling by providing markers for a developing model of pastoral care within intercultural contexts. I will give a brief overview of pastoral care within four different contexts. The narrative approaches of Muller and Ganzevoort will be analysed and critically engaged because of their extensive and elaborative research of narrative for pastoral care and counselling. After a brief overview and critique of Muller and Ganzevoort, I will identify additional markers for narrative pastoral care in intercultural contexts.</w:t>
      </w:r>
    </w:p>
    <w:p>
      <w:pPr/>
      <w:r>
        <w:rPr>
          <w:b/>
        </w:rPr>
        <w:t>POSSIBLE 2020:</w:t>
      </w:r>
      <w:r>
        <w:t xml:space="preserve"> Narratives of the three extant chronicles — https://doi.org/10.1017/9781912961191.003</w:t>
      </w:r>
    </w:p>
    <w:p>
      <w:pPr/>
      <w:r>
        <w:rPr>
          <w:b/>
        </w:rPr>
        <w:t>Shared claim-specific concepts:</w:t>
      </w:r>
      <w:r>
        <w:t xml:space="preserve"> three, narratives, elaborated; EU scope not established. This is a provisional connection, not an outcome finding.</w:t>
      </w:r>
    </w:p>
    <w:p>
      <w:pPr>
        <w:pStyle w:val="SourceNote"/>
      </w:pPr>
      <w:r>
        <w:rPr>
          <w:b/>
        </w:rPr>
        <w:t>Available abstract (not full text):</w:t>
      </w:r>
      <w:r>
        <w:t xml:space="preserve"> The Chronicle of Kamatari THE FIRST SECTION of Tōshi Kaden describes the life of the patriarch of the Fujiwara line, Nakatomi no Kamatari, the eldest son of Nakatomi no Mikeko (?–?), information which is also confirmed in Kugyō bunin . In the context of Sovereign Jomei's (593–641) reign, the Nihon Shoki refers to Kamatari's father as Nakatomi no Muraji Mike , and mentions that he was one of four officials. Virtually nothing is known about his father but it is suggested that he was instrumental in the instalment of Jomei. On the death of Jomei in 641, Kamatari witnessed the dispute regarding his succession, a conflict that resulted in the dismissal and eventual forced suicide of Crown Prince Yamashiro no Ōe (?–643), the son of the illustrious Shōtoku Taishi, and the enthronement of Jomei's consort Kōgyoku. Tōshi Kaden starts exactly at this moment. Having elaborated on Kamatari's intellectual talents and his sense of morality, the chronicle narrates that the courtier Soga no Kuratsukuri (?–645), more commonly referred to as Iruka ‘increased his own fortune’ and controlled the court. Iruka was the son of Soga no Emishi (?–645), the head of the Soga, who was responsible for the removal of Prince Yamashiro and Jomei's enthronement. After having gained ground at court, he was quick to move against Prince Yamashiro, and during the ensuing standoff led by his son Iruka, the prince and</w:t>
      </w:r>
    </w:p>
    <w:p>
      <w:pPr>
        <w:pStyle w:val="Heading2"/>
      </w:pPr>
      <w:r>
        <w:t>668.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2022:</w:t>
      </w:r>
      <w:r>
        <w:t xml:space="preserve"> Prevalence of most common skin diseases in Europe: a population‐based study — https://doi.org/10.1111/jdv.18050</w:t>
      </w:r>
    </w:p>
    <w:p>
      <w:pPr/>
      <w:r>
        <w:rPr>
          <w:b/>
        </w:rPr>
        <w:t>Shared claim-specific concepts:</w:t>
      </w:r>
      <w:r>
        <w:t xml:space="preserve"> population, countries, policies, across;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Dataset on European diadromous species distributions from 1750 to present time in Europe, North Africa and the Middle East — https://doi.org/10.1016/j.dib.2022.107821</w:t>
      </w:r>
    </w:p>
    <w:p>
      <w:pPr/>
      <w:r>
        <w:rPr>
          <w:b/>
        </w:rPr>
        <w:t>Shared claim-specific concepts:</w:t>
      </w:r>
      <w:r>
        <w:t xml:space="preserve"> present, population, populations; EU scope visible. This is a provisional connection, not an outcome finding.</w:t>
      </w:r>
    </w:p>
    <w:p>
      <w:pPr>
        <w:pStyle w:val="SourceNote"/>
      </w:pPr>
      <w:r>
        <w:rPr>
          <w:b/>
        </w:rPr>
        <w:t>Available abstract (not full text):</w:t>
      </w:r>
      <w:r>
        <w:t xml:space="preserve">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pPr/>
      <w:r>
        <w:rPr>
          <w:b/>
        </w:rPr>
        <w:t>POSSIBLE 2022:</w:t>
      </w:r>
      <w:r>
        <w:t xml:space="preserve"> Assessing the risk of establishment and transient populations of Spodoptera frugiperda in Europe — https://doi.org/10.1007/s10340-022-01517-0</w:t>
      </w:r>
    </w:p>
    <w:p>
      <w:pPr/>
      <w:r>
        <w:rPr>
          <w:b/>
        </w:rPr>
        <w:t>Shared claim-specific concepts:</w:t>
      </w:r>
      <w:r>
        <w:t xml:space="preserve"> present, population, demographic, potential, populations; EU scope visible. This is a provisional connection, not an outcome finding.</w:t>
      </w:r>
    </w:p>
    <w:p>
      <w:pPr>
        <w:pStyle w:val="SourceNote"/>
      </w:pPr>
      <w:r>
        <w:rPr>
          <w:b/>
        </w:rPr>
        <w:t>Available abstract (not full text):</w:t>
      </w:r>
      <w:r>
        <w:t xml:space="preserve">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pPr/>
      <w:r>
        <w:rPr>
          <w:b/>
        </w:rPr>
        <w:t>POSSIBLE 2022:</w:t>
      </w:r>
      <w:r>
        <w:t xml:space="preserve"> Population Genetics and Signatures of Selection in Early Neolithic European Farmers — https://doi.org/10.1093/molbev/msac108</w:t>
      </w:r>
    </w:p>
    <w:p>
      <w:pPr/>
      <w:r>
        <w:rPr>
          <w:b/>
        </w:rPr>
        <w:t>Shared claim-specific concepts:</w:t>
      </w:r>
      <w:r>
        <w:t xml:space="preserve"> present, population, migration, show, across; EU scope visible. This is a provisional connection, not an outcome finding.</w:t>
      </w:r>
    </w:p>
    <w:p>
      <w:pPr>
        <w:pStyle w:val="SourceNote"/>
      </w:pPr>
      <w:r>
        <w:rPr>
          <w:b/>
        </w:rPr>
        <w:t>Available abstract (not full text):</w:t>
      </w:r>
      <w:r>
        <w:t xml:space="preserve">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countries, union, range, policies, across;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The New European Political Arithmetic of Inequalities in Education: A History of the Present — https://doi.org/10.17645/si.v9i3.4339</w:t>
      </w:r>
    </w:p>
    <w:p>
      <w:pPr/>
      <w:r>
        <w:rPr>
          <w:b/>
        </w:rPr>
        <w:t>Shared claim-specific concepts:</w:t>
      </w:r>
      <w:r>
        <w:t xml:space="preserve"> present, population, demographic, policies, across; EU scope visible. This is a provisional connection, not an outcome finding.</w:t>
      </w:r>
    </w:p>
    <w:p>
      <w:pPr>
        <w:pStyle w:val="SourceNote"/>
      </w:pPr>
      <w:r>
        <w:rPr>
          <w:b/>
        </w:rPr>
        <w:t>Available abstract (not full text):</w:t>
      </w:r>
      <w:r>
        <w:t xml:space="preserve"> The article describes the emergence and development of positive epistemology and quantification tools in the dynamics of inequalities in education. It contributes to a history of the present at a time when datafication and experimentalism are reappearing in educational policies to justify the reduction of inequalities across international surveys and randomised controlled trials. This socio‐history of metrics also sheds light on transformations about relationships historically established between the welfare state and education that have shaped the representation of inequalities and social programs in education. The use of large‐scale surveys and controlled experiments in social and educational policies developed in the 1920s and 30s, even if their methods and techniques have become more sophisticated due to statistical progress. However, statistical reasoning is today no less persuasive in justifying the measurement of student skills and various forms of state intervention for “at‐risk” children and youth. With the rise of international organisations, notably the European Commission, demographic issues related to school population and the reduction of inequalities have shifted. It is less a question of selecting the most talented or gifted among working‐class students than of investing in human capital from early childhood to improve the education systems’ performance and comp</w:t>
      </w:r>
    </w:p>
    <w:p>
      <w:pPr/>
      <w:r>
        <w:rPr>
          <w:b/>
        </w:rPr>
        <w:t>POSSIBLE 2021:</w:t>
      </w:r>
      <w:r>
        <w:t xml:space="preserve"> Tinnitus prevalence in Europe: a multi-country cross-sectional population study — https://doi.org/10.1016/j.lanepe.2021.100250</w:t>
      </w:r>
    </w:p>
    <w:p>
      <w:pPr/>
      <w:r>
        <w:rPr>
          <w:b/>
        </w:rPr>
        <w:t>Shared claim-specific concepts:</w:t>
      </w:r>
      <w:r>
        <w:t xml:space="preserve"> population, countries, union, across; EU scope visible. This is a provisional connection, not an outcome finding.</w:t>
      </w:r>
    </w:p>
    <w:p>
      <w:pPr>
        <w:pStyle w:val="SourceNote"/>
      </w:pPr>
      <w:r>
        <w:rPr>
          <w:b/>
        </w:rPr>
        <w:t>Available abstract (not full text):</w:t>
      </w:r>
      <w:r>
        <w:t xml:space="preserve"> BACKGROUND: Tinnitus prevalence studies report large variability across countries that might be due to inconsistent research methods. Our study aimed to report a single Pan-European estimate for tinnitus prevalence and investigate the effect of individual and country-level characteristics on prevalence. We explored the relationships of healthcare resource use and hearing difficulty with tinnitus symptoms. METHODS: Between 2017-2018, a cross-sectional European Tinnitus Survey (ETS) was conducted in 12 European Union nations (Bulgaria, England, France, Germany, Greece, Ireland, Italy, Latvia, Poland, Portugal, Romania, and Spain), using a standardised set of tinnitus-related questions and response options in country-specific languages. We recruited 11,427 adults aged ≥18 years. FINDINGS: Prevalence of any tinnitus was 14·7% (14·0% in men and 15·2% in women), ranging from 8·7% in Ireland to 28·3% in Bulgaria. Severe tinnitus was found in 1·2% participants (1·0% in men and 1·4% in women), ranging from 0·6% in Ireland to 4·2% in Romania. Tinnitus prevalence significantly increased with increasing age and worsening of hearing status. Healthcare resource use for tinnitus increased with increasing tinnitus symptom severity. INTERPRETATION: This is the first multinational report of Pan-European tinnitus prevalence using standardised questions. The overall prevalence estimates refine pre</w:t>
      </w:r>
    </w:p>
    <w:p>
      <w:pPr/>
      <w:r>
        <w:rPr>
          <w:b/>
        </w:rPr>
        <w:t>POSSIBLE 2021:</w:t>
      </w:r>
      <w:r>
        <w:t xml:space="preserve"> Towards New Horizons: Climate Trends in Europe Increase the Environmental Suitability for Permanent Populations of Hyalomma marginatum (Ixodidae) — https://doi.org/10.3390/pathogens10020095</w:t>
      </w:r>
    </w:p>
    <w:p>
      <w:pPr/>
      <w:r>
        <w:rPr>
          <w:b/>
        </w:rPr>
        <w:t>Shared claim-specific concepts:</w:t>
      </w:r>
      <w:r>
        <w:t xml:space="preserve"> countries, show, increase, populations; EU scope visible. This is a provisional connection, not an outcome finding.</w:t>
      </w:r>
    </w:p>
    <w:p>
      <w:pPr>
        <w:pStyle w:val="SourceNote"/>
      </w:pPr>
      <w:r>
        <w:rPr>
          <w:b/>
        </w:rPr>
        <w:t>Available abstract (not full text):</w:t>
      </w:r>
      <w:r>
        <w:t xml:space="preserve"> Ticks and tick-borne pathogens are changing their current distribution, presumably due to the impact of the climate trends. On a large scale, these trends are changing the environmental suitability of Hyalomma marginatum, the main vector of several pathogens affecting human health. We generated annual models of environmental suitability for the tick in the period 1970–2018, using harmonic regression-derived data of the daily maximum and minimum temperature, soil moisture and water vapor deficit. The results demonstrate an expansion of the suitable area in Mediterranean countries, southeast central Europe and south of the Balkans. Also, the models allowed us to interpret the impact of the ecological variables on these changes. We deduced that (i) maximum temperature was significant for all of the biogeographical categories, (ii) soil humidity has an influence in the Mediterranean climate areas, and (iii) the minimum temperature and deficit water vapor did not influence the environmental suitability of the species. The conclusions clearly show that climate change could create new areas in Europe with suitable climates for H. marginatum, while keeping its “historical” distribution in the Mediterranean. Therefore, it is necessary to further explore possible risk areas for H. marginatum and its associated pathogens.</w:t>
      </w:r>
    </w:p>
    <w:p>
      <w:pPr/>
      <w:r>
        <w:rPr>
          <w:b/>
        </w:rPr>
        <w:t>POSSIBLE 2020:</w:t>
      </w:r>
      <w:r>
        <w:t xml:space="preserve"> A new typology of small farms in Europe — https://doi.org/10.1016/j.gfs.2020.100389</w:t>
      </w:r>
    </w:p>
    <w:p>
      <w:pPr/>
      <w:r>
        <w:rPr>
          <w:b/>
        </w:rPr>
        <w:t>Shared claim-specific concepts:</w:t>
      </w:r>
      <w:r>
        <w:t xml:space="preserve"> countries, range, across; EU scope visible. This is a provisional connection, not an outcome finding.</w:t>
      </w:r>
    </w:p>
    <w:p>
      <w:pPr>
        <w:pStyle w:val="SourceNote"/>
      </w:pPr>
      <w:r>
        <w:rPr>
          <w:b/>
        </w:rPr>
        <w:t>Available abstract (not full text):</w:t>
      </w:r>
      <w:r>
        <w:t xml:space="preserve"> We propose a new typology of small farms in Europe using a multivariate analysis drawing from household surveys from 14 European countries. The variables to develop the types covered a range of characteristics from farmers' histories and motivations, to farm production, assets and labour, market linkages and access to support. The clustering analysis found five types of small farms, two with relatively weak commercial orientation (peasant and part-time farms) and three with relatively strong commercial orientation (diversified businesses, specialized businesses, and new enterprises). This typology provides a richer picture of the diversity and nature of small farming across Europe beyond assumptions about their role in subsistence and fragile household economies. We find evidence of entrepreneurship and strong market linkages as well as a range of motivations, including lifestyle options. Typologies such as the one presented here can help to better document and understand the role of small-scale farming in Europe, and provide an input for evidence-based policy making that can enhance their livelihoods and contribution.</w:t>
      </w:r>
    </w:p>
    <w:p>
      <w:pPr/>
      <w:r>
        <w:rPr>
          <w:b/>
        </w:rPr>
        <w:t>POSSIBLE 2020:</w:t>
      </w:r>
      <w:r>
        <w:t xml:space="preserve"> Population of Eurasian beaver (Castor fiber) in Europe — https://doi.org/10.1016/j.gecco.2020.e01046</w:t>
      </w:r>
    </w:p>
    <w:p>
      <w:pPr/>
      <w:r>
        <w:rPr>
          <w:b/>
        </w:rPr>
        <w:t>Shared claim-specific concepts:</w:t>
      </w:r>
      <w:r>
        <w:t xml:space="preserve"> population, countries, increase, populations; EU scope visible. This is a provisional connection, not an outcome finding.</w:t>
      </w:r>
    </w:p>
    <w:p>
      <w:pPr>
        <w:pStyle w:val="SourceNote"/>
      </w:pPr>
      <w:r>
        <w:rPr>
          <w:b/>
        </w:rPr>
        <w:t>Available abstract (not full text):</w:t>
      </w:r>
      <w:r>
        <w:t xml:space="preserve"> The Eurasian beaver (Castor fiber) is an intensely expansionary species. Species reintroductions, which were conducted in various parts of Europe, as well as the rate of natural increase have resulted in the growth of the number of individuals. The dynamic development of the beaver population in Europe means that the available data concerning the quantity of beavers becomes outdated very quickly. The purpose of this manuscript is to update the available information about the beaver populations in all countries of Europe. The information was collected in the second half of 2019. Some of the data collected include generally available studies and articles. For some countries, the author had difficulty obtaining any data; therefore, personal communication was employed with various governmental or scientific units in the given country. The outcomes of the conducted analyses were figures about the Eurasian beaver population throughout Europe. It was found that the Eurasian beaver population in Europe numbered nearly 1,222,000 individuals.</w:t>
      </w:r>
    </w:p>
    <w:p>
      <w:pPr>
        <w:pStyle w:val="Heading2"/>
      </w:pPr>
      <w:r>
        <w:t>669.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2023:</w:t>
      </w:r>
      <w:r>
        <w:t xml:space="preserve"> The Macro Impact of Short‐Termism — https://doi.org/10.3982/ecta15420</w:t>
      </w:r>
    </w:p>
    <w:p>
      <w:pPr/>
      <w:r>
        <w:rPr>
          <w:b/>
        </w:rPr>
        <w:t>Shared claim-specific concepts:</w:t>
      </w:r>
      <w:r>
        <w:t xml:space="preserve"> forecasts, standard, estimate; EU scope not established. This is a provisional connection, not an outcome finding.</w:t>
      </w:r>
    </w:p>
    <w:p>
      <w:pPr>
        <w:pStyle w:val="SourceNote"/>
      </w:pPr>
      <w:r>
        <w:rPr>
          <w:b/>
        </w:rPr>
        <w:t>Available abstract (not full text):</w:t>
      </w:r>
      <w:r>
        <w:t xml:space="preserve">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pPr/>
      <w:r>
        <w:rPr>
          <w:b/>
        </w:rPr>
        <w:t>POSSIBLE 2022:</w:t>
      </w:r>
      <w:r>
        <w:t xml:space="preserve"> From Short-Term Risk to Long-Term Strategic Challenges: Reviewing the Consequences of Geopolitics and COVID-19 on Economic Performance — https://doi.org/10.3390/su142114455</w:t>
      </w:r>
    </w:p>
    <w:p>
      <w:pPr/>
      <w:r>
        <w:rPr>
          <w:b/>
        </w:rPr>
        <w:t>Shared claim-specific concepts:</w:t>
      </w:r>
      <w:r>
        <w:t xml:space="preserve"> short-term, approach; EU scope visible. This is a provisional connection, not an outcome finding.</w:t>
      </w:r>
    </w:p>
    <w:p>
      <w:pPr>
        <w:pStyle w:val="SourceNote"/>
      </w:pPr>
      <w:r>
        <w:rPr>
          <w:b/>
        </w:rPr>
        <w:t>Available abstract (not full text):</w:t>
      </w:r>
      <w:r>
        <w:t xml:space="preserve">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labour, output;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Remote Sensing for Short-Term Economic Forecasts — https://doi.org/10.3390/su13179593</w:t>
      </w:r>
    </w:p>
    <w:p>
      <w:pPr/>
      <w:r>
        <w:rPr>
          <w:b/>
        </w:rPr>
        <w:t>Shared claim-specific concepts:</w:t>
      </w:r>
      <w:r>
        <w:t xml:space="preserve"> short-term, forecasts, potential, very; EU scope not established. This is a provisional connection, not an outcome finding.</w:t>
      </w:r>
    </w:p>
    <w:p>
      <w:pPr>
        <w:pStyle w:val="SourceNote"/>
      </w:pPr>
      <w:r>
        <w:rPr>
          <w:b/>
        </w:rPr>
        <w:t>Available abstract (not full text):</w:t>
      </w:r>
      <w:r>
        <w:t xml:space="preserve"> Economic forecasts are an important instrument to judge the nation-wide economic situation. Such forecasts are mainly based on data from statistical offices. However, there is a time lag between the end of the reporting period and the release of the statistical data that arises for instance from the time needed to collect and process the data. To improve the forecasts by reducing the delay, it is of interest to find alternative data sources that provide information on economic activity without significant delays. Among others, satellite images are thought to assist here. This paper addresses the potential of earth observation imagery for short-term economic forecasts. The study is focused on the estimation of investments in the construction sector based on high resolution (HR) (10–20 m) and very high resolution (VHR) (0.3–0.5 m) images as well as on the estimation of investments in agricultural machinery based on orthophotos (0.1 m) simulating VHR satellite imagery. By applying machine learning it is possible to extract the objects of interest to a certain extent. For the detection of construction areas, VHR satellite images are much better suited than HR satellite images. VHR satellite images with a ground resolution of 30–50 cm are able to identify agricultural machinery. These results are promising and provide new and unconventional input for economic forecasting models.</w:t>
      </w:r>
    </w:p>
    <w:p>
      <w:pPr/>
      <w:r>
        <w:rPr>
          <w:b/>
        </w:rPr>
        <w:t>POSSIBLE 2020:</w:t>
      </w:r>
      <w:r>
        <w:t xml:space="preserve"> Short-term and long-term health impacts of air pollution reductions from COVID-19 lockdowns in China and Europe: a modelling study — https://doi.org/10.1016/s2542-5196(20)30224-2</w:t>
      </w:r>
    </w:p>
    <w:p>
      <w:pPr/>
      <w:r>
        <w:rPr>
          <w:b/>
        </w:rPr>
        <w:t>Shared claim-specific concepts:</w:t>
      </w:r>
      <w:r>
        <w:t xml:space="preserve"> short-term; EU scope visible. This is a provisional connection, not an outcome finding.</w:t>
      </w:r>
    </w:p>
    <w:p>
      <w:pPr>
        <w:pStyle w:val="SourceNote"/>
      </w:pPr>
      <w:r>
        <w:rPr>
          <w:b/>
        </w:rPr>
        <w:t>Available abstract (not full text):</w:t>
      </w:r>
      <w:r>
        <w:t xml:space="preserve"> Background Exposure to poor air quality leads to increased premature mortality from cardiovascular and respiratory diseases. Among the far-reaching implications of the ongoing COVID-19 pandemic, a substantial improvement in air quality was observed worldwide after the lockdowns imposed by many countries. We aimed to assess the implications of different lockdown measures on air pollution levels in Europe and China, as well as the short-term and long-term health impact. Methods For this modelling study, observations of fine particulate matter (PM 2·5 ) concentrations from more than 2500 stations in Europe and China during 2016–20 were integrated with chemical transport model simulations to reconstruct PM 2·5 fields at high spatiotemporal resolution. The health benefits, expressed as short-term and long-term avoided mortality from PM 2·5 exposure associated with the interventions imposed to control the COVID-19 pandemic, were quantified on the basis of the latest epidemiological studies. To explore the long-term variability in air quality and associated premature mortality, we built different scenarios of economic recovery (immediate or gradual resumption of activities, a second outbreak in autumn, and permanent lockdown for the whole of 2020). Findings The lockdown interventions led to a reduction in population-weighted PM 2·5 of 14·5 μg m −3 across China (−29·7%) and 2·2 μg m −3</w:t>
      </w:r>
    </w:p>
    <w:p>
      <w:pPr/>
      <w:r>
        <w:rPr>
          <w:b/>
        </w:rPr>
        <w:t>POSSIBLE 2020:</w:t>
      </w:r>
      <w:r>
        <w:t xml:space="preserve"> Effect of B Corp Certification on Short-Term Growth: European Evidence — https://doi.org/10.3390/su12208459</w:t>
      </w:r>
    </w:p>
    <w:p>
      <w:pPr/>
      <w:r>
        <w:rPr>
          <w:b/>
        </w:rPr>
        <w:t>Shared claim-specific concepts:</w:t>
      </w:r>
      <w:r>
        <w:t xml:space="preserve"> short-term, potential; EU scope visible. This is a provisional connection, not an outcome finding.</w:t>
      </w:r>
    </w:p>
    <w:p>
      <w:pPr>
        <w:pStyle w:val="SourceNote"/>
      </w:pPr>
      <w:r>
        <w:rPr>
          <w:b/>
        </w:rPr>
        <w:t>Available abstract (not full text):</w:t>
      </w:r>
      <w:r>
        <w:t xml:space="preserve"> This paper investigates the effect of sustainability certification on the short-term growth rates of socially responsible companies. A changing business environment in which stakeholders became more sensitive to the sustainability practices of companies induced a growing popularity of hybrid firms, which use market-based approaches to pursue environmental and social goals. However, stakeholders do not take unsubstantiated claims about companies’ sustainability efforts for granted, creating a potential economic role for independent certification organizations. In addition, the internal processes brought about by the external verification procedure could turn the social mission, which is often creating tension with financial goals, into a strategic advantage. B Lab is one such well-known and rapidly growing organization, granting so-called B Corp certificates across many countries around the world. This paper contributes to the hybrid firm literature by ascertaining the benefit of certification as measured by firm growth. Using a panel dataset of financial data of European firms that obtained B Corp certification between 2012 and 2018 and a quasi-experimental difference-in-difference research design, this paper empirically shows that B Corp certification positively impacts the turnover growth rates one year pre versus one year post certification. No significant effects on employe</w:t>
      </w:r>
    </w:p>
    <w:p>
      <w:pPr>
        <w:pStyle w:val="Heading2"/>
      </w:pPr>
      <w:r>
        <w:t>670.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Meeting the European green deal objective of expanding organic farming — https://doi.org/10.24136/eq.2022.021</w:t>
      </w:r>
    </w:p>
    <w:p>
      <w:pPr/>
      <w:r>
        <w:rPr>
          <w:b/>
        </w:rPr>
        <w:t>Shared claim-specific concepts:</w:t>
      </w:r>
      <w:r>
        <w:t xml:space="preserve"> objective, three, developed, methods, approach; EU scope visible. This is a provisional connection, not an outcome finding.</w:t>
      </w:r>
    </w:p>
    <w:p>
      <w:pPr>
        <w:pStyle w:val="SourceNote"/>
      </w:pPr>
      <w:r>
        <w:rPr>
          <w:b/>
        </w:rPr>
        <w:t>Available abstract (not full text):</w:t>
      </w:r>
      <w:r>
        <w:t xml:space="preserve">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pPr/>
      <w:r>
        <w:rPr>
          <w:b/>
        </w:rPr>
        <w:t>POSSIBLE 2022:</w:t>
      </w:r>
      <w:r>
        <w:t xml:space="preserve"> COVID-19 in Europe: from outbreak to vaccination — https://doi.org/10.1186/s12889-022-14454-5</w:t>
      </w:r>
    </w:p>
    <w:p>
      <w:pPr/>
      <w:r>
        <w:rPr>
          <w:b/>
        </w:rPr>
        <w:t>Shared claim-specific concepts:</w:t>
      </w:r>
      <w:r>
        <w:t xml:space="preserve"> objective, three, affect, across, methods, approach;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evolution, methods, identification, stage;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r>
        <w:rPr>
          <w:b/>
        </w:rPr>
        <w:t>POSSIBLE 2020:</w:t>
      </w:r>
      <w:r>
        <w:t xml:space="preserve"> Subjective or Objective? How Objective Measures Relate to Subjective Life Satisfaction in Europe — https://doi.org/10.3390/ijgi9050320</w:t>
      </w:r>
    </w:p>
    <w:p>
      <w:pPr/>
      <w:r>
        <w:rPr>
          <w:b/>
        </w:rPr>
        <w:t>Shared claim-specific concepts:</w:t>
      </w:r>
      <w:r>
        <w:t xml:space="preserve"> objective, factors, across, methods, approach, applied; EU scope visible. This is a provisional connection, not an outcome finding.</w:t>
      </w:r>
    </w:p>
    <w:p>
      <w:pPr>
        <w:pStyle w:val="SourceNote"/>
      </w:pPr>
      <w:r>
        <w:rPr>
          <w:b/>
        </w:rPr>
        <w:t>Available abstract (not full text):</w:t>
      </w:r>
      <w:r>
        <w:t xml:space="preserve">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pPr/>
      <w:r>
        <w:rPr>
          <w:b/>
        </w:rPr>
        <w:t>POSSIBLE 2020:</w:t>
      </w:r>
      <w:r>
        <w:t xml:space="preserve"> Energy Performance of the European Union Countries in Terms of Reaching the European Energy Union Objectives — https://doi.org/10.3390/en13205317</w:t>
      </w:r>
    </w:p>
    <w:p>
      <w:pPr/>
      <w:r>
        <w:rPr>
          <w:b/>
        </w:rPr>
        <w:t>Shared claim-specific concepts:</w:t>
      </w:r>
      <w:r>
        <w:t xml:space="preserve"> objective, project, methods; EU scope visible. This is a provisional connection, not an outcome finding.</w:t>
      </w:r>
    </w:p>
    <w:p>
      <w:pPr>
        <w:pStyle w:val="SourceNote"/>
      </w:pPr>
      <w:r>
        <w:rPr>
          <w:b/>
        </w:rPr>
        <w:t>Available abstract (not full text):</w:t>
      </w:r>
      <w:r>
        <w:t xml:space="preserve"> European energy policy, especially the project of the Energy Union, is one of the most rapidly developing areas of the EU, and one through which European institutions are obtaining gradually more extensive power over the performance of the national energy sectors. The paper focuses on an analysis of the energy performance of EU member states (MS) with regard to the priorities of the European Energy Union. For an assessment of the energy performance of EU countries, the Technique for Order of Preference by Similarity to Ideal Solution (TOPSIS) was chosen, using the Coefficient of Variation method (CV) as an objective method for determining the weights of eight input indicators, including CO2 intensity, electricity and gas price, energy productivity, energy dependence, consumption of renewables and research and development. The analysis for the period from 2008 to 2016 showed significant changes in the input indicators, which directly influenced the results of both methods mentioned above. Long-term differences between the best- and worst-rated countries are seen mainly in CO2 emissions, energy imports and total consumption of renewable energy sources. It is these aspects of comprehensive energy performance and their convergence at the level of EU countries that we believe should be addressed in the near future.</w:t>
      </w:r>
    </w:p>
    <w:p>
      <w:pPr/>
      <w:r>
        <w:rPr>
          <w:b/>
        </w:rPr>
        <w:t>POSSIBLE 2020:</w:t>
      </w:r>
      <w:r>
        <w:t xml:space="preserve"> Branch-and-bound and objective branching with three objectives — https://openalex.org/W4412331006</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Besides the classical dominance test, bound sets are used to improve the computational time by imposing inequalities derived from (partial) dominance in the objective space. This process is called objective branching since it is mostly applied when generating child nodes. In this paper, we extend the concept of objective branching to tri-objective combinatorial optimization problems. Several difficulties arise in this case, as there is no longer a lexicographic order among nondominated outcome vectors in the multi-objective case, with more than two objectives. We discuss the general concept of objective branching in any number of dimensions and suggest a merging operation of local upper bounds to avoid the generation of redundant subproblems. Numerical experiments on tri-objective knapsack, assignment and facility location problems show a significant speed-up in the B&amp;B framework.</w:t>
      </w:r>
    </w:p>
    <w:p>
      <w:pPr>
        <w:pStyle w:val="Heading2"/>
      </w:pPr>
      <w:r>
        <w:t>671.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developed, large-scale, technology, environmental,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even, though;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environmental, initiatives;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672.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focus, energy;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Energy Systems — https://doi.org/10.1017/9781009157926.008</w:t>
      </w:r>
    </w:p>
    <w:p>
      <w:pPr/>
      <w:r>
        <w:rPr>
          <w:b/>
        </w:rPr>
        <w:t>Shared claim-specific concepts:</w:t>
      </w:r>
      <w:r>
        <w:t xml:space="preserve"> energy, system, without, total, increased; EU scope not established. This is a provisional connection, not an outcome finding.</w:t>
      </w:r>
    </w:p>
    <w:p>
      <w:pPr>
        <w:pStyle w:val="SourceNote"/>
      </w:pPr>
      <w:r>
        <w:rPr>
          <w:b/>
        </w:rPr>
        <w:t>Available abstract (not full text):</w:t>
      </w:r>
      <w:r>
        <w:t xml:space="preserve">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pPr/>
      <w:r>
        <w:rPr>
          <w:b/>
        </w:rPr>
        <w:t>POSSIBLE 2022:</w:t>
      </w:r>
      <w:r>
        <w:t xml:space="preserve"> Investigation of European modular façade system utilizing renewable energy — https://doi.org/10.1093/ijlct/ctab101</w:t>
      </w:r>
    </w:p>
    <w:p>
      <w:pPr/>
      <w:r>
        <w:rPr>
          <w:b/>
        </w:rPr>
        <w:t>Shared claim-specific concepts:</w:t>
      </w:r>
      <w:r>
        <w:t xml:space="preserve"> energy, system, without; EU scope visible. This is a provisional connection, not an outcome finding.</w:t>
      </w:r>
    </w:p>
    <w:p>
      <w:pPr>
        <w:pStyle w:val="SourceNote"/>
      </w:pPr>
      <w:r>
        <w:rPr>
          <w:b/>
        </w:rPr>
        <w:t>Available abstract (not full text):</w:t>
      </w:r>
      <w:r>
        <w:t xml:space="preserve">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pPr/>
      <w:r>
        <w:rPr>
          <w:b/>
        </w:rPr>
        <w:t>POSSIBLE 2021:</w:t>
      </w:r>
      <w:r>
        <w:t xml:space="preserve"> Incorporating uncertainties towards a sustainable European energy system: A stochastic approach for decarbonization paths focusing on the transport sector — https://doi.org/10.1016/j.esr.2021.100707</w:t>
      </w:r>
    </w:p>
    <w:p>
      <w:pPr/>
      <w:r>
        <w:rPr>
          <w:b/>
        </w:rPr>
        <w:t>Shared claim-specific concepts:</w:t>
      </w:r>
      <w:r>
        <w:t xml:space="preserve"> energy, system, co2, reduction, period; EU scope visible. This is a provisional connection, not an outcome finding.</w:t>
      </w:r>
    </w:p>
    <w:p>
      <w:pPr>
        <w:pStyle w:val="SourceNote"/>
      </w:pPr>
      <w:r>
        <w:rPr>
          <w:b/>
        </w:rPr>
        <w:t>Available abstract (not full text):</w:t>
      </w:r>
      <w:r>
        <w:t xml:space="preserve">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pPr/>
      <w:r>
        <w:rPr>
          <w:b/>
        </w:rPr>
        <w:t>POSSIBLE 2021:</w:t>
      </w:r>
      <w:r>
        <w:t xml:space="preserve"> Thinking, doing, organising: Prefiguring just and sustainable energy systems via collective prosumer ecosystems in Europe — https://doi.org/10.1016/j.erss.2021.102425</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article positions collective renewable energy prosumerism as a social movement that engages in energy system transformation. Collective renewable energy prosumer initiatives engage in ‘prefigurative’ work through their discursive framings (ways of thinking), their activities (ways of doing) and their understanding and enactment of social relations (ways of organising). The core of this article is a comparative analysis of the prefigurative work of 13 collective prosumers from 7 European countries (Belgium, Croatia, Germany, Italy, Netherlands, Portugal, United Kingdom). The article discusses their contributions to energy system transformation, including renewable energy production, different mechanisms for involving citizens, local value creation, and the degree of desired and actual collaboration and networking within broader prosumer ecosystems. We then discuss these contributions against societal discourses and expectations towards prosumerism, such as energy democracy, energy justice, and environmental sustainability and decarbonisation. This reveals three tensions: 1) a focus on decarbonisation but not on broader environmental problems, 2) the involvement of certain people and not of others, and 3) the building of prosumer eco-systems while ignoring incumbency. Future research avenues are formulated to conclude the article.</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system, cumulative;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Actuating the European Energy System Transition: Indicators for Translating Energy Systems Modelling Results into Policy-Making — https://doi.org/10.3389/fenrg.2021.677208</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In this paper, we define indicators, with a focus on the electricity sector, that translate the results of energy systems modelling to quantitative entities that can facilitate assessments of the transitions required to meet stringent climate targets. Such indicators, which are often overlooked in model scenario presentations, can be applied to make the modelling results more accessible and are useful for managing the transition on the policy level, as well as for internal evaluations of modelling results. We propose a set of 13 indicators related to: 1) the resource and material usages in modelled energy system designs; 2) the rates of transition from current to future energy systems; and 3) the energy security in energy system modelling results. To illustrate its value, the proposed set of indicators is applied to energy system scenarios derived from an electricity system investment model for Northern Europe. We show that the proposed indicators are useful for facilitating discussions, raising new questions, and relating the modelling results to Sustainable Development Goals and thus facilitate better policy processes. The indicators presented here should not be seen as a complete set, but rather as examples. Therefore, this paper represents a starting point and a call to other modellers to expand and refine the list of indicators.</w:t>
      </w:r>
    </w:p>
    <w:p>
      <w:pPr/>
      <w:r>
        <w:rPr>
          <w:b/>
        </w:rPr>
        <w:t>POSSIBLE 2020:</w:t>
      </w:r>
      <w:r>
        <w:t xml:space="preserve"> Utility scale energy storage systems: possible business cases in Europe, with focus on Germany and Italy — https://openalex.org/W3151406791</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Energy transition &amp; storage: overview and analysis. The electric power system. The role of storage in VRE integration. The European power sector. Renevable outlook in the EU. Research questions and methodology. Financial drivers of ESSs. Project financing for VRE and ESSs. Construction of a financial model of ESS–comparative analysis. First business case–Germany. Second business case–Italy.</w:t>
      </w:r>
    </w:p>
    <w:p>
      <w:pPr/>
      <w:r>
        <w:rPr>
          <w:b/>
        </w:rPr>
        <w:t>POSSIBLE 2020:</w:t>
      </w:r>
      <w:r>
        <w:t xml:space="preserve"> Europeanization of the Swiss Energy System — https://openalex.org/W3016255705</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Switzerland and the EU have been negotiating an electricity agreement since 2007. Irrespective of the outcome of these negotiations, whose success is also dependent on other factors, European energy policy will influence the framework conditions and players in Switzerland’s energy policy. The effects of a «Europeanization» of Swiss energy policy are the primary interest of this book. It focuses on the influence of current and future EU policies on the (regulatory) framework and policy instruments in Switzerland, including the effects on public and private actors active in the Swiss energy sector. It will also present the consequences of the possible integration of Swiss energy policy into the complex European multi-level governance system, taking into account two scenarios: the «direct Europeanization» in case of the conclusion of a bilateral electricity agreement between Switzerland and the EU as well as the possible «indirect Europeanization» in the sense of autonomous adjustments to European policies.</w:t>
      </w:r>
    </w:p>
    <w:p>
      <w:pPr/>
      <w:r>
        <w:rPr>
          <w:b/>
        </w:rPr>
        <w:t>POSSIBLE 2020:</w:t>
      </w:r>
      <w:r>
        <w:t xml:space="preserve"> Early decarbonisation of the European energy system pays off — https://doi.org/10.1038/s41467-020-20015-4</w:t>
      </w:r>
    </w:p>
    <w:p>
      <w:pPr/>
      <w:r>
        <w:rPr>
          <w:b/>
        </w:rPr>
        <w:t>Shared claim-specific concepts:</w:t>
      </w:r>
      <w:r>
        <w:t xml:space="preserve"> energy, system, reduction, cumulative; EU scope visible. This is a provisional connection, not an outcome finding.</w:t>
      </w:r>
    </w:p>
    <w:p>
      <w:pPr>
        <w:pStyle w:val="SourceNote"/>
      </w:pPr>
      <w:r>
        <w:rPr>
          <w:b/>
        </w:rPr>
        <w:t>Available abstract (not full text):</w:t>
      </w:r>
      <w:r>
        <w:t xml:space="preserve"> Abstract For a given carbon budget over several decades, different transformation rates for the energy system yield starkly different results. Here we consider a budget of 33 GtCO2 for the cumulative carbon dioxide emissions from the European electricity, heating, and transport sectors between 2020 and 2050, which represents Europe’s contribution to the Paris Agreement. We have found that following an early and steady path in which emissions are strongly reduced in the first decade is more cost-effective than following a late and rapid path in which low initial reduction targets quickly deplete the carbon budget and require a sharp reduction later. We show that solar photovoltaic, onshore and offshore wind can become the cornerstone of a fully decarbonised energy system and that installation rates similar to historical maxima are required to achieve timely decarbonisation. Key to those results is a proper representation of existing balancing strategies through an open, hourly-resolved, networked model of the sector-coupled European energy system.</w:t>
      </w:r>
    </w:p>
    <w:p>
      <w:pPr>
        <w:pStyle w:val="Heading2"/>
      </w:pPr>
      <w:r>
        <w:t>673.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2022:</w:t>
      </w:r>
      <w:r>
        <w:t xml:space="preserve"> Does the transition to renewable energy increase inflation in European countries? — https://doi.org/10.21203/rs.3.rs-1408222/v1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Review of PV Solar Energy Development 2011–2021 in Central European Countries — https://doi.org/10.3390/en15218307</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pPr/>
      <w:r>
        <w:rPr>
          <w:b/>
        </w:rPr>
        <w:t>POSSIBLE 2022:</w:t>
      </w:r>
      <w:r>
        <w:t xml:space="preserve"> CAN GREECE STRENGTHEN EUROPEAN ENERGY SECURITY? — https://openalex.org/W7112735520</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pPr/>
      <w:r>
        <w:rPr>
          <w:b/>
        </w:rPr>
        <w:t>POSSIBLE 2022:</w:t>
      </w:r>
      <w:r>
        <w:t xml:space="preserve"> Assessment of the Economic Efficiency of Energy Development in the Industrial Sector of the European Union Area Countries — https://doi.org/10.3390/en15093322</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pPr/>
      <w:r>
        <w:rPr>
          <w:b/>
        </w:rPr>
        <w:t>POSSIBLE 2021:</w:t>
      </w:r>
      <w:r>
        <w:t xml:space="preserve"> Review of methods for the combined assessment of seismic resilience and energy efficiency towards sustainable retrofitting of existing European buildings — https://doi.org/10.1016/j.scs.2021.103556</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Positioning Positive Energy Districts in European Cities — https://doi.org/10.3390/buildings11010019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There are many concepts for buildings with integrated renewable energy systems that have received increased attention during the last few years. However, these concepts only strive to streamline building-level renewable energy solutions. In order to improve the flexibility of decentralized energy generation, individual buildings and energy systems should be able to interact with each other. The positive energy district (PED) concept highlights the importance of active interaction between energy generation systems, energy consumers and energy storage within a district. This paper strives to inform the public, decision makers and fellow researchers about the aspects that should be accounted for when planning and implementing different types of PEDs in different regions throughout the European Union. The renewable energy environment varies between different EU regions, in terms of the available renewable energy sources, energy storage potential, population, energy consumption behaviour, costs and regulations, which affect the design and operation of PEDs, and hence, no PED is like the other. This paper provides clear definitions for different types of PEDs, a survey of the renewable energy market circumstances in the EU and a detailed analysis of factors that play an essential role in the PED planning process.</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2020:</w:t>
      </w:r>
      <w:r>
        <w:t xml:space="preserve"> Trends in Social Acceptance of Renewable Energy Across Europe—A Literature Review — https://doi.org/10.3390/ijerph17249161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Social acceptance has proven to be a significant barrier in the implementation of renewable energy systems (hereinafter "RES"). While a general acceptance of RES is high, low local acceptance has hindered the development of renewable energy projects (hereinafter "REP"). This study assesses the determinants of local and general social acceptance of REP across Europe through a qualitative analysis from 25 case studies of the most significant social drivers and barriers that include all European countries. These case studies contain qualitative and quantitative analyses of the main factors for social acceptance of many representative groups including residents, stakeholders, and experts. Understanding the influences of social acceptance enables us to create strategies that will promote the development of REP by mitigating any public opposition.</w:t>
      </w:r>
    </w:p>
    <w:p>
      <w:pPr>
        <w:pStyle w:val="Heading2"/>
      </w:pPr>
      <w:r>
        <w:t>674.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r>
        <w:rPr>
          <w:b/>
        </w:rPr>
        <w:t>POSSIBLE 2023:</w:t>
      </w:r>
      <w:r>
        <w:t xml:space="preserve"> Pillars of long-term antiretroviral therapy success — https://doi.org/10.1016/j.phrs.2023.106898</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pPr/>
      <w:r>
        <w:rPr>
          <w:b/>
        </w:rPr>
        <w:t>POSSIBLE 2022:</w:t>
      </w:r>
      <w:r>
        <w:t xml:space="preserve"> Decarbonizing Prudence: How Realigning Present Pleasure and Long-Term Thinking is Climate Action — https://doi.org/10.21428/dd52e8dc.baa71636</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pPr/>
      <w:r>
        <w:rPr>
          <w:b/>
        </w:rPr>
        <w:t>POSSIBLE 2022:</w:t>
      </w:r>
      <w:r>
        <w:t xml:space="preserve"> Wishful thinking? Addressing the long-term implications of COVID-19 for transport in Nigeria — https://doi.org/10.1016/j.trd.2022.103206</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pPr/>
      <w:r>
        <w:rPr>
          <w:b/>
        </w:rPr>
        <w:t>POSSIBLE 2022:</w:t>
      </w:r>
      <w:r>
        <w:t xml:space="preserve"> complexity and criticality of long-term collaborative processes — https://doi.org/10.22456/1982-8918.127557</w:t>
      </w:r>
    </w:p>
    <w:p>
      <w:pPr/>
      <w:r>
        <w:rPr>
          <w:b/>
        </w:rPr>
        <w:t>Shared claim-specific concepts:</w:t>
      </w:r>
      <w:r>
        <w:t xml:space="preserve"> long-term, thinking, action; EU scope not established. This is a provisional connection, not an outcome finding.</w:t>
      </w:r>
    </w:p>
    <w:p>
      <w:pPr>
        <w:pStyle w:val="SourceNote"/>
      </w:pPr>
      <w:r>
        <w:rPr>
          <w:b/>
        </w:rPr>
        <w:t>Available abstract (not full text):</w:t>
      </w:r>
      <w:r>
        <w:t xml:space="preserve">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pPr/>
      <w:r>
        <w:rPr>
          <w:b/>
        </w:rPr>
        <w:t>POSSIBLE 2021:</w:t>
      </w:r>
      <w:r>
        <w:t xml:space="preserve"> Thinking Beyond the Pandemic: Monetary Policy Challenges in the Medium- to Long-Term — https://doi.org/10.2139/ssrn.3873976</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Thinking Beyond the Pandemic: Monetary Policy Challenges in the Medium- to Long-Term (preprint) — https://openalex.org/W3180662084</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pPr/>
      <w:r>
        <w:rPr>
          <w:b/>
        </w:rPr>
        <w:t>POSSIBLE 2020:</w:t>
      </w:r>
      <w:r>
        <w:t xml:space="preserve"> Casting Long-Term and Regenerative Perspectives on Global Sustainability through Systems and Resilience Thinking — https://doi.org/10.3390/su12031230</w:t>
      </w:r>
    </w:p>
    <w:p>
      <w:pPr/>
      <w:r>
        <w:rPr>
          <w:b/>
        </w:rPr>
        <w:t>Shared claim-specific concepts:</w:t>
      </w:r>
      <w:r>
        <w:t xml:space="preserve"> long-term, thinking, casting, action, local; EU scope not established. This is a provisional connection, not an outcome finding.</w:t>
      </w:r>
    </w:p>
    <w:p>
      <w:pPr>
        <w:pStyle w:val="SourceNote"/>
      </w:pPr>
      <w:r>
        <w:rPr>
          <w:b/>
        </w:rPr>
        <w:t>Available abstract (not full text):</w:t>
      </w:r>
      <w:r>
        <w:t xml:space="preserve"> The main objective of this work is to foster long-term and regenerative perspectives on global sustainability. In pursuing this goal, this study encompasses a critical analysis and synthesis of insights from the fields of systems and resilience thinking, a conceptual framework for modeling and envisioning socio-ecological systems, and the proposition of the “flourishing within boundaries” archetype, which is conceived to provide meaningful insights regarding the essential conditions that would enable global society to flourish not just safely but also fairly. Through systems dynamics modeling, portrayed scenarios emphasize that the higher the regenerative societal change achieved, the greater the exponential behavior of the system’s speed towards promising socio-ecological outcomes. Especially for longer time horizons, the overall results reveal that the pace of the transitions associated with the societal action is inherently higher than those associated with the limiting social and ecological factors. Actions taken by individuals in the local realm and short-term time horizon may not only have immediate local effects but also a variety of innumerous ones that radiate out for years, decades, and even centuries to come. Finally, the pursuit of flourishing within boundaries relies on thinking rationally, globally, and above all, through a long-term and regenerative perspective.</w:t>
      </w:r>
    </w:p>
    <w:p>
      <w:pPr>
        <w:pStyle w:val="Heading2"/>
      </w:pPr>
      <w:r>
        <w:t>675.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2021:</w:t>
      </w:r>
      <w:r>
        <w:t xml:space="preserve"> Summary of evidence and recommendations — https://doi.org/10.4324/9781003048558-14</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pPr/>
      <w:r>
        <w:rPr>
          <w:b/>
        </w:rPr>
        <w:t>POSSIBLE 2020:</w:t>
      </w:r>
      <w:r>
        <w:t xml:space="preserve"> Summary, recommendations, and conclusions — https://doi.org/10.4324/9781351047289-6</w:t>
      </w:r>
    </w:p>
    <w:p>
      <w:pPr/>
      <w:r>
        <w:rPr>
          <w:b/>
        </w:rPr>
        <w:t>Shared claim-specific concepts:</w:t>
      </w:r>
      <w:r>
        <w:t xml:space="preserve"> summary, recommendations, develop; EU scope not established. This is a provisional connection, not an outcome finding.</w:t>
      </w:r>
    </w:p>
    <w:p>
      <w:pPr>
        <w:pStyle w:val="SourceNote"/>
      </w:pPr>
      <w:r>
        <w:rPr>
          <w:b/>
        </w:rPr>
        <w:t>Available abstract (not full text):</w:t>
      </w:r>
      <w:r>
        <w:t xml:space="preserve">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pPr/>
      <w:r>
        <w:rPr>
          <w:b/>
        </w:rPr>
        <w:t>POSSIBLE 2020:</w:t>
      </w:r>
      <w:r>
        <w:t xml:space="preserve"> ESCAP practice guidance for autism: a summary of evidence-based recommendations for diagnosis and treatment — https://doi.org/10.1007/s00787-020-01587-4</w:t>
      </w:r>
    </w:p>
    <w:p>
      <w:pPr/>
      <w:r>
        <w:rPr>
          <w:b/>
        </w:rPr>
        <w:t>Shared claim-specific concepts:</w:t>
      </w:r>
      <w:r>
        <w:t xml:space="preserve"> summary, recommendations, information; EU scope visible. This is a provisional connection, not an outcome finding.</w:t>
      </w:r>
    </w:p>
    <w:p>
      <w:pPr>
        <w:pStyle w:val="SourceNote"/>
      </w:pPr>
      <w:r>
        <w:rPr>
          <w:b/>
        </w:rPr>
        <w:t>Available abstract (not full text):</w:t>
      </w:r>
      <w:r>
        <w:t xml:space="preserve"> Across Europe, there is increased awareness of the frequency and importance of autism spectrum disorder (ASD), which is now recognised not only as a childhood disorder but as a heterogeneous, neurodevelopmental condition that persists throughout life. Services for individuals with autism and their families vary widely, but in most European countries, provision is limited. In 2018, European Society of Child and Adolescent Psychiatry (ESCAP) identified the need for a Practice Guidance document that would help to improve knowledge and practice, especially for individuals in underserviced areas. The present document, prepared by the ASD Working Party and endorsed by the ESCAP Board on October 3, 2019, summarises current information on autism and focuses on ways of detecting, diagnosing, and treating this condition.</w:t>
      </w:r>
    </w:p>
    <w:p>
      <w:pPr>
        <w:pStyle w:val="Heading2"/>
      </w:pPr>
      <w:r>
        <w:t>676.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677.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2022:</w:t>
      </w:r>
      <w:r>
        <w:t xml:space="preserve"> Trust in official statistics across Europe: Evidence from two waves of Eurobarometer using multilevel models — https://doi.org/10.3233/sji-220070</w:t>
      </w:r>
    </w:p>
    <w:p>
      <w:pPr/>
      <w:r>
        <w:rPr>
          <w:b/>
        </w:rPr>
        <w:t>Shared claim-specific concepts:</w:t>
      </w:r>
      <w:r>
        <w:t xml:space="preserve"> uses, two; EU scope visible. This is a provisional connection, not an outcome finding.</w:t>
      </w:r>
    </w:p>
    <w:p>
      <w:pPr>
        <w:pStyle w:val="SourceNote"/>
      </w:pPr>
      <w:r>
        <w:rPr>
          <w:b/>
        </w:rPr>
        <w:t>Available abstract (not full text):</w:t>
      </w:r>
      <w:r>
        <w:t xml:space="preserve">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pPr/>
      <w:r>
        <w:rPr>
          <w:b/>
        </w:rPr>
        <w:t>POSSIBLE 2022:</w:t>
      </w:r>
      <w:r>
        <w:t xml:space="preserve"> Evapotranspiration Retrieval Using S-SEBI Model with Landsat-8 Split-Window Land Surface Temperature Products over Two European Agricultural Crops — https://doi.org/10.3390/rs14112723</w:t>
      </w:r>
    </w:p>
    <w:p>
      <w:pPr/>
      <w:r>
        <w:rPr>
          <w:b/>
        </w:rPr>
        <w:t>Shared claim-specific concepts:</w:t>
      </w:r>
      <w:r>
        <w:t xml:space="preserve"> two, energy; EU scope visible. This is a provisional connection, not an outcome finding.</w:t>
      </w:r>
    </w:p>
    <w:p>
      <w:pPr>
        <w:pStyle w:val="SourceNote"/>
      </w:pPr>
      <w:r>
        <w:rPr>
          <w:b/>
        </w:rPr>
        <w:t>Available abstract (not full text):</w:t>
      </w:r>
      <w:r>
        <w:t xml:space="preserve">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pPr/>
      <w:r>
        <w:rPr>
          <w:b/>
        </w:rPr>
        <w:t>POSSIBLE 2021:</w:t>
      </w:r>
      <w:r>
        <w:t xml:space="preserve"> Modeling and forecasting the spread of COVID-19 with stochastic and deterministic approaches: Africa and Europe — https://doi.org/10.1186/s13662-021-03213-2</w:t>
      </w:r>
    </w:p>
    <w:p>
      <w:pPr/>
      <w:r>
        <w:rPr>
          <w:b/>
        </w:rPr>
        <w:t>Shared claim-specific concepts:</w:t>
      </w:r>
      <w:r>
        <w:t xml:space="preserve"> two, system, first; EU scope visible. This is a provisional connection, not an outcome finding.</w:t>
      </w:r>
    </w:p>
    <w:p>
      <w:pPr>
        <w:pStyle w:val="SourceNote"/>
      </w:pPr>
      <w:r>
        <w:rPr>
          <w:b/>
        </w:rPr>
        <w:t>Available abstract (not full text):</w:t>
      </w:r>
      <w:r>
        <w:t xml:space="preserve"> Using the existing collected data from European and African countries, we present a statistical analysis of forecast of the future number of daily deaths and infections up to 10 September 2020. We presented numerous statistical analyses of collected data from both continents using numerous existing statistical theories. Our predictions show the possibility of the second wave of spread in Europe in the worse scenario and an exponential growth in the number of infections in Africa. The projection of statistical analysis leads us to introducing an extended version of the well-blancmange function to further capture the spread with fractal properties. A mathematical model depicting the spread with nine sub-classes is considered, first converted to a stochastic system, where the existence and uniqueness are presented. Then the model is extended to the concept of nonlocal operators; due to nonlinearity, a modified numerical scheme is suggested and used to present numerical simulations. The suggested mathematical model is able to predict two to three waves of the spread in the near future.</w:t>
      </w:r>
    </w:p>
    <w:p>
      <w:pPr/>
      <w:r>
        <w:rPr>
          <w:b/>
        </w:rPr>
        <w:t>POSSIBLE 2021:</w:t>
      </w:r>
      <w:r>
        <w:t xml:space="preserve"> The 2020 update of the European Seismic Hazard Model - ESHM20: Model Overview — https://doi.org/10.12686/a15</w:t>
      </w:r>
    </w:p>
    <w:p>
      <w:pPr/>
      <w:r>
        <w:rPr>
          <w:b/>
        </w:rPr>
        <w:t>Shared claim-specific concepts:</w:t>
      </w:r>
      <w:r>
        <w:t xml:space="preserve"> two, system, several, design; EU scope visible. This is a provisional connection, not an outcome finding.</w:t>
      </w:r>
    </w:p>
    <w:p>
      <w:pPr>
        <w:pStyle w:val="SourceNote"/>
      </w:pPr>
      <w:r>
        <w:rPr>
          <w:b/>
        </w:rPr>
        <w:t>Available abstract (not full text):</w:t>
      </w:r>
      <w:r>
        <w:t xml:space="preserve"> The 2020 European Seismic Hazard Model (ESHM20) provides an update of the earthquake hazard assessment of the Euro-Mediterranean region. ESHM20 has received funding from the European Union's Horizon 2020 research and innovation programme under grant agreement No.s 730900 of the SERA-Project (www.sera-eu.org). The ESHM20 follows the same principles as the ESHM13, with state-of-the art procedures homogeneously applied for the entire pan-European region, without the country-borders issues. The model was built upon recently compiled datasets (i.e. earthquake catalogues, active faults, ground shaking recordings), information (tectonic and geological) and models (seismogenic sources, ground shaking). A fully probabilistic framework was adopted in the hazard model implementation and all datasets and inputs are fully cross-border harmonized. The newly developed seismogenic source model encompass fully harmonized and cross borders seismogenic sources following the recent national earthquake hazard models. The inherent uncertainties in characterizing the earthquake rupture forecast are handled by a complex logic tree, consisting of two main models (branches): an area source-based model and a hybrid fault-smoothed seismicity model. The ground motion characteristic model is built upon the most complete ground shaking recordings in Europe and aims at capturing the effects of source and atte</w:t>
      </w:r>
    </w:p>
    <w:p>
      <w:pPr/>
      <w:r>
        <w:rPr>
          <w:b/>
        </w:rPr>
        <w:t>POSSIBLE 2020:</w:t>
      </w:r>
      <w:r>
        <w:t xml:space="preserve"> Analysis of crash injury severity on two trans-European transport network corridors in Spain using discrete-choice models and random forests — https://doi.org/10.1080/15389588.2020.1733539</w:t>
      </w:r>
    </w:p>
    <w:p>
      <w:pPr/>
      <w:r>
        <w:rPr>
          <w:b/>
        </w:rPr>
        <w:t>Shared claim-specific concepts:</w:t>
      </w:r>
      <w:r>
        <w:t xml:space="preserve"> two, implications, first, design; EU scope visible. This is a provisional connection, not an outcome finding.</w:t>
      </w:r>
    </w:p>
    <w:p>
      <w:pPr>
        <w:pStyle w:val="SourceNote"/>
      </w:pPr>
      <w:r>
        <w:rPr>
          <w:b/>
        </w:rPr>
        <w:t>Available abstract (not full text):</w:t>
      </w:r>
      <w:r>
        <w:t xml:space="preserve"> Objective: The objective of this paper is to identify the list of crash severity contributing factors and evaluate their impact on multiple-vehicle crashes on two high use Trans-European interurban, freight corridors in Spain (southern Europe): Madrid - Irùn and Barcelona – Almerìa.Methods: We have used both logistic regression and random forests to identify crash severity predictors and estimate their impacts on crash outcomes. Although both statistical methods can provide useful information to help explain the safety implications of highway crashes, using both methods may further enable a more comprehensive understanding of this phenomenon. For this effort, we disaggregated the crash data into different crash types (i.e., head-on, angle, sideswipe and rear-end) and analyzed this data using roadway design elements, driver characteristics, and environmental factors. To identify the most important predictors of crash severity, we used the random forests data mining approach. We then used ordered logit models to estimate the effect of external factors on the severity of each crash type. Finally, we assessed the accuracy of the model estimates using bootstrap sampling.Results: The results of data mining analyses indicated that roadway design factors such as horizontal and vertical curvature, super elevation, and lane and shoulder width are among the most important factors associat</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two, based, first;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Multispectral Models from Bare Soil Composites for Mapping Topsoil Properties over Europe — https://doi.org/10.3390/rs12091369</w:t>
      </w:r>
    </w:p>
    <w:p>
      <w:pPr/>
      <w:r>
        <w:rPr>
          <w:b/>
        </w:rPr>
        <w:t>Shared claim-specific concepts:</w:t>
      </w:r>
      <w:r>
        <w:t xml:space="preserve"> two, system, first, capacity; EU scope visible. This is a provisional connection, not an outcome finding.</w:t>
      </w:r>
    </w:p>
    <w:p>
      <w:pPr>
        <w:pStyle w:val="SourceNote"/>
      </w:pPr>
      <w:r>
        <w:rPr>
          <w:b/>
        </w:rPr>
        <w:t>Available abstract (not full text):</w:t>
      </w:r>
      <w:r>
        <w:t xml:space="preserve"> Reflectance of light across the visible, near-infrared and shortwave infrared (VIS-NIR-SWIR, 0.4–2.5 µm) spectral region is very useful for investigating mineralogical, physical and chemical properties of soils, which can reduce the need for traditional wet chemistry analyses. As many collections of multispectral satellite data are available for environmental studies, a large extent with medium resolution mapping could be benefited from the spectral measurements made from remote sensors. In this paper, we explored the use of bare soil composites generated from the large historical collections of Landsat images for mapping cropland topsoil attributes across the European extent. For this task, we used the Geospatial Soil Sensing System (GEOS3) for generating two bare soil composites of 30 m resolution (named synthetic soil images, SYSI), which were employed to represent the median topsoil reflectance of bare fields. The first (framed SYSI) was made with multitemporal images (2006–2012) framed to the survey time of the Land-Use/Land-Cover Area Frame Survey (LUCAS) soil dataset (2009), seeking to be more compatible to the soil condition upon the sampling campaign. The second (full SYSI) was generated from the full collection of Landsat images (1982–2018), which although displaced to the field survey, yields a higher proportion of bare areas for soil mapping. For evaluating the two </w:t>
      </w:r>
    </w:p>
    <w:p>
      <w:pPr/>
      <w:r>
        <w:rPr>
          <w:b/>
        </w:rPr>
        <w:t>POSSIBLE 2020:</w:t>
      </w:r>
      <w:r>
        <w:t xml:space="preserve"> The making of the New European Wind Atlas – Part 1: Model sensitivity — https://doi.org/10.5194/gmd-13-5053-2020</w:t>
      </w:r>
    </w:p>
    <w:p>
      <w:pPr/>
      <w:r>
        <w:rPr>
          <w:b/>
        </w:rPr>
        <w:t>Shared claim-specific concepts:</w:t>
      </w:r>
      <w:r>
        <w:t xml:space="preserve"> two, several, first, optimal; EU scope visible. This is a provisional connection, not an outcome finding.</w:t>
      </w:r>
    </w:p>
    <w:p>
      <w:pPr>
        <w:pStyle w:val="SourceNote"/>
      </w:pPr>
      <w:r>
        <w:rPr>
          <w:b/>
        </w:rPr>
        <w:t>Available abstract (not full text):</w:t>
      </w:r>
      <w:r>
        <w:t xml:space="preserve"> Abstract. This is the first of two papers that documents the creation of the New European Wind Atlas (NEWA). It describes the sensitivity analysis and evaluation procedures that formed the basis for choosing the final setup of the mesoscale model simulations of the wind atlas. An optimal combination of model setup and parameterisations was found for simulating the climatology of the wind field at turbine-relevant heights with the Weather Research and Forecasting (WRF) model. Initial WRF model sensitivity experiments compared the wind climate generated by using two commonly used planetary boundary layer schemes and were carried out over several regions in Europe. They confirmed that the largest differences in annual mean wind speed at 100 m above ground level mostly coincide with areas of high surface roughness length and not with the location of the domains or maximum wind speed. Then an ensemble of more than 50 simulations with different setups for a single year was carried out for one domain covering Northern Europe, for which tall mast observations were available. Many different parameters were varied across the simulations, for example, model version, forcing data, various physical parameterisations and the size of the model domain. These simulations showed that although virtually every parameter change affects the results in some way, significant changes on the wind climat</w:t>
      </w:r>
    </w:p>
    <w:p>
      <w:pPr>
        <w:pStyle w:val="Heading2"/>
      </w:pPr>
      <w:r>
        <w:t>678.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2023:</w:t>
      </w:r>
      <w:r>
        <w:t xml:space="preserve"> Homopositivity Across Europe: Predictors, Pathways, and Moderators — https://doi.org/10.1007/s10508-023-02531-8</w:t>
      </w:r>
    </w:p>
    <w:p>
      <w:pPr/>
      <w:r>
        <w:rPr>
          <w:b/>
        </w:rPr>
        <w:t>Shared claim-specific concepts:</w:t>
      </w:r>
      <w:r>
        <w:t xml:space="preserve"> pathways, socioeconomic, those;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pathways, support, vision;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Protective genes and pathways in Alzheimer’s disease: moving towards precision interventions — https://doi.org/10.1186/s13024-021-00452-5</w:t>
      </w:r>
    </w:p>
    <w:p>
      <w:pPr/>
      <w:r>
        <w:rPr>
          <w:b/>
        </w:rPr>
        <w:t>Shared claim-specific concepts:</w:t>
      </w:r>
      <w:r>
        <w:t xml:space="preserve"> pathways, moving, shift; EU scope not established. This is a provisional connection, not an outcome finding.</w:t>
      </w:r>
    </w:p>
    <w:p>
      <w:pPr>
        <w:pStyle w:val="SourceNote"/>
      </w:pPr>
      <w:r>
        <w:rPr>
          <w:b/>
        </w:rPr>
        <w:t>Available abstract (not full text):</w:t>
      </w:r>
      <w:r>
        <w:t xml:space="preserve"> Alzheimer's disease (AD) is a progressive, neurodegenerative disorder that is characterized by neurodegeneration, cognitive impairment, and an eventual inability to perform daily tasks. The etiology of Alzheimer's is complex, with numerous environmental and genetic factors contributing to the disease. Late-onset AD is highly heritable (60 to 80%), and over 40 risk loci for AD have been identified via large genome-wide association studies, most of which are common variants with small effect sizes. Although these discoveries have provided novel insight on biological contributors to AD, disease-modifying treatments remain elusive. Recently, the concepts of resistance to pathology and resilience against the downstream consequences of pathology have been of particular interest in the Alzheimer's field as studies continue to identify individuals who evade the pathology of the disease even into late life and individuals who have all of the neuropathological features of AD but evade downstream neurodegeneration and cognitive impairment. It has been hypothesized that a shift in focus from Alzheimer's risk to resilience presents an opportunity to uncover novel biological mechanisms of AD and to identify promising therapeutic targets for the disease. This review will highlight a selection of genes and variants that have been reported to confer protection from AD within the literature and </w:t>
      </w:r>
    </w:p>
    <w:p>
      <w:pPr/>
      <w:r>
        <w:rPr>
          <w:b/>
        </w:rPr>
        <w:t>POSSIBLE 2021:</w:t>
      </w:r>
      <w:r>
        <w:t xml:space="preserve"> Marketing Farmers’ Varieties in Europe: Encouraging Pathways with Missing Links for the Recognition and Support of Farmer Seed Systems — https://doi.org/10.3390/agronomy11112159</w:t>
      </w:r>
    </w:p>
    <w:p>
      <w:pPr/>
      <w:r>
        <w:rPr>
          <w:b/>
        </w:rPr>
        <w:t>Shared claim-specific concepts:</w:t>
      </w:r>
      <w:r>
        <w:t xml:space="preserve"> pathways, support, shows; EU scope visible. This is a provisional connection, not an outcome finding.</w:t>
      </w:r>
    </w:p>
    <w:p>
      <w:pPr>
        <w:pStyle w:val="SourceNote"/>
      </w:pPr>
      <w:r>
        <w:rPr>
          <w:b/>
        </w:rPr>
        <w:t>Available abstract (not full text):</w:t>
      </w:r>
      <w:r>
        <w:t xml:space="preserve"> Farmer seed systems come in many shades: Conserving, producing, and using diverse plant material for different motives and purposes, whether the conservation or selection of locally adapted plant varieties and populations, or the safeguard of social bonds to secure economic stability and integration into rural communities. In Europe, strict seed marketing rules, by viewing any exchange of seeds as commercial exploitation, have first outlawed these farmer seed systems and the varieties conserved and developed in these systems, before carving out limited space for them as derogations to the main regime that remains based on mandatory variety registration and certified seed production. Examining these spaces in the legislation of the European Union (‘EU’) and Switzerland, along with their practical implications on the ground, the article shows the conceptual shortcomings of the EU legislation to fully address all the characteristics of farmer seed systems, especially to recognize farmers’ innovation. It exposes the need to carefully define, assess and adjust the underlying objectives of the future EU legislative effort to register farmers’ varieties or allow for their exchange, to fully represent and address the complex socio-economic values and diversity of farmer seed systems. The success of these endeavors will lie in the truthful representation, but also the engagement of farm</w:t>
      </w:r>
    </w:p>
    <w:p>
      <w:pPr/>
      <w:r>
        <w:rPr>
          <w:b/>
        </w:rPr>
        <w:t>POSSIBLE 2021:</w:t>
      </w:r>
      <w:r>
        <w:t xml:space="preserve"> Unraveling pathways of elevated ozone induced by the 2020 lockdown in Europe by an observationally constrained regional model using TROPOMI — https://doi.org/10.5194/acp-21-18227-2021</w:t>
      </w:r>
    </w:p>
    <w:p>
      <w:pPr/>
      <w:r>
        <w:rPr>
          <w:b/>
        </w:rPr>
        <w:t>Shared claim-specific concepts:</w:t>
      </w:r>
      <w:r>
        <w:t xml:space="preserve"> pathways, support, gas, emissions, those; EU scope visible. This is a provisional connection, not an outcome finding.</w:t>
      </w:r>
    </w:p>
    <w:p>
      <w:pPr>
        <w:pStyle w:val="SourceNote"/>
      </w:pPr>
      <w:r>
        <w:rPr>
          <w:b/>
        </w:rPr>
        <w:t>Available abstract (not full text):</w:t>
      </w:r>
      <w:r>
        <w:t xml:space="preserve"> Abstract. Questions about how emissions are changing during the COVID-19 lockdown periods cannot be answered by observations of atmospheric trace gas concentrations alone, in part due to simultaneous changes in atmospheric transport, emissions, dynamics, photochemistry, and chemical feedback. A chemical transport model simulation benefiting from a multi-species inversion framework using well-characterized observations should differentiate those influences enabling to closely examine changes in emissions. This approach has another advantage in that we can, to a certain extent, disentangle the chemical and physical processes involved in the formation of ozone. Accordingly, we jointly constrain NOx and VOC emissions using well-characterized TROPOMI HCHO and NO2 columns during the months of March, April, and May 2020 (lockdown) and 2019 (baseline). We observe a noticeable decline in the magnitude of NOx emissions in March 2020 (14–31 %) in several major cities including Paris, London, Madrid, and Milan expanding further to Rome, Brussels, Frankfurt, Warsaw, Belgrade, Kyiv, and Moscow (34–51 %) in April. The large variability of changes in NOx emissions is indicative of different dates and the degree of restrictions enacted to prevent the spread of the virus. For instance, NOx emissions remain at somewhat similar values or even higher in northern Germany and Moscow in March 2020 com</w:t>
      </w:r>
    </w:p>
    <w:p>
      <w:pPr/>
      <w:r>
        <w:rPr>
          <w:b/>
        </w:rPr>
        <w:t>POSSIBLE 2020:</w:t>
      </w:r>
      <w:r>
        <w:t xml:space="preserve"> NORA moving forward: Developing an oyster restoration network in Europe to support the Berlin Oyster Recommendation — https://doi.org/10.1002/aqc.3447</w:t>
      </w:r>
    </w:p>
    <w:p>
      <w:pPr/>
      <w:r>
        <w:rPr>
          <w:b/>
        </w:rPr>
        <w:t>Shared claim-specific concepts:</w:t>
      </w:r>
      <w:r>
        <w:t xml:space="preserve"> support, moving, enhance; EU scope visible. This is a provisional connection, not an outcome finding.</w:t>
      </w:r>
    </w:p>
    <w:p>
      <w:pPr>
        <w:pStyle w:val="SourceNote"/>
      </w:pPr>
      <w:r>
        <w:rPr>
          <w:b/>
        </w:rPr>
        <w:t>Available abstract (not full text):</w:t>
      </w:r>
      <w:r>
        <w:t xml:space="preserve"> Abstract The Native Oyster Restoration Alliance (NORA) supports the protection and ecological restoration of the native European oyster, Ostrea edulis , and its habitat across its current and historical biogeographical range. NORA works to overcome barriers to the conservation, restoration, and recovery of the European oyster by providing a platform for the NORA community to collaborate and participate in knowledge exchange. NORA seeks to support responsible restoration practice, in compliance with biosecurity and sustainability. Against this background, the NORA community formulated a series of specific recommendations, the Berlin Oyster Recommendation, to support native oyster restoration by developing and applying best practice with the aim to recover healthy and resilient marine ecosystems. In combination with the Standards for Ecological Restoration (SER) and the Restoration Guidelines for Shellfish Reefs, the Berlin Oyster Recommendation is a relevant tool for successful and sustainable oyster restoration in Europe. The establishment of NORA working groups will support the implementation and further development of the six corresponding recommendations. Current NORA working groups cover site selection, biosecurity, production, and monitoring. The site selection working group will address the identification of suitable sites for oyster restoration to support policy relevant</w:t>
      </w:r>
    </w:p>
    <w:p>
      <w:pPr/>
      <w:r>
        <w:rPr>
          <w:b/>
        </w:rPr>
        <w:t>POSSIBLE 2020:</w:t>
      </w:r>
      <w:r>
        <w:t xml:space="preserve"> Moving Toward an Agenda on Ocean Health and Human Health in Europe — https://doi.org/10.3389/fmars.2020.00037</w:t>
      </w:r>
    </w:p>
    <w:p>
      <w:pPr/>
      <w:r>
        <w:rPr>
          <w:b/>
        </w:rPr>
        <w:t>Shared claim-specific concepts:</w:t>
      </w:r>
      <w:r>
        <w:t xml:space="preserve"> moving, actions, well-being; EU scope visible. This is a provisional connection, not an outcome finding.</w:t>
      </w:r>
    </w:p>
    <w:p>
      <w:pPr>
        <w:pStyle w:val="SourceNote"/>
      </w:pPr>
      <w:r>
        <w:rPr>
          <w:b/>
        </w:rPr>
        <w:t>Available abstract (not full text):</w:t>
      </w:r>
      <w:r>
        <w:t xml:space="preserve"> The integrated study of ocean health and human health is an emerging area of increasing global importance. Growing evidences demonstrate that the health of the ocean and the health of humans have always been and will continue to be, inextricably linked. Our actions towards the oceans will significantly influence the future of the whole planet and, in turn, our own health. The current review of these issues arose from a summer school in San Sebastian (Spain), from 5th-7th June, 2019. An interdisciplinary group of researchers discussed key risks (e.g. microbial pollution, pharmaceuticals, harmful algal blooms, plastic pollution) and benefits (e.g. bathing waters, recreation, tourism) of the seas and global ocean for humanity; and debated the future priorities and potential actions for a joint Oceans and Human Health research and governance programme in Europe. The aim of this review is to contribute to the emerging scientific agenda on ocean health and human health, as well as coordinate efforts with stakeholders, policy makers and the general public. This agenda operates within the larger context of the upcoming United Nations Decade of Ocean Science for Sustainable Development: 2021-2030, which strives to achieve the Sustainable Development Goals (SDG), including healthy (human) lives and well-being (SDG3) and conserving and sustainably using the oceans (SDG14), among others. I</w:t>
      </w:r>
    </w:p>
    <w:p>
      <w:pPr>
        <w:pStyle w:val="Heading2"/>
      </w:pPr>
      <w:r>
        <w:t>679.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2023:</w:t>
      </w:r>
      <w:r>
        <w:t xml:space="preserve"> Lifetime impact of achondroplasia study in Europe (LIAISE): findings from a multinational observational study — https://doi.org/10.1186/s13023-023-02652-2</w:t>
      </w:r>
    </w:p>
    <w:p>
      <w:pPr/>
      <w:r>
        <w:rPr>
          <w:b/>
        </w:rPr>
        <w:t>Shared claim-specific concepts:</w:t>
      </w:r>
      <w:r>
        <w:t xml:space="preserve"> findings, among, countries, population, between; EU scope visible. This is a provisional connection, not an outcome finding.</w:t>
      </w:r>
    </w:p>
    <w:p>
      <w:pPr>
        <w:pStyle w:val="SourceNote"/>
      </w:pPr>
      <w:r>
        <w:rPr>
          <w:b/>
        </w:rPr>
        <w:t>Available abstract (not full text):</w:t>
      </w:r>
      <w:r>
        <w:t xml:space="preserve">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findings, countries, between;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On Virtual Mobility in Three Central European Universities: Similar but Different? — https://doi.org/10.22381/kc11320235</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pPr/>
      <w:r>
        <w:rPr>
          <w:b/>
        </w:rPr>
        <w:t>POSSIBLE 2022:</w:t>
      </w:r>
      <w:r>
        <w:t xml:space="preserve"> The burden of mental disorders, substance use disorders and self-harm among young people in Europe, 1990–2019: Findings from the Global Burden of Disease Study 2019 — https://doi.org/10.1016/j.lanepe.2022.100341</w:t>
      </w:r>
    </w:p>
    <w:p>
      <w:pPr/>
      <w:r>
        <w:rPr>
          <w:b/>
        </w:rPr>
        <w:t>Shared claim-specific concepts:</w:t>
      </w:r>
      <w:r>
        <w:t xml:space="preserve"> findings, among, countries, population; EU scope visible. This is a provisional connection, not an outcome finding.</w:t>
      </w:r>
    </w:p>
    <w:p>
      <w:pPr>
        <w:pStyle w:val="SourceNote"/>
      </w:pPr>
      <w:r>
        <w:rPr>
          <w:b/>
        </w:rPr>
        <w:t>Available abstract (not full text):</w:t>
      </w:r>
      <w:r>
        <w:t xml:space="preserve">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pPr/>
      <w:r>
        <w:rPr>
          <w:b/>
        </w:rPr>
        <w:t>POSSIBLE 2022:</w:t>
      </w:r>
      <w:r>
        <w:t xml:space="preserve"> Oral health and quality of life: findings from the Survey of Health, Ageing and Retirement in Europe — https://doi.org/10.1186/s12903-022-02599-z</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pPr/>
      <w:r>
        <w:rPr>
          <w:b/>
        </w:rPr>
        <w:t>POSSIBLE 2021:</w:t>
      </w:r>
      <w:r>
        <w:t xml:space="preserve"> Digital Inequality Among States at a European Level — https://doi.org/10.4018/ijdldc.291969</w:t>
      </w:r>
    </w:p>
    <w:p>
      <w:pPr/>
      <w:r>
        <w:rPr>
          <w:b/>
        </w:rPr>
        <w:t>Shared claim-specific concepts:</w:t>
      </w:r>
      <w:r>
        <w:t xml:space="preserve"> findings, among, three, identifies, countries; EU scope visible. This is a provisional connection, not an outcome finding.</w:t>
      </w:r>
    </w:p>
    <w:p>
      <w:pPr>
        <w:pStyle w:val="SourceNote"/>
      </w:pPr>
      <w:r>
        <w:rPr>
          <w:b/>
        </w:rPr>
        <w:t>Available abstract (not full text):</w:t>
      </w:r>
      <w:r>
        <w:t xml:space="preserve"> For the past 25 years, digital inequalities have been analyzed by several scholars. Many empirical studies have shaped a theoretical framework that identifies three main digital divides. However, most of the scientific contributions have been focusing on digital inequalities within countries, leaving inequalities among countries behind. This paper aims at analyzing what kind of digital inequalities emerge among European countries, focusing on the trends that characterized Europe in the last decade, to consider whether some of the main elements of the digital divide literature replicate at the continental level. The paper analyzes secondary data, mainly retrieved from Eurostat. It emerges that inequalities in digital skills and use of the web persist in Europe, and some of the trends that scholars found among individuals are identifiable among countries as well. These findings contribute to the description of digital inequalities, a social phenomenon not so deeply studied at the continental level.</w:t>
      </w:r>
    </w:p>
    <w:p>
      <w:pPr/>
      <w:r>
        <w:rPr>
          <w:b/>
        </w:rPr>
        <w:t>POSSIBLE 2021:</w:t>
      </w:r>
      <w:r>
        <w:t xml:space="preserve"> Seroprevalence of SARS-CoV-2 IgG antibodies among health care workers prior to vaccine administration in Europe, the USA and East Asia: A systematic review and meta-analysis — https://doi.org/10.1016/j.eclinm.2021.100770</w:t>
      </w:r>
    </w:p>
    <w:p>
      <w:pPr/>
      <w:r>
        <w:rPr>
          <w:b/>
        </w:rPr>
        <w:t>Shared claim-specific concepts:</w:t>
      </w:r>
      <w:r>
        <w:t xml:space="preserve"> findings, among, three, countries, considered; EU scope visible. This is a provisional connection, not an outcome finding.</w:t>
      </w:r>
    </w:p>
    <w:p>
      <w:pPr>
        <w:pStyle w:val="SourceNote"/>
      </w:pPr>
      <w:r>
        <w:rPr>
          <w:b/>
        </w:rPr>
        <w:t>Available abstract (not full text):</w:t>
      </w:r>
      <w:r>
        <w:t xml:space="preserve"> BACKGROUND: Knowing the seroprevalence of SARS-CoV-2 IgG antibodies across geographic regions before vaccine administration is one key piece of knowledge to achieve herd immunity. While people of all ages, occupations, and communities are at risk of getting infected with SARS-CoV-2, the health care workers (HCWs) are possibly at the highest risk. Most seroprevalence surveys with HCWs conducted worldwide have been limited to Europe, North America, and East Asia. We aimed to understand how the seroprevalence of SARS-CoV-2 IgG antibodies varied across these geographic regions among HCWs based on the available evidences. METHODS: statistics. We performed sensitivity analyses based on sample size, diagnostic method and publication status. The study protocol was registered with PROSPERO (CRD42020219086). FINDINGS: A total of 53 peer-reviewed articles were selected, including 173,353 HCWs (32.7% male) from the United States, ten European, and three East Asian countries. The overall seropositive prevalence rate of IgG antibodies was 8.6% in these regions (95% CI= 7.2-9.9%). Pooled seroprevalence of IgG antibodies was higher in studies conducted in the USA (12.4%, 95% CI= 7.8-17%) than in Europe (7.7%, 95% CI=6.3-9.2%) and East Asia (4.8%, 95% CI=2.9-6.7%). The subgroup study also estimated that male HCWs had 9.4% (95% CI= 7.2-11.6%) IgG seroconversion, and female HCWs had 7.8% (95% CI=</w:t>
      </w:r>
    </w:p>
    <w:p>
      <w:pPr/>
      <w:r>
        <w:rPr>
          <w:b/>
        </w:rPr>
        <w:t>POSSIBLE 2020:</w:t>
      </w:r>
      <w:r>
        <w:t xml:space="preserve"> How Many Older Informal Caregivers Are There in Europe? Comparison of Estimates of Their Prevalence from Three European Surveys — https://doi.org/10.3390/ijerph17249531</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Informal caregivers are people providing some type of unpaid, ongoing assistance to a person with a chronic illness or disability. Long-term care measures and policies cannot take place without taking into account the quantitatively crucial role played by informal caregivers. We use the European Health Interview Survey (EHIS), the European Quality of Life Survey (EQLS), and the Study on Health and Ageing in Europe (SHARE) to measure the prevalence of informal caregivers in the European population, and analyze associated socio-demographic factors. This rate ranges between about 13 percent in Portugal and Spain, and more than 22 percent in Luxembourg, Belgium, and Denmark. It declines in older age groups and, on average, is lower in men than in women in all countries studied, and lower among the poorly educated compared to those with higher levels of education. However, large variance was observed in the average share of informal caregivers for most countries between the three surveys. Our findings, estimated through the three surveys, reveal common trends, but also a series of disparities. Additional research will be needed to enable policy makers to access a richer and more harmonized body of data, allowing them to adopt truly evidence-based and targeted policies and interventions in this field.</w:t>
      </w:r>
    </w:p>
    <w:p>
      <w:pPr/>
      <w:r>
        <w:rPr>
          <w:b/>
        </w:rPr>
        <w:t>POSSIBLE 2020:</w:t>
      </w:r>
      <w:r>
        <w:t xml:space="preserve"> Physical Inactivity among Ghanaians in Ghana and Ghanaian Migrants in Europe — https://doi.org/10.1249/mss.0000000000002357</w:t>
      </w:r>
    </w:p>
    <w:p>
      <w:pPr/>
      <w:r>
        <w:rPr>
          <w:b/>
        </w:rPr>
        <w:t>Shared claim-specific concepts:</w:t>
      </w:r>
      <w:r>
        <w:t xml:space="preserve"> findings, among, three; EU scope visible. This is a provisional connection, not an outcome finding.</w:t>
      </w:r>
    </w:p>
    <w:p>
      <w:pPr>
        <w:pStyle w:val="SourceNote"/>
      </w:pPr>
      <w:r>
        <w:rPr>
          <w:b/>
        </w:rPr>
        <w:t>Available abstract (not full text):</w:t>
      </w:r>
      <w:r>
        <w:t xml:space="preserve"> PURPOSE: There is a paucity of data on physical activity (PA) among migrants from sub-Saharan Africa, yet physical inactivity is a key risk factor for noncommunicable diseases. We examined the levels of physical inactivity and its determinants among Ghanaians in different geographical locations. METHODS: We used the Research on Obesity and Diabetes among African Migrants data of Ghanaian adults (n = 4760) age 25-70 yr in rural and urban Ghana and three European cities (Amsterdam, London, and Berlin). Using total physical activity metabolic equivalent of task, physical inactivity was defined as total physical activity metabolic equivalent of task minutes per week less than 600. Logistic regression was used to examine the differences in the levels and the determinants of physical inactivity across sites. RESULTS: Physical inactivity was higher among Ghanaian migrants (14.6% in Amsterdam, 24.1% in Berlin, and 36.6% in London) and urban Ghanaians (29.0%) compared with rural Ghanaians (11.2%). After adjustment for covariates (age, sex, education, health status, smoking status, body mass index, and social network) using rural Ghanaians as the comparator group, the odds ratios for physical inactivity in men ranged from 3.67 (95% confidence interval, 2.19-6.16) in urban Ghanaians to 10.37 (5.96-18.02) in London Ghanaians, and from 3.27 (2.46-4.35) in urban Ghanaians to 4.41 (3.12-6.22)</w:t>
      </w:r>
    </w:p>
    <w:p>
      <w:pPr>
        <w:pStyle w:val="Heading2"/>
      </w:pPr>
      <w:r>
        <w:t>680.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2021:</w:t>
      </w:r>
      <w:r>
        <w:t xml:space="preserve"> Fiscal Policy, Consumption and Current Account in the European Countries — https://doi.org/10.5281/zenodo.4686796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pPr/>
      <w:r>
        <w:rPr>
          <w:b/>
        </w:rPr>
        <w:t>POSSIBLE 2020:</w:t>
      </w:r>
      <w:r>
        <w:t xml:space="preserve"> European bird declines: Do we need to rethink approaches to the management of abundant generalist predators? — https://doi.org/10.1111/1365-2664.13695</w:t>
      </w:r>
    </w:p>
    <w:p>
      <w:pPr/>
      <w:r>
        <w:rPr>
          <w:b/>
        </w:rPr>
        <w:t>Shared claim-specific concepts:</w:t>
      </w:r>
      <w:r>
        <w:t xml:space="preserve"> current, decline, however, not; EU scope visible. This is a provisional connection, not an outcome finding.</w:t>
      </w:r>
    </w:p>
    <w:p>
      <w:pPr>
        <w:pStyle w:val="SourceNote"/>
      </w:pPr>
      <w:r>
        <w:rPr>
          <w:b/>
        </w:rPr>
        <w:t>Available abstract (not full text):</w:t>
      </w:r>
      <w:r>
        <w:t xml:space="preserve"> Abstract Bird species are declining across Europe. Current European policy, that is, the Birds and Habitats Directives, focus on habitat management as a way of halting the declines. This paper explores the role of predation in causing bird population declines and asks if we need to reconsider our approach to the management of generalist predators. We analysed bird population trends and distribution changes across Europe, Britain and Ireland, reflecting an increasing gradient of generalist predator abundance (principally red fox Vulpes vulpes and species of the family Corvidae). We tested if ground‐nesting bird species, considered more vulnerable to predation, were in greater decline compared to other nesting strategies. We also compared Annex I designated species to non‐designated species as a proxy for habitat management. We found that across Europe, 74% of ground‐nesting bird species were in decline, compared to 41% of other species. This was especially evident in Britain, where the pattern was 66% compared to 31%, and in Ireland, 71% compared to 20%. Ground‐nesting species were significantly more likely to be declining than other species. These patterns are consistent with the idea that population declines are at least partially related to the increased abundance of generalist predators. In Britain, ground‐nesting species were less likely to be in decline if covered by Annex</w:t>
      </w:r>
    </w:p>
    <w:p>
      <w:pPr/>
      <w:r>
        <w:rPr>
          <w:b/>
        </w:rPr>
        <w:t>POSSIBLE 2020:</w:t>
      </w:r>
      <w:r>
        <w:t xml:space="preserve"> Poland as the country with the steepest decline in per capita cigarette consumption in Europe — https://doi.org/10.18332/tpc/128479</w:t>
      </w:r>
    </w:p>
    <w:p>
      <w:pPr/>
      <w:r>
        <w:rPr>
          <w:b/>
        </w:rPr>
        <w:t>Shared claim-specific concepts:</w:t>
      </w:r>
      <w:r>
        <w:t xml:space="preserve"> average, decline, number; EU scope visible. This is a provisional connection, not an outcome finding.</w:t>
      </w:r>
    </w:p>
    <w:p>
      <w:pPr>
        <w:pStyle w:val="SourceNote"/>
      </w:pPr>
      <w:r>
        <w:rPr>
          <w:b/>
        </w:rPr>
        <w:t>Available abstract (not full text):</w:t>
      </w:r>
      <w:r>
        <w:t xml:space="preserve"> Background In recent years, we have seen the publication of several large studies and surveys allowing us to trace the changes in the exposure of European populations to tobacco. These included a publication on tobacco smoking in the European Union1, a Global Burden of Disease analysis2 and estimates of cigarette consumption for 713. Objectives To summarise the existing state of knowledge on cigarette consumption and smoking prevalence in European countries. To explore and analyse in-depth the case of Poland. Methods A ranking table and analysis of cigarette consumption and smoking prevalence in European countries between 1970 and 2015 were prepared. Results In the early 1990s, during political change in Eastern Europe, Poland had the highest per capita cigarette consumption in Europe (almost 4000 per annum) one of the highest smoking prevalence levels in the world (70% in men and 30% in women). After introducing wide-ranging tobacco control measures, Poland experienced a steady decline in cigarette consumption and smoking prevalence. The pace of decline in the number of cigarettes consumed per capita per annum was fastest in Poland and reached less than 1500 cigarettes per capita per annum in 2015. Currently, Poland is an average European country when it comes to smoking rates, with a prevalence of 26% in men and 17% in women. Conclusions The case of Poland illustrates that ap</w:t>
      </w:r>
    </w:p>
    <w:p>
      <w:pPr/>
      <w:r>
        <w:rPr>
          <w:b/>
        </w:rPr>
        <w:t>POSSIBLE 2020:</w:t>
      </w:r>
      <w:r>
        <w:t xml:space="preserve"> Smoking epidemic in Europe in the 21st century — https://doi.org/10.1136/tobaccocontrol-2020-055658</w:t>
      </w:r>
    </w:p>
    <w:p>
      <w:pPr/>
      <w:r>
        <w:rPr>
          <w:b/>
        </w:rPr>
        <w:t>Shared claim-specific concepts:</w:t>
      </w:r>
      <w:r>
        <w:t xml:space="preserve"> average, decline, reach; EU scope visible. This is a provisional connection, not an outcome finding.</w:t>
      </w:r>
    </w:p>
    <w:p>
      <w:pPr>
        <w:pStyle w:val="SourceNote"/>
      </w:pPr>
      <w:r>
        <w:rPr>
          <w:b/>
        </w:rPr>
        <w:t>Available abstract (not full text):</w:t>
      </w:r>
      <w:r>
        <w:t xml:space="preserve"> OBJECTIVE: To estimate smoking-attributable mortality in the long-term future in 29 European countries using a novel data-driven forecasting approach that integrates the wave pattern of the smoking epidemic and the cohort dimension. METHODS: We estimated and forecasted age-specific and age-standardised smoking-attributable mortality fractions (SAMF) and 95% projection intervals for 29 European countries by sex, 1950-2100, using age-period-cohort modelling with a generalised logit link function. We projected the (decelerating) period increases (women) by a quadratic curve to obtain future declines, and extrapolated the past period decline (men). In addition, we extrapolated the recent cohort trend. RESULTS: SAMF among men are projected to decline from, on average, 25% in 2014 (11% (Sweden)-41% (Hungary)) to 11% in 2040 (range: 6.3%-15.4%), 7% in 2065 (range: 5.9%-9.4%) and 6% in 2100. SAMF among women in 21 non-Eastern European countries, currently at an average of 16%, are projected to reach peak levels in 2013 (Northern Europe), 2019 (Western Europe), 2027 (Greece, Italy) and 2022 (Central Europe), with maximum levels of, on average, 17% (8% (Greece)-28% (Denmark)), and to decline to 10% in 2040 (range: 4%-20%), 5% in 2065 (range: 3.5%-7.6%) and 4% in 2100. For women, a short-term shift in the peak of the inverse U-shaped age pattern to higher ages is projected, and crossovers</w:t>
      </w:r>
    </w:p>
    <w:p>
      <w:pPr/>
      <w:r>
        <w:rPr>
          <w:b/>
        </w:rPr>
        <w:t>POSSIBLE 2020:</w:t>
      </w:r>
      <w:r>
        <w:t xml:space="preserve"> Decline of depressive symptoms in Europe: differential trends across the lifespan — https://doi.org/10.1007/s00127-020-01979-6</w:t>
      </w:r>
    </w:p>
    <w:p>
      <w:pPr/>
      <w:r>
        <w:rPr>
          <w:b/>
        </w:rPr>
        <w:t>Shared claim-specific concepts:</w:t>
      </w:r>
      <w:r>
        <w:t xml:space="preserve"> decline, however, not; EU scope visible. This is a provisional connection, not an outcome finding.</w:t>
      </w:r>
    </w:p>
    <w:p>
      <w:pPr>
        <w:pStyle w:val="SourceNote"/>
      </w:pPr>
      <w:r>
        <w:rPr>
          <w:b/>
        </w:rPr>
        <w:t>Available abstract (not full text):</w:t>
      </w:r>
      <w:r>
        <w:t xml:space="preserve"> PURPOSE: We examined changes in the burden of depressive symptoms between 2006 and 2014 in 18 European countries across different age groups. METHODS: We used population-based data drawn from the European Social Survey (N = 64.683, 54% female, age 14-90 years) covering 18 countries (Austria, Belgium, Denmark, Estonia, Finland, France, Germany, Great Britain, Hungary, Ireland, The Netherlands, Norway, Poland, Portugal, Slovenia, Spain, Sweden, Switzerland) from 2006 to 2014. Depressive symptoms were measured via the CES-D 8. Generalized additive models, multilevel regression, and linear regression analyses were conducted. RESULTS: We found a general decline in CES-D 8 scale scores in 2014 as compared with 2006, with only few exceptions in some countries. This decline was most strongly pronounced in older adults, less strongly in middle-aged adults, and least in young adults. Including education, health and income partially explained the decline in older but not younger or middle-aged adults. CONCLUSIONS: Burden of depressive symptoms decreased in most European countries between 2006 and 2014. However, the decline in depressive symptoms differed across age groups and was most strongly pronounced in older adults and least in younger adults. Future studies should investigate the mechanisms that contribute to these overall and differential changes over time in depressive symptoms.</w:t>
      </w:r>
    </w:p>
    <w:p>
      <w:pPr>
        <w:pStyle w:val="Heading2"/>
      </w:pPr>
      <w:r>
        <w:t>681.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2022:</w:t>
      </w:r>
      <w:r>
        <w:t xml:space="preserve"> role of trade unions in sport - the essence, features and perspectives — https://doi.org/10.12775/jehs.2022.12.10.009</w:t>
      </w:r>
    </w:p>
    <w:p>
      <w:pPr/>
      <w:r>
        <w:rPr>
          <w:b/>
        </w:rPr>
        <w:t>Shared claim-specific concepts:</w:t>
      </w:r>
      <w:r>
        <w:t xml:space="preserve"> taking, trade, perspective; EU scope visible. This is a provisional connection, not an outcome finding.</w:t>
      </w:r>
    </w:p>
    <w:p>
      <w:pPr>
        <w:pStyle w:val="SourceNote"/>
      </w:pPr>
      <w:r>
        <w:rPr>
          <w:b/>
        </w:rPr>
        <w:t>Available abstract (not full text):</w:t>
      </w:r>
      <w:r>
        <w:t xml:space="preserve">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pPr/>
      <w:r>
        <w:rPr>
          <w:b/>
        </w:rPr>
        <w:t>POSSIBLE 2021:</w:t>
      </w:r>
      <w:r>
        <w:t xml:space="preserve"> Perspectives on Trade and Structural Transformation — https://doi.org/10.3386/w28720</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pPr/>
      <w:r>
        <w:rPr>
          <w:b/>
        </w:rPr>
        <w:t>POSSIBLE 2019:</w:t>
      </w:r>
      <w:r>
        <w:t xml:space="preserve"> European antiquities trade: a refuge for money laundering and terrorism financing — https://doi.org/10.1108/jmlc-09-2017-0051</w:t>
      </w:r>
    </w:p>
    <w:p>
      <w:pPr/>
      <w:r>
        <w:rPr>
          <w:b/>
        </w:rPr>
        <w:t>Shared claim-specific concepts:</w:t>
      </w:r>
      <w:r>
        <w:t xml:space="preserve"> taking, trade, implications; EU scope visible. This is a provisional connection, not an outcome finding.</w:t>
      </w:r>
    </w:p>
    <w:p>
      <w:pPr>
        <w:pStyle w:val="SourceNote"/>
      </w:pPr>
      <w:r>
        <w:rPr>
          <w:b/>
        </w:rPr>
        <w:t>Available abstract (not full text):</w:t>
      </w:r>
      <w:r>
        <w:t xml:space="preserve"> Purpose This paper aims to demonstrate how criminals launder money in the antiquities trade in Austria, Germany, Liechtenstein and Switzerland. Design/methodology/approach A qualitative content analysis of 58 semi-structured expert interviews with both criminals and prevention experts and a quantitative survey of 184 compliance officers revealed the concrete techniques used to launder money in the European antiquities trade. Findings The antiquities market facilitates the placement, layering and integration of the transfer of assets to terrorist organizations. Most importantly, it is among the few profitable methods of laundering money. Research limitations/implications As the findings of the qualitative study are based on semi-standardized interviews, they are limited to the 58 interviewees’ perspectives. Practical implications The identification of concrete methods of money laundering and terrorism financing aims to provide compliance officers, law enforcement agencies and legislators with valuable insight into criminal activity. Originality/value While the existing literature focuses on organizations fighting money laundering and the financing of terrorism, this study instead describes how criminals avoid detection by taking into account prevention and criminal perspectives.</w:t>
      </w:r>
    </w:p>
    <w:p>
      <w:pPr/>
      <w:r>
        <w:rPr>
          <w:b/>
        </w:rPr>
        <w:t>POSSIBLE 2019:</w:t>
      </w:r>
      <w:r>
        <w:t xml:space="preserve"> Europe avoids conflicts with trading partners; Germany avoids a hard landing — https://doi.org/10.4324/9780429054006-28</w:t>
      </w:r>
    </w:p>
    <w:p>
      <w:pPr/>
      <w:r>
        <w:rPr>
          <w:b/>
        </w:rPr>
        <w:t>Shared claim-specific concepts:</w:t>
      </w:r>
      <w:r>
        <w:t xml:space="preserve"> taking, trade, perspective, current; EU scope visible. This is a provisional connection, not an outcome finding.</w:t>
      </w:r>
    </w:p>
    <w:p>
      <w:pPr>
        <w:pStyle w:val="SourceNote"/>
      </w:pPr>
      <w:r>
        <w:rPr>
          <w:b/>
        </w:rPr>
        <w:t>Available abstract (not full text):</w:t>
      </w:r>
      <w:r>
        <w:t xml:space="preserve"> The current eurozone is doomed to maintain high trade and current account surpluses, which will provoke currency and trade wars. This situation, difficult or impossible to resolve within the eurozone, will be able to resolve itself automatically after a return to national currencies. This chapter examines this question from the German perspective as well, as Germany’s current account surplus constitutes the bulk of the eurozone surplus. If Germany itself doesn’t manage to reduce this surplus in a controlled fashion, sooner or later it will happen as a result of changes in its trading partners’ policies or a global economic slowdown. In that case, the German economy may face a hard landing – a recession and growth in unemployment. The authors argue that the proposed strategy for a controlled dismantling of the eurozone will allow Germany to solve the problem of its persistent trade surpluses in a way that’s much gentler and safer than other potential methods. Taking into account the dangerous consequences of a potential crisis in Germany, a safe resolution of German surplus problem is in the interest of the entire European Union.</w:t>
      </w:r>
    </w:p>
    <w:p>
      <w:pPr>
        <w:pStyle w:val="Heading2"/>
      </w:pPr>
      <w:r>
        <w:t>682.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r>
        <w:rPr>
          <w:b/>
        </w:rPr>
        <w:t>POSSIBLE 2023:</w:t>
      </w:r>
      <w:r>
        <w:t xml:space="preserve"> Using Registration Data to Measure International and Internal Migration in the European Union: S. Makaryan — https://doi.org/10.1007/978-3-031-19631-7_41</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Mapping and modelling the main determinants of Migration Flows at the NUTS2 Level in European Union using Spatial Data Analysis Techniques — https://doi.org/10.2478/mmcks-2023-0032</w:t>
      </w:r>
    </w:p>
    <w:p>
      <w:pPr/>
      <w:r>
        <w:rPr>
          <w:b/>
        </w:rPr>
        <w:t>Shared claim-specific concepts:</w:t>
      </w:r>
      <w:r>
        <w:t xml:space="preserve"> data, migration, flows, between, international, countries; EU scope visible. This is a provisional connection, not an outcome finding.</w:t>
      </w:r>
    </w:p>
    <w:p>
      <w:pPr>
        <w:pStyle w:val="SourceNote"/>
      </w:pPr>
      <w:r>
        <w:rPr>
          <w:b/>
        </w:rPr>
        <w:t>Available abstract (not full text):</w:t>
      </w:r>
      <w:r>
        <w:t xml:space="preserve">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pPr/>
      <w:r>
        <w:rPr>
          <w:b/>
        </w:rPr>
        <w:t>POSSIBLE 2023:</w:t>
      </w:r>
      <w:r>
        <w:t xml:space="preserve"> Migration Practices in Europe: Economic and Cultural Factors — https://doi.org/10.22146/ijg.82169</w:t>
      </w:r>
    </w:p>
    <w:p>
      <w:pPr/>
      <w:r>
        <w:rPr>
          <w:b/>
        </w:rPr>
        <w:t>Shared claim-specific concepts:</w:t>
      </w:r>
      <w:r>
        <w:t xml:space="preserve"> data, migration, objective, countries; EU scope visible. This is a provisional connection, not an outcome finding.</w:t>
      </w:r>
    </w:p>
    <w:p>
      <w:pPr>
        <w:pStyle w:val="SourceNote"/>
      </w:pPr>
      <w:r>
        <w:rPr>
          <w:b/>
        </w:rPr>
        <w:t>Available abstract (not full text):</w:t>
      </w:r>
      <w:r>
        <w:t xml:space="preserve"> This research aimed to identify the economic and cultural factors of migration in Europe within the context of contemporary economic and social realities. To achieve the research objective, a comprehensive multi-stage research project was developed and implemented, incorporating the advantages of statistical analysis, monitoring, rating and summary statistics. The research relied on harmonized and validated statistical data from 48 European countries, divided into four sub-regions, serving as the informational foundation for the study. Using summary statistics on migration factors in the context of economic and cultural factors made it possible to demonstrate the importance of considering cultural human rights in the country’s migration policy. An interpretation of migration practices in Europe by this means enables us to highlight the cultural context as a determining indicator, based on an analysis of objective indicators in the development of migration processes. Furthermore, the study shows that the high quality of life and cultural attractiveness of the national policy stimulates the migration intentions of a person to seek out countries with more developed economies.The findings of this study hold relevance for policymakers and specialists in public administration, particularly those involved in the regulation and control of migration. Additionally, academic researchers c</w:t>
      </w:r>
    </w:p>
    <w:p>
      <w:pPr/>
      <w:r>
        <w:rPr>
          <w:b/>
        </w:rPr>
        <w:t>POSSIBLE 2022:</w:t>
      </w:r>
      <w:r>
        <w:t xml:space="preserve"> Searching for migration: estimating Japanese migration to Europe with Google Trends data — https://doi.org/10.1007/s11135-022-01560-0</w:t>
      </w:r>
    </w:p>
    <w:p>
      <w:pPr/>
      <w:r>
        <w:rPr>
          <w:b/>
        </w:rPr>
        <w:t>Shared claim-specific concepts:</w:t>
      </w:r>
      <w:r>
        <w:t xml:space="preserve"> data, used, migration, flows, predictions; EU scope visible. This is a provisional connection, not an outcome finding.</w:t>
      </w:r>
    </w:p>
    <w:p>
      <w:pPr>
        <w:pStyle w:val="SourceNote"/>
      </w:pPr>
      <w:r>
        <w:rPr>
          <w:b/>
        </w:rPr>
        <w:t>Available abstract (not full text):</w:t>
      </w:r>
      <w:r>
        <w:t xml:space="preserve"> In recent research, Google Trends data has been identified as a potentially useful data source to complement or even replace otherwise traditional data for predicting migration flows. However, the research on this is in its infancy, and as of yet suffers from a distinctive Western bias both in the topics covered as in the applicability of the methods. To examine its wider utility, this paper evaluates the predictive potential of Google Trends data, which captures Google search frequencies, but applies it to the case of Japanese migration flows to Europe. By doing so, we focus on some of the specific challenging aspects of the Japanese language, such as its various writing systems, and of its migration flows, characterized by its relative stability and sometimes limit size. In addition, this research investigates to what extent Google Trends data can be used to empirically test theory in the form of the aspirations and (cap)ability approach. The results show that after careful consideration, this method has the potential to reach satisfactory predictions, but that there are many obstacles to overcome. As such, sufficient care and prior investigation are paramount when attempting this method for less straightforward cases, and additional studies need to address some of the key limitations more in detail to validate or annul some of the findings presented here. Supplementary Infor</w:t>
      </w:r>
    </w:p>
    <w:p>
      <w:pPr>
        <w:pStyle w:val="Heading2"/>
      </w:pPr>
      <w:r>
        <w:t>683.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r>
        <w:rPr>
          <w:b/>
        </w:rPr>
        <w:t>POSSIBLE 2019:</w:t>
      </w:r>
      <w:r>
        <w:t xml:space="preserve"> Euromodernity's Undertone: On Reconceptualizing Political Speech — https://openalex.org/W2943803555</w:t>
      </w:r>
    </w:p>
    <w:p>
      <w:pPr/>
      <w:r>
        <w:rPr>
          <w:b/>
        </w:rPr>
        <w:t>Shared claim-specific concepts:</w:t>
      </w:r>
      <w:r>
        <w:t xml:space="preserve"> about, racialized, others, conditions; EU scope not established. This is a provisional connection, not an outcome finding.</w:t>
      </w:r>
    </w:p>
    <w:p>
      <w:pPr>
        <w:pStyle w:val="SourceNote"/>
      </w:pPr>
      <w:r>
        <w:rPr>
          <w:b/>
        </w:rPr>
        <w:t>Available abstract (not full text):</w:t>
      </w:r>
      <w:r>
        <w:t xml:space="preserve">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684.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2022:</w:t>
      </w:r>
      <w:r>
        <w:t xml:space="preserve"> Impact of external cost internalization on short sea shipping – The case of the Portugal-Northern Europe trade — https://doi.org/10.1016/j.trd.2022.103544</w:t>
      </w:r>
    </w:p>
    <w:p>
      <w:pPr/>
      <w:r>
        <w:rPr>
          <w:b/>
        </w:rPr>
        <w:t>Shared claim-specific concepts:</w:t>
      </w:r>
      <w:r>
        <w:t xml:space="preserve"> case, northern, used, regarding, different; EU scope visible. This is a provisional connection, not an outcome finding.</w:t>
      </w:r>
    </w:p>
    <w:p>
      <w:pPr>
        <w:pStyle w:val="SourceNote"/>
      </w:pPr>
      <w:r>
        <w:rPr>
          <w:b/>
        </w:rPr>
        <w:t>Available abstract (not full text):</w:t>
      </w:r>
      <w:r>
        <w:t xml:space="preserve">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pPr/>
      <w:r>
        <w:rPr>
          <w:b/>
        </w:rPr>
        <w:t>POSSIBLE 2022:</w:t>
      </w:r>
      <w:r>
        <w:t xml:space="preserve"> Epidemiological Trends of Human Monkeypox Cases in Northern, Southern, Western, and Eastern Regions in Europe: A Cross-Sectional Study — https://doi.org/10.1155/2022/4042962</w:t>
      </w:r>
    </w:p>
    <w:p>
      <w:pPr/>
      <w:r>
        <w:rPr>
          <w:b/>
        </w:rPr>
        <w:t>Shared claim-specific concepts:</w:t>
      </w:r>
      <w:r>
        <w:t xml:space="preserve"> northern, portugal, different; EU scope visible. This is a provisional connection, not an outcome finding.</w:t>
      </w:r>
    </w:p>
    <w:p>
      <w:pPr>
        <w:pStyle w:val="SourceNote"/>
      </w:pPr>
      <w:r>
        <w:rPr>
          <w:b/>
        </w:rPr>
        <w:t>Available abstract (not full text):</w:t>
      </w:r>
      <w:r>
        <w:t xml:space="preserve">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pPr/>
      <w:r>
        <w:rPr>
          <w:b/>
        </w:rPr>
        <w:t>POSSIBLE 2022:</w:t>
      </w:r>
      <w:r>
        <w:t xml:space="preserve"> The impact of the COVID-19 pandemic on Portuguese events: the case of Northern Portugal — https://doi.org/10.34190/ictr.15.1.209</w:t>
      </w:r>
    </w:p>
    <w:p>
      <w:pPr/>
      <w:r>
        <w:rPr>
          <w:b/>
        </w:rPr>
        <w:t>Shared claim-specific concepts:</w:t>
      </w:r>
      <w:r>
        <w:t xml:space="preserve"> case, northern, portugal, used, regarding; EU scope visible. This is a provisional connection, not an outcome finding.</w:t>
      </w:r>
    </w:p>
    <w:p>
      <w:pPr>
        <w:pStyle w:val="SourceNote"/>
      </w:pPr>
      <w:r>
        <w:rPr>
          <w:b/>
        </w:rPr>
        <w:t>Available abstract (not full text):</w:t>
      </w:r>
      <w:r>
        <w:t xml:space="preserve">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pPr/>
      <w:r>
        <w:rPr>
          <w:b/>
        </w:rPr>
        <w:t>POSSIBLE 2022:</w:t>
      </w:r>
      <w:r>
        <w:t xml:space="preserve"> Pastoralism, multifunctionality, and environmental agency: Insights from mountain sheep pastoralists in Northern Portugal — https://doi.org/10.1111/joac.12480</w:t>
      </w:r>
    </w:p>
    <w:p>
      <w:pPr/>
      <w:r>
        <w:rPr>
          <w:b/>
        </w:rPr>
        <w:t>Shared claim-specific concepts:</w:t>
      </w:r>
      <w:r>
        <w:t xml:space="preserve"> case, northern, portugal, trajectories; EU scope visible. This is a provisional connection, not an outcome finding.</w:t>
      </w:r>
    </w:p>
    <w:p>
      <w:pPr>
        <w:pStyle w:val="SourceNote"/>
      </w:pPr>
      <w:r>
        <w:rPr>
          <w:b/>
        </w:rPr>
        <w:t>Available abstract (not full text):</w:t>
      </w:r>
      <w:r>
        <w:t xml:space="preserve"> Abstract The idea of multifunctionality permeates European agriculture. Pastoralism is not spared and is valued as a vector of environmental management of the mountainous areas. Multifunctionality is nonetheless connected to entrepreneurial agriculture. Although entrepreneurship is disseminated in the European agricultural sector, little is known about the entrepreneurial evolution within traditional mountain pastoralist communities. This ethnographic paper builds on the case study of mountain sheep pastoralists in Braganza, Portugal, to augment this knowledge. It dives into the dynamics of production of sheep farming to uncover the cultural drivers of traditional pastoralism in Northern Portugal. Results show that pastoralists are unresponsive to the entrepreneurial narratives of multifunctionality as they respond to the occupational identity of shepherds in a moral economy of subsistence ethics. Pastoralists nevertheless exercise valuable environmental agency grounded in their condition as rural dwellers. Tailored narratives to their subsistence ethic are then required to rapidly address and valorize this environmental agency as new fire regimes progress and traditional pastoralism stands at the brink of extinction in Portugal. These results may ultimately contribute to the global literature and policy making on pastoralism, multifunctionality and environment: worldwide pasto</w:t>
      </w:r>
    </w:p>
    <w:p>
      <w:pPr/>
      <w:r>
        <w:rPr>
          <w:b/>
        </w:rPr>
        <w:t>POSSIBLE 2022:</w:t>
      </w:r>
      <w:r>
        <w:t xml:space="preserve"> Application of a Geobiodiversity Index to Natural Protected Areas in Northern Portugal — https://doi.org/10.5194/icg2022-722</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The majority of studies on geodiversity and geoheritage have been focused exclusively on the analysis and evaluation of abiotic elements. Although some authors have highlighted the important connections between abiotic and biotic elements, it was not enough to highlight them systematically. In this sense, it is necessary to do the geodiversity potential analysis in a more complete sense. That is, all elements should be contemplated. In the context of the project “Clictour - Climate change resilient tourism in protected areas of Northern Portugal”, three protected areas were chosen as case studies. These areas are located in northwest Portugal, namely the Peneda-Gerês National Park, the Alvão Natural Park, and the Litoral Norte Natural Park. Despite their geodiversity richness, these parks were established mainly based on their biodiversity. The objective of this proposal is the application of a geobiodiversity index. This index is based on the work done by Steinke (2021), which is capable of indicating the most relevant areas of geological, geomorphological, and vegetational aspects to be conserved within existing legal instruments. The methodological procedures were centered on segmenting the three areas in hexagonal cells. The parks were subjected to a spatial matrix analysis in GIS and geostatistical environments capable of articulating the various elements and generating an</w:t>
      </w:r>
    </w:p>
    <w:p>
      <w:pPr/>
      <w:r>
        <w:rPr>
          <w:b/>
        </w:rPr>
        <w:t>POSSIBLE 2022:</w:t>
      </w:r>
      <w:r>
        <w:t xml:space="preserve"> From Problematic Laggard to Star of the South? The Comparative Significance of the Portuguese Case — https://doi.org/10.1093/oxfordhb/9780192855404.013.1</w:t>
      </w:r>
    </w:p>
    <w:p>
      <w:pPr/>
      <w:r>
        <w:rPr>
          <w:b/>
        </w:rPr>
        <w:t>Shared claim-specific concepts:</w:t>
      </w:r>
      <w:r>
        <w:t xml:space="preserve"> case, northern, portugal, used; EU scope visible. This is a provisional connection, not an outcome finding.</w:t>
      </w:r>
    </w:p>
    <w:p>
      <w:pPr>
        <w:pStyle w:val="SourceNote"/>
      </w:pPr>
      <w:r>
        <w:rPr>
          <w:b/>
        </w:rPr>
        <w:t>Available abstract (not full text):</w:t>
      </w:r>
      <w:r>
        <w:t xml:space="preserve"> Abstract This chapter identifies points of major comparative and theoretical importance of the Portuguese case and reviews hypotheses that are potentially useful for explaining the country’s unusual record of performance and democratic practice. The chapter also considers alternative frames of reference that have been used to compare the Portuguese case with others. Portugal’s status as the pioneer of the worldwide Third Wave of democratization in 1974 marked a clear break in the country’s political development, even though the pre-democratization past continues to exert its influence in various ways. With the functioning of the institutions and political culture put in place by the 1974 Carnation Revolution and its aftermath, Portugal achieved remarkable progress on many dimensions of performance, such as political inclusion, and can be viewed as an unusually successful case. Indeed, according to some indicators, such as women’s participation in the labour force and certain types of cultural tastes, Portuguese data has come closer to the levels found in Northern Europe than the ones from the rest of Southern Europe. This chapters examines several potential explanations for this recent record, while offering important conceptual and theoretical lessons that extend well beyond the Portuguese case.</w:t>
      </w:r>
    </w:p>
    <w:p>
      <w:pPr/>
      <w:r>
        <w:rPr>
          <w:b/>
        </w:rPr>
        <w:t>POSSIBLE 2022:</w:t>
      </w:r>
      <w:r>
        <w:t xml:space="preserve"> Microplastic Contamination and Ecological Status of Freshwater Ecosystems: A Case Study in Two Northern Portuguese Rivers — https://doi.org/10.3390/ijerph192315956</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BACKGROUND: Most European rivers have not yet achieved "good" ecological status. In addition, the presence and abundance of microplastics (MPs) in freshwater is a matter of great concern to the scientific community. METHODOLOGY: This study assesses the ecological status of four sampling sites of Selho (S1-S4) and Costa-Couros (C1-C4) rivers (Guimarães, Portugal), and the abundance of MPs in sediments and benthic macroinvertebrates (Oligochaeta) from those sites. RESULTS: All sites of both rivers under higher pressure did not reach a "good" ecological status (S2-S3, C2-C4) based on the macroinvertebrate community. High levels of nutrients were observed at all sites in both rivers (except C2), especially phosphorus. In the Oligochaeta's gut of Costa-Couros river, the high number of MPs seems to be associated with their weight (95.25 ± 25.61 to 1069.00 ± 385.30 MPs g/fresh weight), suggesting the existence of malnutrition and digestive disorders, whereas the highest number of MPs in gut (134.00 ± 30.36 to 558.6 ± 100.70 MPs g/fresh weight) were found for the heaviest organisms of Selho. CONCLUSIONS: Thus, sites with higher ecological status do not necessarily have lower abundance of MPs. In the sediments, urbanization seems to be the main driver for MP contamination. MP contamination is pervasive across the sediments and Oligochaeta's gut in both rivers. Since MPs have the potenti</w:t>
      </w:r>
    </w:p>
    <w:p>
      <w:pPr/>
      <w:r>
        <w:rPr>
          <w:b/>
        </w:rPr>
        <w:t>POSSIBLE 2021:</w:t>
      </w:r>
      <w:r>
        <w:t xml:space="preserve"> Accessibility in European Peripheral Territories: Analyzing the Portuguese Mainland Connectivity Patterns from 1985 to 2020 — https://doi.org/10.3390/infrastructures6060092</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The inner periphery European countries, as is the case of Portugal, are characterized by poor access to essential areas and services of general and social relations. Contextually, this paper aims to explore the linkages between inner peripheries, ultra-peripherality concepts, and the concept of accessibility from 1985 to 2020, in parallel with the analysis of some demographic trends in the same research period. Thus, the study deals with accessibility and the analysis of accessibility-related spatial distribution to represent the traditional core—periphery pattern, with the highest accessibility in the center of the mainland and west coastal area, and the lowest accessibility in remote regions. The results show that the distribution of the road infrastructure is not uniform in Portugal. Furthermore, the NUTS II regions of PT13 Lisboa e Vale do Tejo (the Lisbon region) and PT11 Norte (northern Portugal) have the greatest road per km2. The Lisbon region has the highest concentration of national roads globally, while the northern region has the highest concentration of municipal roads. These two regions are, by far, the most densely populated, encompassing about ¾ of the national population and GDP.</w:t>
      </w:r>
    </w:p>
    <w:p>
      <w:pPr>
        <w:pStyle w:val="Heading2"/>
      </w:pPr>
      <w:r>
        <w:t>685.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2021:</w:t>
      </w:r>
      <w:r>
        <w:t xml:space="preserve"> Testing UNFC as a harmonized supporting tool for resource management in Europe — https://doi.org/10.5194/egusphere-egu21-15566</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potential, modelling, find;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r>
        <w:rPr>
          <w:b/>
        </w:rPr>
        <w:t>POSSIBLE 2020:</w:t>
      </w:r>
      <w:r>
        <w:t xml:space="preserve"> Environmental impacts of household appliances in Europe and scenarios for their impact reduction — https://doi.org/10.1016/j.jclepro.2020.121952</w:t>
      </w:r>
    </w:p>
    <w:p>
      <w:pPr/>
      <w:r>
        <w:rPr>
          <w:b/>
        </w:rPr>
        <w:t>Shared claim-specific concepts:</w:t>
      </w:r>
      <w:r>
        <w:t xml:space="preserve"> potential, method, several; EU scope visible. This is a provisional connection, not an outcome finding.</w:t>
      </w:r>
    </w:p>
    <w:p>
      <w:pPr>
        <w:pStyle w:val="SourceNote"/>
      </w:pPr>
      <w:r>
        <w:rPr>
          <w:b/>
        </w:rPr>
        <w:t>Available abstract (not full text):</w:t>
      </w:r>
      <w:r>
        <w:t xml:space="preserve"> Assessing the environmental impact due to consumption of goods and services is a pivotal step towards achieving the sustainable development goal related to responsible production and consumption (i.e. SDG 12). Household appliances plays a crucial role and should be assessed in a systemic manner, namely considering all life cycle stages, technological efficiency, and affluence aspects. The present study assess the impact of such household appliances used in Europe, and tests scenarios of potential impact reduction at various scales. Life cycle assessment is applied to 14 different household appliances (ranging from dishwashers to television devices) selected to build a set of representative products, based on their economic value and diffusion in households in Europe. Related impacts are calculated with the Environmental Footprint method for calculating a Consumer Footprint "appliances" for the baseline year 2010.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The baseline Consumer Footprint is confirming the importance of the use phase in leading the impacts in almost all impact categories. Testing different scenarios concl</w:t>
      </w:r>
    </w:p>
    <w:p>
      <w:pPr/>
      <w:r>
        <w:rPr>
          <w:b/>
        </w:rPr>
        <w:t>POSSIBLE 2020:</w:t>
      </w:r>
      <w:r>
        <w:t xml:space="preserve"> Matching CIE illuminants to measured spectral power distributions: A method to evaluate non-visual potential of daylight in two European cities — https://doi.org/10.1016/j.solener.2020.08.021</w:t>
      </w:r>
    </w:p>
    <w:p>
      <w:pPr/>
      <w:r>
        <w:rPr>
          <w:b/>
        </w:rPr>
        <w:t>Shared claim-specific concepts:</w:t>
      </w:r>
      <w:r>
        <w:t xml:space="preserve"> potential, method; EU scope visible. This is a provisional connection, not an outcome finding.</w:t>
      </w:r>
    </w:p>
    <w:p>
      <w:pPr>
        <w:pStyle w:val="SourceNote"/>
      </w:pPr>
      <w:r>
        <w:rPr>
          <w:b/>
        </w:rPr>
        <w:t>Available abstract (not full text):</w:t>
      </w:r>
      <w:r>
        <w:t xml:space="preserve"> The evaluation of non-visual effects of light is a crucial topic in lighting design research and practice. Performing such analysis requires precise information about the spectral distribution of the tested light source. Assessing non-visual effects of daylight is complicated due to its spectral composition continuously changing, depending on many factors. Currently there are no available databases with spectral and spatial radiation patterns of the sky vault for locations spread all over the world, and an easy and common method to evaluate non-visual effects of daylight is lacking. The goal of the paper is to provide a simple method to evaluate the non-visual potential of daylight, accounting for its variability. In order to present it, spectral measurements were conducted in two European cities in spring and summer. Horizontal and vertical illuminance toward the four cardinal directions was measured. Daylight variability was analysed in terms of illuminance, Correlated Colour Temperature (CCT) and Melanopic to Photopic (M/P) ratio. A comparison between the measured spectra and the CIE standard illuminants was performed and it was found that the usefulness of this method to evaluate non-visual effects of light in terms of M/P is adequate and provides reliable results. Therefore, a simple method to estimate the non-visual potential of daylight based on the use of D series of il</w:t>
      </w:r>
    </w:p>
    <w:p>
      <w:pPr/>
      <w:r>
        <w:rPr>
          <w:b/>
        </w:rPr>
        <w:t>POSSIBLE 2019:</w:t>
      </w:r>
      <w:r>
        <w:t xml:space="preserve"> Economic, geological and technical potential mapping test in Europe for GSHP systems — https://openalex.org/W2921479659</w:t>
      </w:r>
    </w:p>
    <w:p>
      <w:pPr/>
      <w:r>
        <w:rPr>
          <w:b/>
        </w:rPr>
        <w:t>Shared claim-specific concepts:</w:t>
      </w:r>
      <w:r>
        <w:t xml:space="preserve"> test, potential, method, several, sites; EU scope visible. This is a provisional connection, not an outcome finding.</w:t>
      </w:r>
    </w:p>
    <w:p>
      <w:pPr>
        <w:pStyle w:val="SourceNote"/>
      </w:pPr>
      <w:r>
        <w:rPr>
          <w:b/>
        </w:rPr>
        <w:t>Available abstract (not full text):</w:t>
      </w:r>
      <w:r>
        <w:t xml:space="preserve"> In order to promote the deployment of low enthalpy geothermal closed-loop systems at European scale, the definition and quantification of the feasibility and potential for different locations is fundamental. In particular, spatial information presented as thematic maps allow the decision process optimization, by identifying the most suitable areas and quantifying their economic and energetic potential. The mapping work described hereafter is related to the European project “Cheap-GSHPs”, which aims to reduce the total cost of ownership, composed out of investment and operating costs, by increasing the safety of shallow geothermal systems during installation and operation and by increasing the awareness of this technology throughout Europe. The work here presented is voted to merge all geological, climatic and energetic data, developing a method to map the techno-economic potential of closed-loop shallow geothermal systems (expressed as €/kW) applied in some test sites representative of main European contexts. Several databases have been created after the collection of geological, climatic, energetic, technological, environmental and economic data at European scale produced within the project. A large amount of numerical simulations were run to standardize 9 representative building types (residential and non- residential) and their energetic requirements in the identified 10 ref</w:t>
      </w:r>
    </w:p>
    <w:p>
      <w:pPr/>
      <w:r>
        <w:rPr>
          <w:b/>
        </w:rPr>
        <w:t>POSSIBLE 2019:</w:t>
      </w:r>
      <w:r>
        <w:t xml:space="preserve"> HIV testing strategies outside of health care settings in the European Union (EU)/European Economic Area (EEA): a systematic review to inform European Centre for Disease Prevention and Control guidance — https://doi.org/10.1111/hiv.12807</w:t>
      </w:r>
    </w:p>
    <w:p>
      <w:pPr/>
      <w:r>
        <w:rPr>
          <w:b/>
        </w:rPr>
        <w:t>Shared claim-specific concepts:</w:t>
      </w:r>
      <w:r>
        <w:t xml:space="preserve"> test, potential, several; EU scope visible. This is a provisional connection, not an outcome finding.</w:t>
      </w:r>
    </w:p>
    <w:p>
      <w:pPr>
        <w:pStyle w:val="SourceNote"/>
      </w:pPr>
      <w:r>
        <w:rPr>
          <w:b/>
        </w:rPr>
        <w:t>Available abstract (not full text):</w:t>
      </w:r>
      <w:r>
        <w:t xml:space="preserve"> OBJECTIVES: In recent years, new technologies and new approaches to scale up HIV testing have emerged. The objective of this paper was to synthesize the body of recent evidence on strategies aimed at increasing the uptake and coverage of HIV testing outside of health care settings in the European Union (EU)/European Economic Area (EEA). METHODS: Systematic searches to identify studies describing effective HIV testing interventions and barriers to testing were run in five databases (2010-2017) with no language restrictions; the grey literature was searched for similar unpublished studies (2014-2017). Study selection, data extraction and critical appraisal were performed by two independent reviewers following Preferred Reporting Items for Systematic Reviews and Meta-Analyses (PRISMA) guidelines. RESULTS: Eighty studies on HIV testing in non-health care settings were identified, the majority set in Northern Europe. Testing was implemented in 65 studies, with men who have sex with men the risk group most often targeted. Testing coverage and positivity/reactivity rates varied widely by setting and population group. However, testing in community and outreach settings was effective at reaching people who had never previously been tested and acceptability of HIV testing, particularly rapid testing, outside of health care settings was found to be high. Other interventions aimed to incre</w:t>
      </w:r>
    </w:p>
    <w:p>
      <w:pPr>
        <w:pStyle w:val="Heading2"/>
      </w:pPr>
      <w:r>
        <w:t>686.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2023:</w:t>
      </w:r>
      <w:r>
        <w:t xml:space="preserve"> There is no such thing as a validated prediction model — https://doi.org/10.1186/s12916-023-02779-w</w:t>
      </w:r>
    </w:p>
    <w:p>
      <w:pPr/>
      <w:r>
        <w:rPr>
          <w:b/>
        </w:rPr>
        <w:t>Shared claim-specific concepts:</w:t>
      </w:r>
      <w:r>
        <w:t xml:space="preserve"> prediction, support, not, but; EU scope not established. This is a provisional connection, not an outcome finding.</w:t>
      </w:r>
    </w:p>
    <w:p>
      <w:pPr>
        <w:pStyle w:val="SourceNote"/>
      </w:pPr>
      <w:r>
        <w:rPr>
          <w:b/>
        </w:rPr>
        <w:t>Available abstract (not full text):</w:t>
      </w:r>
      <w:r>
        <w:t xml:space="preserve">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pPr/>
      <w:r>
        <w:rPr>
          <w:b/>
        </w:rPr>
        <w:t>POSSIBLE 2020:</w:t>
      </w:r>
      <w:r>
        <w:t xml:space="preserve"> Prediction models for diagnosis and prognosis of covid-19: systematic review and critical appraisal — https://doi.org/10.1136/bmj.m1328</w:t>
      </w:r>
    </w:p>
    <w:p>
      <w:pPr/>
      <w:r>
        <w:rPr>
          <w:b/>
        </w:rPr>
        <w:t>Shared claim-specific concepts:</w:t>
      </w:r>
      <w:r>
        <w:t xml:space="preserve"> prediction, developed, support, also; EU scope not established. This is a provisional connection, not an outcome finding.</w:t>
      </w:r>
    </w:p>
    <w:p>
      <w:pPr>
        <w:pStyle w:val="SourceNote"/>
      </w:pPr>
      <w:r>
        <w:rPr>
          <w:b/>
        </w:rPr>
        <w:t>Available abstract (not full text):</w:t>
      </w:r>
      <w:r>
        <w:t xml:space="preserve"> Abstract Objective To review and appraise the validity and usefulness of published and preprint reports of prediction models for prognosis of patients with covid-19, and for detecting people in the general population at increased risk of covid-19 infection or being admitted to hospital or dying with the disease. Design Living systematic review and critical appraisal by the covid-PRECISE (Precise Risk Estimation to optimise covid-19 Care for Infected or Suspected patients in diverse sEttings) group. Data sources PubMed and Embase through Ovid, up to 17 February 2021, supplemented with arXiv, medRxiv, and bioRxiv up to 5 May 2020. Study selection Studies that developed or validated a multivariable covid-19 related prediction model. Data extraction At least two authors independently extracted data using the CHARMS (critical appraisal and data extraction for systematic reviews of prediction modelling studies) checklist; risk of bias was assessed using PROBAST (prediction model risk of bias assessment tool). Results 126 978 titles were screened, and 412 studies describing 731 new prediction models or validations were included. Of these 731, 125 were diagnostic models (including 75 based on medical imaging) and the remaining 606 were prognostic models for either identifying those at risk of covid-19 in the general population (13 models) or predicting diverse outcomes in those individ</w:t>
      </w:r>
    </w:p>
    <w:p>
      <w:pPr/>
      <w:r>
        <w:rPr>
          <w:b/>
        </w:rPr>
        <w:t>POSSIBLE 2020:</w:t>
      </w:r>
      <w:r>
        <w:t xml:space="preserve"> Calculating the sample size required for developing a clinical prediction model — https://doi.org/10.1136/bmj.m441</w:t>
      </w:r>
    </w:p>
    <w:p>
      <w:pPr/>
      <w:r>
        <w:rPr>
          <w:b/>
        </w:rPr>
        <w:t>Shared claim-specific concepts:</w:t>
      </w:r>
      <w:r>
        <w:t xml:space="preserve"> prediction, developed; EU scope not established. This is a provisional connection, not an outcome finding.</w:t>
      </w:r>
    </w:p>
    <w:p>
      <w:pPr>
        <w:pStyle w:val="SourceNote"/>
      </w:pPr>
      <w:r>
        <w:rPr>
          <w:b/>
        </w:rPr>
        <w:t>Available abstract (not full text):</w:t>
      </w:r>
      <w:r>
        <w:t xml:space="preserve"> Clinical prediction models aim to predict outcomes in individuals, to inform diagnosis or prognosis in healthcare. Hundreds of prediction models are published in the medical literature each year, yet many are developed using a dataset that is too small for the total number of participants or outcome events. This leads to inaccurate predictions and consequently incorrect healthcare decisions for some individuals. In this article, the authors provide guidance on how to calculate the sample size required to develop a clinical prediction model.</w:t>
      </w:r>
    </w:p>
    <w:p>
      <w:pPr/>
      <w:r>
        <w:rPr>
          <w:b/>
        </w:rPr>
        <w:t>POSSIBLE 2020:</w:t>
      </w:r>
      <w:r>
        <w:t xml:space="preserve"> Systematic review of prediction models for gestational hypertension and preeclampsia — https://doi.org/10.1371/journal.pone.0230955</w:t>
      </w:r>
    </w:p>
    <w:p>
      <w:pPr/>
      <w:r>
        <w:rPr>
          <w:b/>
        </w:rPr>
        <w:t>Shared claim-specific concepts:</w:t>
      </w:r>
      <w:r>
        <w:t xml:space="preserve"> prediction, developed, use, not, only; EU scope not established. This is a provisional connection, not an outcome finding.</w:t>
      </w:r>
    </w:p>
    <w:p>
      <w:pPr>
        <w:pStyle w:val="SourceNote"/>
      </w:pPr>
      <w:r>
        <w:rPr>
          <w:b/>
        </w:rPr>
        <w:t>Available abstract (not full text):</w:t>
      </w:r>
      <w:r>
        <w:t xml:space="preserve"> INTRODUCTION: Prediction models for gestational hypertension and preeclampsia have been developed with data and assumptions from developed countries. Their suitability and application for low resource settings have not been tested. This review aimed to identify and assess the methodological quality of prediction models for gestational hypertension and pre-eclampsia with reference to their application in low resource settings. METHODS: Using combinations of keywords for gestational hypertension, preeclampsia and prediction models seven databases were searched to identify prediction models developed with maternal data obtained before 20 weeks of pregnancy and including at least three predictors (Prospero registration CRD 42017078786). Prediction model characteristics and performance measures were extracted using the CHARMS, STROBE and TRIPOD checklists. The National Institute of Health quality assessment tools for observational cohort and cross-sectional studies were used for study quality appraisal. RESULTS: We retrieved 8,309 articles out of which 40 articles were eligible for review. Seventy-seven percent of all the prediction models combined biomarkers with maternal clinical characteristics. Biomarkers used as predictors in most models were pregnancy associated plasma protein-A (PAPP-A) and placental growth factor (PlGF). Only five studies were conducted in a low-and middle i</w:t>
      </w:r>
    </w:p>
    <w:p>
      <w:pPr/>
      <w:r>
        <w:rPr>
          <w:b/>
        </w:rPr>
        <w:t>POSSIBLE 2020:</w:t>
      </w:r>
      <w:r>
        <w:t xml:space="preserve"> Prediction models for childhood asthma: A systematic review — https://doi.org/10.1111/pai.13247</w:t>
      </w:r>
    </w:p>
    <w:p>
      <w:pPr/>
      <w:r>
        <w:rPr>
          <w:b/>
        </w:rPr>
        <w:t>Shared claim-specific concepts:</w:t>
      </w:r>
      <w:r>
        <w:t xml:space="preserve"> prediction, developed, not, but; EU scope not established. This is a provisional connection, not an outcome finding.</w:t>
      </w:r>
    </w:p>
    <w:p>
      <w:pPr>
        <w:pStyle w:val="SourceNote"/>
      </w:pPr>
      <w:r>
        <w:rPr>
          <w:b/>
        </w:rPr>
        <w:t>Available abstract (not full text):</w:t>
      </w:r>
      <w:r>
        <w:t xml:space="preserve"> BACKGROUND: The inability to objectively diagnose childhood asthma before age five often results in both under-treatment and over-treatment of asthma in preschool children. Prediction tools for estimating a child's risk of developing asthma by school-age could assist physicians in early asthma care for preschool children. This review aimed to systematically identify and critically appraise studies which either developed novel or updated existing prediction models for predicting school-age asthma. METHODS: Three databases (MEDLINE, Embase and Web of Science Core Collection) were searched up to July 2019 to identify studies utilizing information from children ≤5 years of age to predict asthma in school-age children (6-13 years). Validation studies were evaluated as a secondary objective. RESULTS: Twenty-four studies describing the development of 26 predictive models published between 2000 and 2019 were identified. Models were either regression-based (n = 21) or utilized machine learning approaches (n = 5). Nine studies conducted validations of six regression-based models. Fifteen (out of 21) models required additional clinical tests. Overall model performance, assessed by area under the receiver operating curve (AUC), ranged between 0.66 and 0.87. Models demonstrated moderate ability to either rule in or rule out asthma development, but not both. Where external validation was per</w:t>
      </w:r>
    </w:p>
    <w:p>
      <w:pPr/>
      <w:r>
        <w:rPr>
          <w:b/>
        </w:rPr>
        <w:t>POSSIBLE 2020:</w:t>
      </w:r>
      <w:r>
        <w:t xml:space="preserve"> Overview of clinical prediction models — https://doi.org/10.21037/atm.2019.11.121</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Clinical prediction models are becoming more and more popular over recent years, which could be used in not only medicine area but also other areas, such as engineering, mathematics, and computer science (1).</w:t>
      </w:r>
    </w:p>
    <w:p>
      <w:pPr/>
      <w:r>
        <w:rPr>
          <w:b/>
        </w:rPr>
        <w:t>POSSIBLE 2019:</w:t>
      </w:r>
      <w:r>
        <w:t xml:space="preserve"> Prediction Models for Suicide Attempts and Deaths — https://doi.org/10.1001/jamapsychiatry.2019.0174</w:t>
      </w:r>
    </w:p>
    <w:p>
      <w:pPr/>
      <w:r>
        <w:rPr>
          <w:b/>
        </w:rPr>
        <w:t>Shared claim-specific concepts:</w:t>
      </w:r>
      <w:r>
        <w:t xml:space="preserve"> prediction, developed, findings, use, implementing, concerns; EU scope not established. This is a provisional connection, not an outcome finding.</w:t>
      </w:r>
    </w:p>
    <w:p>
      <w:pPr>
        <w:pStyle w:val="SourceNote"/>
      </w:pPr>
      <w:r>
        <w:rPr>
          <w:b/>
        </w:rPr>
        <w:t>Available abstract (not full text):</w:t>
      </w:r>
      <w:r>
        <w:t xml:space="preserve"> Importance: Suicide prediction models have the potential to improve the identification of patients at heightened suicide risk by using predictive algorithms on large-scale data sources. Suicide prediction models are being developed for use across enterprise-level health care systems including the US Department of Defense, US Department of Veterans Affairs, and Kaiser Permanente. Objectives: To evaluate the diagnostic accuracy of suicide prediction models in predicting suicide and suicide attempts and to simulate the effects of implementing suicide prediction models using population-level estimates of suicide rates. Evidence Review: A systematic literature search was conducted in MEDLINE, PsycINFO, Embase, and the Cochrane Library to identify research evaluating the predictive accuracy of suicide prediction models in identifying patients at high risk for a suicide attempt or death by suicide. Each database was searched from inception to August 21, 2018. The search strategy included search terms for suicidal behavior, risk prediction, and predictive modeling. Reference lists of included studies were also screened. Two reviewers independently screened and evaluated eligible studies. Findings: From a total of 7306 abstracts reviewed, 17 cohort studies met the inclusion criteria, representing 64 unique prediction models across 5 countries with more than 14 million participants. The </w:t>
      </w:r>
    </w:p>
    <w:p>
      <w:pPr/>
      <w:r>
        <w:rPr>
          <w:b/>
        </w:rPr>
        <w:t>POSSIBLE 2019:</w:t>
      </w:r>
      <w:r>
        <w:t xml:space="preserve"> Prediction models for network-linked data — https://doi.org/10.1214/18-aoas1205</w:t>
      </w:r>
    </w:p>
    <w:p>
      <w:pPr/>
      <w:r>
        <w:rPr>
          <w:b/>
        </w:rPr>
        <w:t>Shared claim-specific concepts:</w:t>
      </w:r>
      <w:r>
        <w:t xml:space="preserve"> prediction, but; EU scope not established. This is a provisional connection, not an outcome finding.</w:t>
      </w:r>
    </w:p>
    <w:p>
      <w:pPr>
        <w:pStyle w:val="SourceNote"/>
      </w:pPr>
      <w:r>
        <w:rPr>
          <w:b/>
        </w:rPr>
        <w:t>Available abstract (not full text):</w:t>
      </w:r>
      <w:r>
        <w:t xml:space="preserve"> Prediction algorithms typically assume the training data are independent samples, but in many modern applications samples come from individuals connected by a network. For example, in adolescent health studies of risk-taking behaviors, information on the subjects’ social network is often available and plays an important role through network cohesion, the empirically observed phenomenon of friends behaving similarly. Taking cohesion into account in prediction models should allow us to improve their performance. Here we propose a network-based penalty on individual node effects to encourage similarity between predictions for linked nodes, and show that incorporating it into prediction leads to improvement over traditional models both theoretically and empirically when network cohesion is present. The penalty can be used with many loss-based prediction methods, such as regression, generalized linear models, and Cox’s proportional hazard model. Applications to predicting levels of recreational activity and marijuana usage among teenagers from the AddHealth study based on both demographic covariates and friendship networks are discussed in detail and show that our approach to taking friendships into account can significantly improve predictions of behavior while providing interpretable estimates of covariate effects.</w:t>
      </w:r>
    </w:p>
    <w:p>
      <w:pPr/>
      <w:r>
        <w:rPr>
          <w:b/>
        </w:rPr>
        <w:t>POSSIBLE 2019:</w:t>
      </w:r>
      <w:r>
        <w:t xml:space="preserve"> Prediction model — https://doi.org/10.6084/m9.figshare.11299298</w:t>
      </w:r>
    </w:p>
    <w:p>
      <w:pPr/>
      <w:r>
        <w:rPr>
          <w:b/>
        </w:rPr>
        <w:t>Shared claim-specific concepts:</w:t>
      </w:r>
      <w:r>
        <w:t xml:space="preserve"> prediction, developed; EU scope not established. This is a provisional connection, not an outcome finding.</w:t>
      </w:r>
    </w:p>
    <w:p>
      <w:pPr>
        <w:pStyle w:val="SourceNote"/>
      </w:pPr>
      <w:r>
        <w:rPr>
          <w:b/>
        </w:rPr>
        <w:t>Available abstract (not full text):</w:t>
      </w:r>
      <w:r>
        <w:t xml:space="preserve"> Prediction model developed</w:t>
      </w:r>
    </w:p>
    <w:p>
      <w:pPr>
        <w:pStyle w:val="Heading2"/>
      </w:pPr>
      <w:r>
        <w:t>687.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2023:</w:t>
      </w:r>
      <w:r>
        <w:t xml:space="preserve"> Storytelling at board meetings: A case study of co-developing recommendations — https://doi.org/10.35680/2372-0247.1742</w:t>
      </w:r>
    </w:p>
    <w:p>
      <w:pPr/>
      <w:r>
        <w:rPr>
          <w:b/>
        </w:rPr>
        <w:t>Shared claim-specific concepts:</w:t>
      </w:r>
      <w:r>
        <w:t xml:space="preserve"> case, recommendations, use, governance; EU scope not established. This is a provisional connection, not an outcome finding.</w:t>
      </w:r>
    </w:p>
    <w:p>
      <w:pPr>
        <w:pStyle w:val="SourceNote"/>
      </w:pPr>
      <w:r>
        <w:rPr>
          <w:b/>
        </w:rPr>
        <w:t>Available abstract (not full text):</w:t>
      </w:r>
      <w:r>
        <w:t xml:space="preserve">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pPr/>
      <w:r>
        <w:rPr>
          <w:b/>
        </w:rPr>
        <w:t>POSSIBLE 2023:</w:t>
      </w:r>
      <w:r>
        <w:t xml:space="preserve"> The challenges of developing accurate mood-based music recommendation systems: A Conceptual Case Investigation — https://doi.org/10.21203/rs.3.rs-3364709/v1</w:t>
      </w:r>
    </w:p>
    <w:p>
      <w:pPr/>
      <w:r>
        <w:rPr>
          <w:b/>
        </w:rPr>
        <w:t>Shared claim-specific concepts:</w:t>
      </w:r>
      <w:r>
        <w:t xml:space="preserve"> case, based, identifies; EU scope not established. This is a provisional connection, not an outcome finding.</w:t>
      </w:r>
    </w:p>
    <w:p>
      <w:pPr>
        <w:pStyle w:val="SourceNote"/>
      </w:pPr>
      <w:r>
        <w:rPr>
          <w:b/>
        </w:rPr>
        <w:t>Available abstract (not full text):</w:t>
      </w:r>
      <w:r>
        <w:t xml:space="preserve">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pPr/>
      <w:r>
        <w:rPr>
          <w:b/>
        </w:rPr>
        <w:t>POSSIBLE 2022:</w:t>
      </w:r>
      <w:r>
        <w:t xml:space="preserve"> Experts’ recommendations for developing academic staff’s research skills: a case in Vietnam — https://doi.org/10.28918/erudita.v2i2.6139</w:t>
      </w:r>
    </w:p>
    <w:p>
      <w:pPr/>
      <w:r>
        <w:rPr>
          <w:b/>
        </w:rPr>
        <w:t>Shared claim-specific concepts:</w:t>
      </w:r>
      <w:r>
        <w:t xml:space="preserve"> case, recommendations, experts; EU scope not established. This is a provisional connection, not an outcome finding.</w:t>
      </w:r>
    </w:p>
    <w:p>
      <w:pPr>
        <w:pStyle w:val="SourceNote"/>
      </w:pPr>
      <w:r>
        <w:rPr>
          <w:b/>
        </w:rPr>
        <w:t>Available abstract (not full text):</w:t>
      </w:r>
      <w:r>
        <w:t xml:space="preserve"> Due to many reasons, research productivity from Vietnamese lecturers has not been as good as expected, and their lack of research skills is dominant. Therefore, teacher professional development in enhancing lecturers’ research productivity has received more attention from institutional administrators and policymakers. This current study was conducted to explore the types of professional development activities, according Vietnamese educational experts, are solutions to lecturers’ research productivity. Twenty experts were engaging in a conference discussing what should be done to develop tertiary lecturers’ research productivity. The meeting minutes and conference reports were used as the data for further analyses. According to the data, the experts proposed three different professional development activities for enhancing their staff’s research productivity, including organizing training events for developing lecturers’ research skills and knowledge, formulating research teams according to their interests, and encouraging them to write and publish their studies throughout rewards and punishments. The findings are expected to contribute to dealing with the current issues related to research productivity and provide researchers interested in this field with practical ideas for further research.</w:t>
      </w:r>
    </w:p>
    <w:p>
      <w:pPr/>
      <w:r>
        <w:rPr>
          <w:b/>
        </w:rPr>
        <w:t>POSSIBLE 2022:</w:t>
      </w:r>
      <w:r>
        <w:t xml:space="preserve"> Report on the Decision Support Tools used in the FarFish case studies for developing Management Recommendations 2 — https://doi.org/10.5281/zenodo.6542462</w:t>
      </w:r>
    </w:p>
    <w:p>
      <w:pPr/>
      <w:r>
        <w:rPr>
          <w:b/>
        </w:rPr>
        <w:t>Shared claim-specific concepts:</w:t>
      </w:r>
      <w:r>
        <w:t xml:space="preserve"> case, recommendations, use, work; EU scope not established. This is a provisional connection, not an outcome finding.</w:t>
      </w:r>
    </w:p>
    <w:p>
      <w:pPr>
        <w:pStyle w:val="SourceNote"/>
      </w:pPr>
      <w:r>
        <w:rPr>
          <w:b/>
        </w:rPr>
        <w:t>Available abstract (not full text):</w:t>
      </w:r>
      <w:r>
        <w:t xml:space="preserve"> This document contains a report of the Decision support tools used for developing management recommendations (MRs) in each of the FarFish case studies. These tools have been selected in coordination with the production of the version two of the Management Recommendations for each case study. It continues the work program outlined in Deliverable 6.4 and 6.7 in collaboration with other work packages (WPs) of FarFish, mainly WP1, WP4 and WP7. The report shows the outputs of the satellite work in support of compliance. It summarizes the use of the FarFish-DLMtool developed for supporting stock assessment in data limited situations, including implementation, training applications and dissemination beyond FarFish. It also describes how some data limited methods were explored using small pelagics data from West Africa and the plan to use them to understand the effect of the environment on the population.</w:t>
      </w:r>
    </w:p>
    <w:p>
      <w:pPr/>
      <w:r>
        <w:rPr>
          <w:b/>
        </w:rPr>
        <w:t>POSSIBLE 2022:</w:t>
      </w:r>
      <w:r>
        <w:t xml:space="preserve"> Comparative Analysis, Use Recommendations, and Application Cases of Methods for Develop Ship Emission Inventories — https://doi.org/10.3390/atmos13081224</w:t>
      </w:r>
    </w:p>
    <w:p>
      <w:pPr/>
      <w:r>
        <w:rPr>
          <w:b/>
        </w:rPr>
        <w:t>Shared claim-specific concepts:</w:t>
      </w:r>
      <w:r>
        <w:t xml:space="preserve"> recommendations, use, based; EU scope not established. This is a provisional connection, not an outcome finding.</w:t>
      </w:r>
    </w:p>
    <w:p>
      <w:pPr>
        <w:pStyle w:val="SourceNote"/>
      </w:pPr>
      <w:r>
        <w:rPr>
          <w:b/>
        </w:rPr>
        <w:t>Available abstract (not full text):</w:t>
      </w:r>
      <w:r>
        <w:t xml:space="preserve"> Ship exhaust emissions have been considered as a significant source of air pollution that has an adverse impact on the global climate and human health. It is of vital importance to create an accurate ship emission inventory for the purpose of formulating effective control measures. A wide range of inventory compilation methods have been proposed around the globe, and there has long been a pressing need to analyze and compare these methods in depth. This study sorted out and categorized inventory compilation methods of ship emissions in recent decades. Five main methods were compared and analyzed by their applicability, complexity, time of calculation, accuracy of results, etc. In addition, a new method was proposed to develop an emission inventory based on a vessel energy consumption reporting system. This method is believed to have the potential advantages to produce results of higher accuracy and temporal and spatial resolutions. To perform the validation, three cases at different scales were selected in part of China and surrounding maritime waters (large-scale), the Yangtze River Delta region (medium-scale), and Tianjin Port (small-scale), respectively. The analysis results show that: each of methods have different technical characteristics. Computed results significantly between methods, with the maximum deviation of up to 87%. It is advisable that the optimal method shoul</w:t>
      </w:r>
    </w:p>
    <w:p>
      <w:pPr/>
      <w:r>
        <w:rPr>
          <w:b/>
        </w:rPr>
        <w:t>POSSIBLE 2022:</w:t>
      </w:r>
      <w:r>
        <w:t xml:space="preserve"> Developing Self-Advocacy Skills through Machine Learning Education: The Case of Ad Recommendation on Facebook — https://doi.org/10.1609/icwsm.v16i1.19337</w:t>
      </w:r>
    </w:p>
    <w:p>
      <w:pPr/>
      <w:r>
        <w:rPr>
          <w:b/>
        </w:rPr>
        <w:t>Shared claim-specific concepts:</w:t>
      </w:r>
      <w:r>
        <w:t xml:space="preserve"> case, recommendations, use, increased, experts; EU scope not established. This is a provisional connection, not an outcome finding.</w:t>
      </w:r>
    </w:p>
    <w:p>
      <w:pPr>
        <w:pStyle w:val="SourceNote"/>
      </w:pPr>
      <w:r>
        <w:rPr>
          <w:b/>
        </w:rPr>
        <w:t>Available abstract (not full text):</w:t>
      </w:r>
      <w:r>
        <w:t xml:space="preserve"> Facebook users interact with algorithms every day. These algorithms can perpetuate harm via incongruent targeted ads, echo chambers, or "rabbit hole" recommendations. Education around the machine learning (ML) behind Facebook (FB) can help users to point out algorithmic bias and harm, and advocate for themselves effectively when things go wrong. One algorithm that FB users interact with regularly is User-Based Collaborative Filtering (UB-CF) which provides the basis for ad recommendation. We contribute a novel research approach for teaching users about a commonly used algorithm in machine learning in real-world context -- an instructive web application using real examples built from the user's own FB data on ad interests. The instruction also prompts users to reflect on their interactions with ML systems, specifically Facebook. In a between-subjects design, we tested both Data Science Novices and Experts on the efficacy of the UB-CF instruction. Taking care to highlight the voices of marginalized users, we use the application as a prompt for surfacing potential harms perpetuated by FB ad recommendations, and qualitatively analyze themes of harm and proposed solutions provided by users themselves. The instruction increased comprehension of UB-CF for both groups, and we show that comprehension is associated with mentioning the mechanisms of the algorithm more in advocacy statemen</w:t>
      </w:r>
    </w:p>
    <w:p>
      <w:pPr/>
      <w:r>
        <w:rPr>
          <w:b/>
        </w:rPr>
        <w:t>POSSIBLE 2022:</w:t>
      </w:r>
      <w:r>
        <w:t xml:space="preserve"> An Analysis on Existing Energy Policies and future Policy Recommendations for Developing Nations: A case Study of Pakistan — https://doi.org/10.5281/zenodo.6421622</w:t>
      </w:r>
    </w:p>
    <w:p>
      <w:pPr/>
      <w:r>
        <w:rPr>
          <w:b/>
        </w:rPr>
        <w:t>Shared claim-specific concepts:</w:t>
      </w:r>
      <w:r>
        <w:t xml:space="preserve"> case, recommendations, alternative; EU scope not established. This is a provisional connection, not an outcome finding.</w:t>
      </w:r>
    </w:p>
    <w:p>
      <w:pPr>
        <w:pStyle w:val="SourceNote"/>
      </w:pPr>
      <w:r>
        <w:rPr>
          <w:b/>
        </w:rPr>
        <w:t>Available abstract (not full text):</w:t>
      </w:r>
      <w:r>
        <w:t xml:space="preserve"> Abstract: The existing energy policy is tilted in the favour of the fossil fuels, which has resulted in an ever-increasing cost and consumption graph. The paper discusses the supply and demand obtained from the existing data and future trends. The installation cost and overall cost associated with the renewable energy is analysed as an alternative to existing fossil fuel base. Finally, the policy implications and the analysis of the existing and future energy supply and demand are discussed in the paper.</w:t>
      </w:r>
    </w:p>
    <w:p>
      <w:pPr>
        <w:pStyle w:val="Heading2"/>
      </w:pPr>
      <w:r>
        <w:t>688.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r>
        <w:rPr>
          <w:b/>
        </w:rPr>
        <w:t>POSSIBLE 2023:</w:t>
      </w:r>
      <w:r>
        <w:t xml:space="preserve"> Sex and Gender Differences in Stroke and Their Practical Implications in Acute Care — https://doi.org/10.5853/jos.2022.04077</w:t>
      </w:r>
    </w:p>
    <w:p>
      <w:pPr/>
      <w:r>
        <w:rPr>
          <w:b/>
        </w:rPr>
        <w:t>Shared claim-specific concepts:</w:t>
      </w:r>
      <w:r>
        <w:t xml:space="preserve"> practical, implications, conclusions, provide; EU scope not established. This is a provisional connection, not an outcome finding.</w:t>
      </w:r>
    </w:p>
    <w:p>
      <w:pPr>
        <w:pStyle w:val="SourceNote"/>
      </w:pPr>
      <w:r>
        <w:rPr>
          <w:b/>
        </w:rPr>
        <w:t>Available abstract (not full text):</w:t>
      </w:r>
      <w:r>
        <w:t xml:space="preserve">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pPr/>
      <w:r>
        <w:rPr>
          <w:b/>
        </w:rPr>
        <w:t>POSSIBLE 2022:</w:t>
      </w:r>
      <w:r>
        <w:t xml:space="preserve"> THEORETICAL AND PRACTICAL ASPECTS REGARDING THE ISSUANCE OF EUROPEAN INVESTIGATION ORDER — https://openalex.org/W4365816987</w:t>
      </w:r>
    </w:p>
    <w:p>
      <w:pPr/>
      <w:r>
        <w:rPr>
          <w:b/>
        </w:rPr>
        <w:t>Shared claim-specific concepts:</w:t>
      </w:r>
      <w:r>
        <w:t xml:space="preserve"> practical, implications, conclusions, framework; EU scope visible. This is a provisional connection, not an outcome finding.</w:t>
      </w:r>
    </w:p>
    <w:p>
      <w:pPr>
        <w:pStyle w:val="SourceNote"/>
      </w:pPr>
      <w:r>
        <w:rPr>
          <w:b/>
        </w:rPr>
        <w:t>Available abstract (not full text):</w:t>
      </w:r>
      <w:r>
        <w:t xml:space="preserve">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pPr/>
      <w:r>
        <w:rPr>
          <w:b/>
        </w:rPr>
        <w:t>POSSIBLE 2022:</w:t>
      </w:r>
      <w:r>
        <w:t xml:space="preserve"> Globalization, Green Economy and Environmental Challenges: State of the Art Review for Practical Implications — https://doi.org/10.3389/fenvs.2022.870271</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pPr/>
      <w:r>
        <w:rPr>
          <w:b/>
        </w:rPr>
        <w:t>POSSIBLE 2022:</w:t>
      </w:r>
      <w:r>
        <w:t xml:space="preserve"> The European Union-Africa Migration Partnership: Asymmetry, Conditionality, and Rights Implications: Institutional Dimensions and Reform Pathways — https://doi.org/10.5281/zenodo.19519549</w:t>
      </w:r>
    </w:p>
    <w:p>
      <w:pPr/>
      <w:r>
        <w:rPr>
          <w:b/>
        </w:rPr>
        <w:t>Shared claim-specific concepts:</w:t>
      </w:r>
      <w:r>
        <w:t xml:space="preserve"> practical, implications; EU scope visible. This is a provisional connection, not an outcome finding.</w:t>
      </w:r>
    </w:p>
    <w:p>
      <w:pPr>
        <w:pStyle w:val="SourceNote"/>
      </w:pPr>
      <w:r>
        <w:rPr>
          <w:b/>
        </w:rPr>
        <w:t>Available abstract (not full text):</w:t>
      </w:r>
      <w:r>
        <w:t xml:space="preserve"> This article examines The European Union-Africa Migration Partnership: Asymmetry, Conditionality, and Rights Implications: Institutional Dimensions and Reform Pathways with a focused emphasis on Algeria within the field of Political Science. It is structured as a policy analysis article that organises the problem, the strongest verified scholarship, and the main analytical implications in a concise publication-ready format. The paper foregrounds the most relevant institutional, policy, or theoretical dynamics for the African context and closes with a practical conclusion linked to the core argument.</w:t>
      </w:r>
    </w:p>
    <w:p>
      <w:pPr/>
      <w:r>
        <w:rPr>
          <w:b/>
        </w:rPr>
        <w:t>POSSIBLE 2021:</w:t>
      </w:r>
      <w:r>
        <w:t xml:space="preserve"> How is human resource management research (not) helping practice? In defence of practical implications — https://doi.org/10.1111/1748-8583.12414</w:t>
      </w:r>
    </w:p>
    <w:p>
      <w:pPr/>
      <w:r>
        <w:rPr>
          <w:b/>
        </w:rPr>
        <w:t>Shared claim-specific concepts:</w:t>
      </w:r>
      <w:r>
        <w:t xml:space="preserve"> practical, implications, provide; EU scope not established. This is a provisional connection, not an outcome finding.</w:t>
      </w:r>
    </w:p>
    <w:p>
      <w:pPr>
        <w:pStyle w:val="SourceNote"/>
      </w:pPr>
      <w:r>
        <w:rPr>
          <w:b/>
        </w:rPr>
        <w:t>Available abstract (not full text):</w:t>
      </w:r>
      <w:r>
        <w:t xml:space="preserve"> Abstract This article provokes that human resource management (HRM) research is a long way from helping practice. Following a review of HRM empirical articles published in 2018, we show the limited focus academic journals place on practical implications. We provoke that HRM journals are failing to ‘do the right thing’ by not requiring authors to pay enough attention to communicating the practical implications of their research. In half of the articles that we reviewed (n = 324) less than 2% of the text focuses on practical implications. We also found that where practical implications were offered, they were often obscure, implicit, and used unintelligible terms. We argue for extensive practical implications to be included in publications that provide an impetus to research relevant topics and close the knowledge‐translation gap.</w:t>
      </w:r>
    </w:p>
    <w:p>
      <w:pPr/>
      <w:r>
        <w:rPr>
          <w:b/>
        </w:rPr>
        <w:t>POSSIBLE 2020:</w:t>
      </w:r>
      <w:r>
        <w:t xml:space="preserve"> Practical Implications From European Hospital Pharmacists on Prospective Risk Assessment for Medicine Shortages — https://doi.org/10.3389/fmed.2020.00407</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Objective This study aimed to obtain a comprehensive overview on the perception, attitudes and experience of European pharmacists with prospective risk assessment procedures in everyday practice, as well as to identify challenges and solutions. This is a follow-up study to the surveys on prospective risk assessment previously carried out within the COST Action 15105 among pharmacists across Europe. Methodology In-depth interviews were performed using an interview guide comprising 25 questions. Interviews were transcribed ad verbatim and imported into NVivo 10 for framework analysis. In NVivo, the interviews were coded through assigning text segments to a responding code from a coding tree, covering the full content of the interviews. Coded text segments were then charted into a matrix, and analyzed by interpreting all text segments per code. Results In total, 18 interviews were conducted. From the framework analysis, 6 codes and 12 sub-codes emerged. Overall, despite citing specific issues pertaining to its implementation, the interviewees considered multi-stakeholder and multi-disciplinary prospective risk assessment to be essential. While healthcare professionals reported being aware of the importance of risk assessment, they cited insufficient knowledge and skills to be a major obstacle in everyday practice. They also reported inadequate IT support since a paper-based system</w:t>
      </w:r>
    </w:p>
    <w:p>
      <w:pPr/>
      <w:r>
        <w:rPr>
          <w:b/>
        </w:rPr>
        <w:t>POSSIBLE 2019:</w:t>
      </w:r>
      <w:r>
        <w:t xml:space="preserve"> Artificial Intelligence in Clinical Decision Support: Challenges for Evaluating AI and Practical Implications — https://doi.org/10.1055/s-0039-1677903</w:t>
      </w:r>
    </w:p>
    <w:p>
      <w:pPr/>
      <w:r>
        <w:rPr>
          <w:b/>
        </w:rPr>
        <w:t>Shared claim-specific concepts:</w:t>
      </w:r>
      <w:r>
        <w:t xml:space="preserve"> practical, implications; EU scope visible. This is a provisional connection, not an outcome finding.</w:t>
      </w:r>
    </w:p>
    <w:p>
      <w:pPr>
        <w:pStyle w:val="SourceNote"/>
      </w:pPr>
      <w:r>
        <w:rPr>
          <w:b/>
        </w:rPr>
        <w:t>Available abstract (not full text):</w:t>
      </w:r>
      <w:r>
        <w:t xml:space="preserve"> OBJECTIVES: This paper draws attention to: i) key considerations for evaluating artificial intelligence (AI) enabled clinical decision support; and ii) challenges and practical implications of AI design, development, selection, use, and ongoing surveillance. METHOD: A narrative review of existing research and evaluation approaches along with expert perspectives drawn from the International Medical Informatics Association (IMIA) Working Group on Technology Assessment and Quality Development in Health Informatics and the European Federation for Medical Informatics (EFMI) Working Group for Assessment of Health Information Systems. RESULTS: There is a rich history and tradition of evaluating AI in healthcare. While evaluators can learn from past efforts, and build on best practice evaluation frameworks and methodologies, questions remain about how to evaluate the safety and effectiveness of AI that dynamically harness vast amounts of genomic, biomarker, phenotype, electronic record, and care delivery data from across health systems. This paper first provides a historical perspective about the evaluation of AI in healthcare. It then examines key challenges of evaluating AI-enabled clinical decision support during design, development, selection, use, and ongoing surveillance. Practical aspects of evaluating AI in healthcare, including approaches to evaluation and indicators to monito</w:t>
      </w:r>
    </w:p>
    <w:p>
      <w:pPr/>
      <w:r>
        <w:rPr>
          <w:b/>
        </w:rPr>
        <w:t>POSSIBLE 2019:</w:t>
      </w:r>
      <w:r>
        <w:t xml:space="preserve"> Conclusion, implications, and outlook — https://doi.org/10.4324/9780429021787-8</w:t>
      </w:r>
    </w:p>
    <w:p>
      <w:pPr/>
      <w:r>
        <w:rPr>
          <w:b/>
        </w:rPr>
        <w:t>Shared claim-specific concepts:</w:t>
      </w:r>
      <w:r>
        <w:t xml:space="preserve"> practical, implications, conclusions, basis; EU scope visible. This is a provisional connection, not an outcome finding.</w:t>
      </w:r>
    </w:p>
    <w:p>
      <w:pPr>
        <w:pStyle w:val="SourceNote"/>
      </w:pPr>
      <w:r>
        <w:rPr>
          <w:b/>
        </w:rPr>
        <w:t>Available abstract (not full text):</w:t>
      </w:r>
      <w:r>
        <w:t xml:space="preserve"> In this final chapter, conclusions are drawn on the results from the regression model and the constant comparative analysis and on this basis takes place the presentation of the dynamic Iceberg Model of LX learning for linguistic and cultural diverse contexts. Furthermore, implications as well as practical applications for teachers, parents, children, policymakers, and educationalists in both a local and broader European context are established. Finally, limitations regarding the used research methods and directions for future research are presented.</w:t>
      </w:r>
    </w:p>
    <w:p>
      <w:pPr/>
      <w:r>
        <w:rPr>
          <w:b/>
        </w:rPr>
        <w:t>POSSIBLE 2019:</w:t>
      </w:r>
      <w:r>
        <w:t xml:space="preserve"> Education Research At Risk In Europe: What are the scientific, ethical, political and practical implications? — https://openalex.org/W4412337840</w:t>
      </w:r>
    </w:p>
    <w:p>
      <w:pPr/>
      <w:r>
        <w:rPr>
          <w:b/>
        </w:rPr>
        <w:t>Shared claim-specific concepts:</w:t>
      </w:r>
      <w:r>
        <w:t xml:space="preserve"> practical, implications, conclusions, provide; EU scope visible. This is a provisional connection, not an outcome finding.</w:t>
      </w:r>
    </w:p>
    <w:p>
      <w:pPr>
        <w:pStyle w:val="SourceNote"/>
      </w:pPr>
      <w:r>
        <w:rPr>
          <w:b/>
        </w:rPr>
        <w:t>Available abstract (not full text):</w:t>
      </w:r>
      <w:r>
        <w:t xml:space="preserve"> As the ECER 2019 theme emphasizes, in an era increasingly perceived as unstable, unsustainable and at risk, educational processes, developments and capacity building become uncertain. Educational research (ER) is seen as having a pivotal role to play in generating answers to the many questions arising from this unstable landscape. However, ER itself is not exempt from risks that can hinder the ability to deal with this task. This workshop examines the types of risk that contemporary scholars struggle with and engage with different efforts tonavigate such a landscape of risk in order to ensure the continued relevance and impact of ER. Examples from such a landscape of risk could be how scholars in many countries face violence, prosecution or restrictions (SAR, 2018). Scholars are at times forced to limit their activities and mobility, or face isolation from the scientific community. Moreover, academic freedom is also at risk beyond the individual level: worldwide, a number of HE organisations are currently under attack, suffering political coercion and intimidation, and even forced to shut down or relocate (Karran et al., 2017). ER is also at risk for institutional reasons, as some public authorities and private companies investing in research push scholars to soften or eliminate conclusions that are not in line with the results they expect (Drenth, 2010). Another fundamental ri</w:t>
      </w:r>
    </w:p>
    <w:p>
      <w:pPr>
        <w:pStyle w:val="Heading2"/>
      </w:pPr>
      <w:r>
        <w:t>689.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r>
        <w:rPr>
          <w:b/>
        </w:rPr>
        <w:t>POSSIBLE 2023:</w:t>
      </w:r>
      <w:r>
        <w:t xml:space="preserve"> Greenhouse gas emissions and Green Deal in the European Union — https://doi.org/10.3389/fenvs.2023.1141473</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r>
        <w:rPr>
          <w:b/>
        </w:rPr>
        <w:t>POSSIBLE 2022:</w:t>
      </w:r>
      <w:r>
        <w:t xml:space="preserve"> Determinants of Reducing Greenhouse Gas Emissions in European Union Countries — https://doi.org/10.3390/en15249561</w:t>
      </w:r>
    </w:p>
    <w:p>
      <w:pPr/>
      <w:r>
        <w:rPr>
          <w:b/>
        </w:rPr>
        <w:t>Shared claim-specific concepts:</w:t>
      </w:r>
      <w:r>
        <w:t xml:space="preserve"> greenhouse, gas, emissions, compared, reduction; EU scope visible. This is a provisional connection, not an outcome finding.</w:t>
      </w:r>
    </w:p>
    <w:p>
      <w:pPr>
        <w:pStyle w:val="SourceNote"/>
      </w:pPr>
      <w:r>
        <w:rPr>
          <w:b/>
        </w:rPr>
        <w:t>Available abstract (not full text):</w:t>
      </w:r>
      <w:r>
        <w:t xml:space="preserve">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aims, reduce, greenhouse, gas, emissions;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r>
        <w:rPr>
          <w:b/>
        </w:rPr>
        <w:t>POSSIBLE 2021:</w:t>
      </w:r>
      <w:r>
        <w:t xml:space="preserve"> Greenhouse Gas Emissions and Health in the Countries of the European Union — https://doi.org/10.3389/fpubh.2021.756652</w:t>
      </w:r>
    </w:p>
    <w:p>
      <w:pPr/>
      <w:r>
        <w:rPr>
          <w:b/>
        </w:rPr>
        <w:t>Shared claim-specific concepts:</w:t>
      </w:r>
      <w:r>
        <w:t xml:space="preserve"> greenhouse, gas, emissions, compared, ghg;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690.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2024:</w:t>
      </w:r>
      <w:r>
        <w:t xml:space="preserve"> Reducing greenhouse gases from ruminants: a Korean perspective — https://doi.org/10.5187/ait.2024.11.2.93</w:t>
      </w:r>
    </w:p>
    <w:p>
      <w:pPr/>
      <w:r>
        <w:rPr>
          <w:b/>
        </w:rPr>
        <w:t>Shared claim-specific concepts:</w:t>
      </w:r>
      <w:r>
        <w:t xml:space="preserve"> aims, reduce, greenhouse, gas, provide, energy; EU scope visible. This is a provisional connection, not an outcome finding.</w:t>
      </w:r>
    </w:p>
    <w:p>
      <w:pPr>
        <w:pStyle w:val="SourceNote"/>
      </w:pPr>
      <w:r>
        <w:rPr>
          <w:b/>
        </w:rPr>
        <w:t>Available abstract (not full text):</w:t>
      </w:r>
      <w:r>
        <w:t xml:space="preserve">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aims, reduce, greenhouse, gas, emissions, compared;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On the issue of reducing greenhouse gas emissions from the combustion of organic fuels — https://doi.org/10.18799/24131830/2023/11/4122</w:t>
      </w:r>
    </w:p>
    <w:p>
      <w:pPr/>
      <w:r>
        <w:rPr>
          <w:b/>
        </w:rPr>
        <w:t>Shared claim-specific concepts:</w:t>
      </w:r>
      <w:r>
        <w:t xml:space="preserve"> greenhouse, gas, emissions, reduction, energy; EU scope visible. This is a provisional connection, not an outcome finding.</w:t>
      </w:r>
    </w:p>
    <w:p>
      <w:pPr>
        <w:pStyle w:val="SourceNote"/>
      </w:pPr>
      <w:r>
        <w:rPr>
          <w:b/>
        </w:rPr>
        <w:t>Available abstract (not full text):</w:t>
      </w:r>
      <w:r>
        <w:t xml:space="preserve">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pPr/>
      <w:r>
        <w:rPr>
          <w:b/>
        </w:rPr>
        <w:t>POSSIBLE 2023:</w:t>
      </w:r>
      <w:r>
        <w:t xml:space="preserve"> Greenhouse gas emissions and Green Deal in the European Union — https://doi.org/10.3389/fenvs.2023.1141473</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pPr/>
      <w:r>
        <w:rPr>
          <w:b/>
        </w:rPr>
        <w:t>POSSIBLE 2022:</w:t>
      </w:r>
      <w:r>
        <w:t xml:space="preserve"> Determinants of Reducing Greenhouse Gas Emissions in European Union Countries — https://doi.org/10.3390/en15249561</w:t>
      </w:r>
    </w:p>
    <w:p>
      <w:pPr/>
      <w:r>
        <w:rPr>
          <w:b/>
        </w:rPr>
        <w:t>Shared claim-specific concepts:</w:t>
      </w:r>
      <w:r>
        <w:t xml:space="preserve"> greenhouse, gas, emissions, compared, reduction; EU scope visible. This is a provisional connection, not an outcome finding.</w:t>
      </w:r>
    </w:p>
    <w:p>
      <w:pPr>
        <w:pStyle w:val="SourceNote"/>
      </w:pPr>
      <w:r>
        <w:rPr>
          <w:b/>
        </w:rPr>
        <w:t>Available abstract (not full text):</w:t>
      </w:r>
      <w:r>
        <w:t xml:space="preserve">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pPr/>
      <w:r>
        <w:rPr>
          <w:b/>
        </w:rPr>
        <w:t>POSSIBLE 2022:</w:t>
      </w:r>
      <w:r>
        <w:t xml:space="preserve"> Reducing the environmental footprint of gastrointestinal endoscopy: European Society of Gastrointestinal Endoscopy (ESGE) and European Society of Gastroenterology and Endoscopy Nurses and Associates (ESGENA) Position Statement — https://doi.org/10.1055/a-1859-3726</w:t>
      </w:r>
    </w:p>
    <w:p>
      <w:pPr/>
      <w:r>
        <w:rPr>
          <w:b/>
        </w:rPr>
        <w:t>Shared claim-specific concepts:</w:t>
      </w:r>
      <w:r>
        <w:t xml:space="preserve"> aims, reduce, greenhouse, gas, emissions; EU scope visible. This is a provisional connection, not an outcome finding.</w:t>
      </w:r>
    </w:p>
    <w:p>
      <w:pPr>
        <w:pStyle w:val="SourceNote"/>
      </w:pPr>
      <w:r>
        <w:rPr>
          <w:b/>
        </w:rPr>
        <w:t>Available abstract (not full text):</w:t>
      </w:r>
      <w:r>
        <w:t xml:space="preserve">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r>
        <w:rPr>
          <w:b/>
        </w:rPr>
        <w:t>POSSIBLE 2021:</w:t>
      </w:r>
      <w:r>
        <w:t xml:space="preserve"> Greenhouse Gas Emissions and Health in the Countries of the European Union — https://doi.org/10.3389/fpubh.2021.756652</w:t>
      </w:r>
    </w:p>
    <w:p>
      <w:pPr/>
      <w:r>
        <w:rPr>
          <w:b/>
        </w:rPr>
        <w:t>Shared claim-specific concepts:</w:t>
      </w:r>
      <w:r>
        <w:t xml:space="preserve"> greenhouse, gas, emissions, compared, ghg;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691.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2022:</w:t>
      </w:r>
      <w:r>
        <w:t xml:space="preserve"> WHAT AFFECTS THE FINANCIAL STRUCTURE OF FIRMS IN THE ICT INDUSTRY IN SELECTED EUROPEAN COUNTRIES — https://doi.org/10.25142/aak.2022.016</w:t>
      </w:r>
    </w:p>
    <w:p>
      <w:pPr/>
      <w:r>
        <w:rPr>
          <w:b/>
        </w:rPr>
        <w:t>Shared claim-specific concepts:</w:t>
      </w:r>
      <w:r>
        <w:t xml:space="preserve"> affect, industry, different; EU scope visible. This is a provisional connection, not an outcome finding.</w:t>
      </w:r>
    </w:p>
    <w:p>
      <w:pPr>
        <w:pStyle w:val="SourceNote"/>
      </w:pPr>
      <w:r>
        <w:rPr>
          <w:b/>
        </w:rPr>
        <w:t>Available abstract (not full text):</w:t>
      </w:r>
      <w:r>
        <w:t xml:space="preserve">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pPr/>
      <w:r>
        <w:rPr>
          <w:b/>
        </w:rPr>
        <w:t>POSSIBLE 2022:</w:t>
      </w:r>
      <w:r>
        <w:t xml:space="preserve"> Ship of Darkness: Jazz and/as Affect in the Global Cruise Industry — https://doi.org/10.5406/25784773.5.2.02</w:t>
      </w:r>
    </w:p>
    <w:p>
      <w:pPr/>
      <w:r>
        <w:rPr>
          <w:b/>
        </w:rPr>
        <w:t>Shared claim-specific concepts:</w:t>
      </w:r>
      <w:r>
        <w:t xml:space="preserve"> affect, industry, notably; EU scope not established. This is a provisional connection, not an outcome finding.</w:t>
      </w:r>
    </w:p>
    <w:p>
      <w:pPr>
        <w:pStyle w:val="SourceNote"/>
      </w:pPr>
      <w:r>
        <w:rPr>
          <w:b/>
        </w:rPr>
        <w:t>Available abstract (not full text):</w:t>
      </w:r>
      <w:r>
        <w:t xml:space="preserve">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pPr/>
      <w:r>
        <w:rPr>
          <w:b/>
        </w:rPr>
        <w:t>POSSIBLE 2019:</w:t>
      </w:r>
      <w:r>
        <w:t xml:space="preserve"> Estimating the waste heat recovery in the European Union Industry — https://doi.org/10.1007/s40974-019-00132-7</w:t>
      </w:r>
    </w:p>
    <w:p>
      <w:pPr/>
      <w:r>
        <w:rPr>
          <w:b/>
        </w:rPr>
        <w:t>Shared claim-specific concepts:</w:t>
      </w:r>
      <w:r>
        <w:t xml:space="preserve"> industry, different, major, environmental; EU scope visible. This is a provisional connection, not an outcome finding.</w:t>
      </w:r>
    </w:p>
    <w:p>
      <w:pPr>
        <w:pStyle w:val="SourceNote"/>
      </w:pPr>
      <w:r>
        <w:rPr>
          <w:b/>
        </w:rPr>
        <w:t>Available abstract (not full text):</w:t>
      </w:r>
      <w:r>
        <w:t xml:space="preserve"> Abstract Industrial processes are currently responsible for nearly 26% of European primary energy consumptions and are characterized by a multitude of energy losses. Among them, the ones that occur as heat streams rejected to the environment in the form of exhausts or effluents take place at different temperature levels. The reduction or recovery of such types of energy flows will undoubtedly contribute to the achievement of improved environmental performance as well as to reduce the overall manufacturing costs of goods. In this scenario, the current work aims at outlining the prospects of potential for industrial waste heat recovery in the European Union (EU) upon identification and quantification of primary energy consumptions among the major industrial sectors and their related waste streams and temperature levels. The paper introduces a new approach toward estimating the waste heat recovery in the European Union industry, using the Carnot efficiency in relation to the temperature levels of the processes involved. The assessment is carried out using EU statistical energy databases. The overall EU thermal energy waste is quantified at 920 TWh theoretical potential and 279 TWh Carnot potential.</w:t>
      </w:r>
    </w:p>
    <w:p>
      <w:pPr/>
      <w:r>
        <w:rPr>
          <w:b/>
        </w:rPr>
        <w:t>POSSIBLE 2019:</w:t>
      </w:r>
      <w:r>
        <w:t xml:space="preserve"> The whole systems energy injustice of four European low-carbon transitions — https://doi.org/10.1016/j.gloenvcha.2019.101958</w:t>
      </w:r>
    </w:p>
    <w:p>
      <w:pPr/>
      <w:r>
        <w:rPr>
          <w:b/>
        </w:rPr>
        <w:t>Shared claim-specific concepts:</w:t>
      </w:r>
      <w:r>
        <w:t xml:space="preserve"> whole, climate, environmental; EU scope visible. This is a provisional connection, not an outcome finding.</w:t>
      </w:r>
    </w:p>
    <w:p>
      <w:pPr>
        <w:pStyle w:val="SourceNote"/>
      </w:pPr>
      <w:r>
        <w:rPr>
          <w:b/>
        </w:rPr>
        <w:t>Available abstract (not full text):</w:t>
      </w:r>
      <w:r>
        <w:t xml:space="preserve"> The need for multi-scalar analysis of energy and low-carbon systems is becoming more apparent as a way to assess the holistic socioeconomic and environmental impacts of energy transitions across a variety of scales and lifecycle stages. This paper conducts a whole systems energy justice analysis of four European low-carbon transitions—nuclear power in France, smart meters in Great Britain, electric vehicles in Norway, and solar photovoltaic panels in Germany. It asks: in what ways may each of these transitions result in injustices that extend beyond communities and countries, i.e., across the whole system? It utilizes a mixed-methods research design based on 64 semi-structured research interviews with experts across all four transitions, five public focus groups, and the collection of 58 comments from twelve public internet forums to answer this question. Drawing inductively from these data, the paper identifies and analyzes 44 injustices spread across three spatial scales. Micro scale injustices concern immediate local impacts on family livelihood, community health and the environment. Meso scale injustices include national-scale issues such as rising prices for electricity and gas or unequal access to low-carbon technology. Macro scale injustices include global issues such as the extraction of minerals and metals and the circulation of waste flows. The paper then discusses th</w:t>
      </w:r>
    </w:p>
    <w:p>
      <w:pPr>
        <w:pStyle w:val="Heading2"/>
      </w:pPr>
      <w:r>
        <w:t>692.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pStyle w:val="Heading2"/>
      </w:pPr>
      <w:r>
        <w:t>693.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2022:</w:t>
      </w:r>
      <w:r>
        <w:t xml:space="preserve"> FRESHER: Challenges and opportunities for building Health/Healthy futures — https://doi.org/10.1093/eurpub/ckac129.121</w:t>
      </w:r>
    </w:p>
    <w:p>
      <w:pPr/>
      <w:r>
        <w:rPr>
          <w:b/>
        </w:rPr>
        <w:t>Shared claim-specific concepts:</w:t>
      </w:r>
      <w:r>
        <w:t xml:space="preserve"> foresight, project, fresher, modelling, health, regulation; EU scope visible. This is a provisional connection, not an outcome finding.</w:t>
      </w:r>
    </w:p>
    <w:p>
      <w:pPr>
        <w:pStyle w:val="SourceNote"/>
      </w:pPr>
      <w:r>
        <w:rPr>
          <w:b/>
        </w:rPr>
        <w:t>Available abstract (not full text):</w:t>
      </w:r>
      <w:r>
        <w:t xml:space="preserve"> Abstract Background FRESHER (2016-2018) Foresight and modelling for European health policy and regulation - is a H2020 project that aimed at representing alternative health Scenarios to test future policies for tacking Non-Communicable Diseases (NCDs). The key added-value consists in the combination of qualitative foresight and quantitative forecast approaches: a micro-simulation model, specifically developed by the project, computed the health outcomes of the four FRESHER Scenarios. Methods The Scenarios building activities involved overall more than four-hundred experts and stakeholders, with different backgrounds within and beyond health fields, throughout all the steps of the process, in two surveys and nine workshops. The horizon scanning phase led to identify a wide range of societal trends that impact health and NCDs. Considering a long-term horizon at 2050, eight trends were then selected and ranked according to their importance and uncertainty.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 Conclusions Giv</w:t>
      </w:r>
    </w:p>
    <w:p>
      <w:pPr/>
      <w:r>
        <w:rPr>
          <w:b/>
        </w:rPr>
        <w:t>POSSIBLE 2022:</w:t>
      </w:r>
      <w:r>
        <w:t xml:space="preserve"> Shaping the Future of Health Data: A Scenario-Based Approach — https://doi.org/10.3233/shti220355</w:t>
      </w:r>
    </w:p>
    <w:p>
      <w:pPr/>
      <w:r>
        <w:rPr>
          <w:b/>
        </w:rPr>
        <w:t>Shared claim-specific concepts:</w:t>
      </w:r>
      <w:r>
        <w:t xml:space="preserve"> health, stakeholders, care; EU scope visible. This is a provisional connection, not an outcome finding.</w:t>
      </w:r>
    </w:p>
    <w:p>
      <w:pPr>
        <w:pStyle w:val="SourceNote"/>
      </w:pPr>
      <w:r>
        <w:rPr>
          <w:b/>
        </w:rPr>
        <w:t>Available abstract (not full text):</w:t>
      </w:r>
      <w:r>
        <w:t xml:space="preserve"> BACKGROUND: The European health care industry faces massive changes which impose new challenges on its stakeholders. OBJECTIVE: In this paper, we present the results of a market-based analysis for upcoming changes in the European health care industry and what this specifically means for issues corresponding to data. METHOD: Scenarios are a common tool to explain and analyze future changes in business environments. This method was used in a series of workshops together with an interdisciplinary group of experts. RESULTS: Ten individual scenarios represent potential futures with distinctive subsets of data landscapes. Their assessment shows that the expected future of health data is still rather unclear, while desired changes are quite distinct. CONCLUSION: The Health Data Scenarios offer a comprehensive framework for analyzing future data-driven developments in the health care industry.</w:t>
      </w:r>
    </w:p>
    <w:p>
      <w:pPr/>
      <w:r>
        <w:rPr>
          <w:b/>
        </w:rPr>
        <w:t>POSSIBLE 2021:</w:t>
      </w:r>
      <w:r>
        <w:t xml:space="preserve"> Foresight Capacity Building — https://doi.org/10.5281/zenodo.6630549</w:t>
      </w:r>
    </w:p>
    <w:p>
      <w:pPr/>
      <w:r>
        <w:rPr>
          <w:b/>
        </w:rPr>
        <w:t>Shared claim-specific concepts:</w:t>
      </w:r>
      <w:r>
        <w:t xml:space="preserve"> foresight, project, health;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2021:</w:t>
      </w:r>
      <w:r>
        <w:t xml:space="preserve"> Overview of foresight related activities — https://doi.org/10.5281/zenodo.6631472</w:t>
      </w:r>
    </w:p>
    <w:p>
      <w:pPr/>
      <w:r>
        <w:rPr>
          <w:b/>
        </w:rPr>
        <w:t>Shared claim-specific concepts:</w:t>
      </w:r>
      <w:r>
        <w:t xml:space="preserve"> foresight, health, beyond, activities; EU scope visible. This is a provisional connection, not an outcome finding.</w:t>
      </w:r>
    </w:p>
    <w:p>
      <w:pPr>
        <w:pStyle w:val="SourceNote"/>
      </w:pPr>
      <w:r>
        <w:rPr>
          <w:b/>
        </w:rPr>
        <w:t>Available abstract (not full text):</w:t>
      </w:r>
      <w:r>
        <w:t xml:space="preserve"> The Population Health Information Research Infrastructure (PHIRI) on COVID-19 seeks to lay the foundation of a federated research infrastructure on population health to support research across Europe to underpin public health policy decisions in current and future pandemics or crises. Through Work Package 9 (WP9), PHIRI aims at gaining insights in possible future health impacts of the COVID-19 outbreak, by building capacity on foresight studies. A foresight study refers to a broad range of methodologies to describe possible futures. This report presents a brief overview of the results from Task 9.1. “Overview of current foresight activities in Europe and beyond”. This task was led by Universidade NOVA de Lisboa (DGS/UNL), in collaboration with other task Partners: National Institute for Public Health and the Environment in the Netherlands (RIVM), Austrian Public Health Institute (GÖG), and the Croatian Institute of Public Health (CIPH). This report aims to present a general mapping of foresight studies in Europe, but also includes international studies and studies from other non-European countries.</w:t>
      </w:r>
    </w:p>
    <w:p>
      <w:pPr/>
      <w:r>
        <w:rPr>
          <w:b/>
        </w:rPr>
        <w:t>POSSIBLE 2020:</w:t>
      </w:r>
      <w:r>
        <w:t xml:space="preserve"> FRESHER and RARE 2030: scanning the horizon emerging trends in health and healthcare — https://doi.org/10.1093/eurpub/ckaa165.182</w:t>
      </w:r>
    </w:p>
    <w:p>
      <w:pPr/>
      <w:r>
        <w:rPr>
          <w:b/>
        </w:rPr>
        <w:t>Shared claim-specific concepts:</w:t>
      </w:r>
      <w:r>
        <w:t xml:space="preserve"> foresight, project, fresher, health, regulation, options; EU scope visible. This is a provisional connection, not an outcome finding.</w:t>
      </w:r>
    </w:p>
    <w:p>
      <w:pPr>
        <w:pStyle w:val="SourceNote"/>
      </w:pPr>
      <w:r>
        <w:rPr>
          <w:b/>
        </w:rPr>
        <w:t>Available abstract (not full text):</w:t>
      </w:r>
      <w:r>
        <w:t xml:space="preserve"> Abstract Background Health and healthcare are facing novel challenges ranging from broad, shifting trends to emerging innovative technologies and social practices. Foresight methodology aims to analyse emerging trends, building different future scenarios and identifying policy options to support the policy dialogue. Methods FRESHER and RARE 2030 are two EU-H2020 projects. FRESHER- FoRESight for hEalth policy development and Regulation (2016-2018) aimed at representing long term alternative health Scenarios testing future policies to tackle the burden of Non-Communicable Diseases. A micro-simulation model, specifically enhanced by the project, also computed the health outcomes of the different four Scenarios. Rare 2030-Foresight in Rare Diseases Policy (2019-2020) uses a participatory approach to identify the most relevant trends, anticipate their influence over the next decade and propose policy recommendations that could lead to a better future for people living with Rare Diseases. Different in scope, these projects share common features. Both follow a four steps foresight methodology: horizon scanning, trends identification and ranking, scenarios building, back-casting and policy elaboration. Taking a participatory approach, these studies apply structured qualitative tools, involve a wide range of stakeholders and include regional case studies. Results 20 trends emerged as ke</w:t>
      </w:r>
    </w:p>
    <w:p>
      <w:pPr/>
      <w:r>
        <w:rPr>
          <w:b/>
        </w:rPr>
        <w:t>POSSIBLE 2020:</w:t>
      </w:r>
      <w:r>
        <w:t xml:space="preserve"> How will the main risk factors contribute to the burden of non-communicable diseases under different scenarios by 2050? A modelling study — https://doi.org/10.1371/journal.pone.0231725</w:t>
      </w:r>
    </w:p>
    <w:p>
      <w:pPr/>
      <w:r>
        <w:rPr>
          <w:b/>
        </w:rPr>
        <w:t>Shared claim-specific concepts:</w:t>
      </w:r>
      <w:r>
        <w:t xml:space="preserve"> modelling, health, trends; EU scope visible. This is a provisional connection, not an outcome finding.</w:t>
      </w:r>
    </w:p>
    <w:p>
      <w:pPr>
        <w:pStyle w:val="SourceNote"/>
      </w:pPr>
      <w:r>
        <w:rPr>
          <w:b/>
        </w:rPr>
        <w:t>Available abstract (not full text):</w:t>
      </w:r>
      <w:r>
        <w:t xml:space="preserve"> BACKGROUND: The future burden of non-communicable diseases (NCDs) depends on numerous factors such as population ageing, evolution of societal trends, behavioural and physiological risk factors of individuals (e.g. smoking, alcohol use, obesity, physical inactivity, and hypertension). This study aims to assess the burden of NCDs in Europe by 2050 under alternative scenarios. METHODS: This study combines qualitative and quantitative forecasting techniques to examine how population health in Europe may evolve from 2015 to 2050, taking into account future societal trends. Four scenarios were developed (one business-as-usual scenario, two response scenarios and one pessimistic scenario) and assessed against 'best' and 'worst'-case scenarios. This study provides quantitative estimates of both diseases and mortality outcomes, using a microsimulation model incorporating international survey data. FINDINGS: Each scenario is associated with a different risk factor prevalence rate across Europe during the period 2015-2050. The prevalence and incidence of NCDs consistently increase during the analysed time period, mainly driven by population ageing. In more optimistic scenarios, diseases will appear in later ages, while in the pessimistic scenarios, NCDs will impair working-age people. Life expectancy is expected to grow in all scenarios, but with differences by up to 4 years across scena</w:t>
      </w:r>
    </w:p>
    <w:p>
      <w:pPr/>
      <w:r>
        <w:rPr>
          <w:b/>
        </w:rPr>
        <w:t>POSSIBLE 2020:</w:t>
      </w:r>
      <w:r>
        <w:t xml:space="preserve"> Assessing the future medical cost burden for the European health systems under alternative exposure-to-risks scenarios — https://doi.org/10.1371/journal.pone.0238565</w:t>
      </w:r>
    </w:p>
    <w:p>
      <w:pPr/>
      <w:r>
        <w:rPr>
          <w:b/>
        </w:rPr>
        <w:t>Shared claim-specific concepts:</w:t>
      </w:r>
      <w:r>
        <w:t xml:space="preserve"> health, usual, trends; EU scope visible. This is a provisional connection, not an outcome finding.</w:t>
      </w:r>
    </w:p>
    <w:p>
      <w:pPr>
        <w:pStyle w:val="SourceNote"/>
      </w:pPr>
      <w:r>
        <w:rPr>
          <w:b/>
        </w:rPr>
        <w:t>Available abstract (not full text):</w:t>
      </w:r>
      <w:r>
        <w:t xml:space="preserve"> BACKGROUND: Ageing populations and rising prevalence of non-communicable diseases (NCDs) increasingly contribute to the growing cost burden facing European healthcare systems. Few studies have attempted to quantify the future magnitude of this burden at the European level, and none of them consider the impact of potential changes in risk factor trajectories on future health expenditures. METHODS: The new microsimulation model forecasts the impact of behavioural and metabolic risk factors on NCDs, longevity and direct healthcare costs, and shows how changes in epidemiological trends can modify those impacts. Economic burden of NCDs is modelled under three scenarios based on assumed future risk factors trends: business as usual (BAU); best case and worst case predictions (BCP and WCP). FINDINGS: The direct costs of NCDs in the EU 27 countries and the UK (in constant 2014 prices) will grow under all scenarios. Between 2014 and 2050, the overall healthcare spending is expected to increase by 0.8% annually under BAU. In the all the countries, 605 billion Euros can be saved by 2050 if BCP is realized compared to the BAU, while excess spending under the WCP is forecast to be around 350 billion. Interpretation: Although the savings realised under the BCP can be substantial, population ageing is a stronger driver of rising total healthcare expenditures in Europe compared to scenario-bas</w:t>
      </w:r>
    </w:p>
    <w:p>
      <w:pPr/>
      <w:r>
        <w:rPr>
          <w:b/>
        </w:rPr>
        <w:t>POSSIBLE 2019:</w:t>
      </w:r>
      <w:r>
        <w:t xml:space="preserve"> Scenarios for population health inequalities in 2030 in Europe: the EURO-HEALTHY project experience — https://doi.org/10.1186/s12939-019-1000-8</w:t>
      </w:r>
    </w:p>
    <w:p>
      <w:pPr/>
      <w:r>
        <w:rPr>
          <w:b/>
        </w:rPr>
        <w:t>Shared claim-specific concepts:</w:t>
      </w:r>
      <w:r>
        <w:t xml:space="preserve"> project, health, stakeholders, policy-making, pose, affect; EU scope visible. This is a provisional connection, not an outcome finding.</w:t>
      </w:r>
    </w:p>
    <w:p>
      <w:pPr>
        <w:pStyle w:val="SourceNote"/>
      </w:pPr>
      <w:r>
        <w:rPr>
          <w:b/>
        </w:rPr>
        <w:t>Available abstract (not full text):</w:t>
      </w:r>
      <w:r>
        <w:t xml:space="preserve"> BACKGROUND: Health inequalities have been consistently reported across and within European countries and continue to pose major challenges to policy-making. The development of scenarios regarding what could affect population health (PH) inequalities across Europe in the future is considered critical. Scenarios can help policy-makers prepare and better cope with fast evolving challenges.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 Stages ii) and iii) were conducted in two workshops with a strategic group of 13 experts with a wide view about PH inequalities. The scenario narratives were</w:t>
      </w:r>
    </w:p>
    <w:p>
      <w:pPr>
        <w:pStyle w:val="Heading2"/>
      </w:pPr>
      <w:r>
        <w:t>694.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r>
        <w:rPr>
          <w:b/>
        </w:rPr>
        <w:t>POSSIBLE 2022:</w:t>
      </w:r>
      <w:r>
        <w:t xml:space="preserve"> 7.L. Workshop: New roles and innovative skill-mix in nursing across Europe: trends and lessons for implementation — https://doi.org/10.1093/eurpub/ckac129.446</w:t>
      </w:r>
    </w:p>
    <w:p>
      <w:pPr/>
      <w:r>
        <w:rPr>
          <w:b/>
        </w:rPr>
        <w:t>Shared claim-specific concepts:</w:t>
      </w:r>
      <w:r>
        <w:t xml:space="preserve"> implementation, first, presented; EU scope visible. This is a provisional connection, not an outcome finding.</w:t>
      </w:r>
    </w:p>
    <w:p>
      <w:pPr>
        <w:pStyle w:val="SourceNote"/>
      </w:pPr>
      <w:r>
        <w:rPr>
          <w:b/>
        </w:rPr>
        <w:t>Available abstract (not full text):</w:t>
      </w:r>
      <w:r>
        <w:t xml:space="preserve">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pPr/>
      <w:r>
        <w:rPr>
          <w:b/>
        </w:rPr>
        <w:t>POSSIBLE 2021:</w:t>
      </w:r>
      <w:r>
        <w:t xml:space="preserve"> First Draft of Crypto-Asset Regulation (MiCA) with the European Union and Potential Implementation — https://doi.org/10.4467/22996834flr.21.011.13979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pPr/>
      <w:r>
        <w:rPr>
          <w:b/>
        </w:rPr>
        <w:t>POSSIBLE 2021:</w:t>
      </w:r>
      <w:r>
        <w:t xml:space="preserve"> Implementation of the New European Bauhaus Principles as a Context for Teaching Sustainable Architecture — https://doi.org/10.3390/su131910715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pPr/>
      <w:r>
        <w:rPr>
          <w:b/>
        </w:rPr>
        <w:t>POSSIBLE 2021:</w:t>
      </w:r>
      <w:r>
        <w:t xml:space="preserve"> Implementation of circular economy on the basis of European experience — https://doi.org/10.23939/smeu2021.02.280</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pPr/>
      <w:r>
        <w:rPr>
          <w:b/>
        </w:rPr>
        <w:t>POSSIBLE 2021:</w:t>
      </w:r>
      <w:r>
        <w:t xml:space="preserve"> RURAL ECONOMY: DIRECTIONS OF NEW THEORIZATION AND IMPLEMENTATION OF BEST EUROPEAN FINANCIAL REGULATION PRACTICES — https://doi.org/10.18371/fcaptp.v5i40.245198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pPr/>
      <w:r>
        <w:rPr>
          <w:b/>
        </w:rPr>
        <w:t>POSSIBLE 2020:</w:t>
      </w:r>
      <w:r>
        <w:t xml:space="preserve"> European project ‘blueprint “new skills agenda steel”: industry-driven sustainable european steel skills agenda and strategy (essa)’ – the first year of implementation — https://doi.org/10.32730/imz.2657-747.19.4.1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article presents the general characteristics of the European project implemented by an international consortium, which includes the Łukasiewicz Research Network – Institute of Ferrous Metallurgy. The project concerns the preparation and improvement of personnel for the steel sector in the face of the rapidly approaching industrial revolution 4.0: WORK 4.0 for STEEL 4.0. The article presents the first results of the project obtained in 2019, highlighting the Institute’s contribution. The four-year project (completed in December 2022) integrates the efforts in this area of a broad European consortium, consisting of 24 partners from 10 countries and 14 associated partners from 8 countries, in the ERASMUS + programme.</w:t>
      </w:r>
    </w:p>
    <w:p>
      <w:pPr/>
      <w:r>
        <w:rPr>
          <w:b/>
        </w:rPr>
        <w:t>POSSIBLE 2020:</w:t>
      </w:r>
      <w:r>
        <w:t xml:space="preserve"> Exploring the Role of Carbon Taxation Policies on CO2 Emissions: Contextual Evidence from Tax Implementation and Non-Implementation European Countries — https://doi.org/10.3390/su12208680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During the past decades, environmental related taxes, energy, and carbon taxes has been recommended by environmental scientists as a policy tool to mitigate pollutant emissions in developed and developing economies. Among developed nations, Denmark, Finland, Sweden, the Netherlands, and Norway were the first regions to adopt a tax on carbon dioxide (CO2) emissions and research into the impacts of carbon tax on carbon emissions bring significant implications. The prime objective and goal of this work is to explore the role of carbon tax reforms for environmental quality in European economies. This is probably the first study to conduct a comparative study in European context for carbon-tax implementation and non-implementation policies. To this end, the present study reports new conclusions and implications regarding the effectiveness of environmental regulations and policies for climate change and sustainability. In the present study, the authors exhaustively explore the impacts of the carbon-tax on the mitigation of CO2 emissions. Using the propensity score matching method, the results of the estimation of the different matching methods allow us to observe a positive and significant impact of the adoption of the carbon-tax on stimulating the reduction of carbon emissions.</w:t>
      </w:r>
    </w:p>
    <w:p>
      <w:pPr/>
      <w:r>
        <w:rPr>
          <w:b/>
        </w:rPr>
        <w:t>POSSIBLE 2020:</w:t>
      </w:r>
      <w:r>
        <w:t xml:space="preserve"> The implementation of the circular economy in the European Union — https://openalex.org/W3157224602</w:t>
      </w:r>
    </w:p>
    <w:p>
      <w:pPr/>
      <w:r>
        <w:rPr>
          <w:b/>
        </w:rPr>
        <w:t>Shared claim-specific concepts:</w:t>
      </w:r>
      <w:r>
        <w:t xml:space="preserve"> implementation, first, agreement; EU scope visible. This is a provisional connection, not an outcome finding.</w:t>
      </w:r>
    </w:p>
    <w:p>
      <w:pPr>
        <w:pStyle w:val="SourceNote"/>
      </w:pPr>
      <w:r>
        <w:rPr>
          <w:b/>
        </w:rPr>
        <w:t>Available abstract (not full text):</w:t>
      </w:r>
      <w:r>
        <w:t xml:space="preserve"> The circular economy (CE) is an area that has received increased amounts of attention over the last decade. Since being installed in China in 2002, and the European Union (EU) in 2015, CE has been hailed as a new paradigm to allow the decoupling of economic growth from negative environmental impacts. Targets set under the United Nations (UN) 2015 Paris Agreement (PA) and the 2019 European Green Deal call for climate neutrality by 2050, with the first halving of emissions to be achieved by 2030. Within the EU CE has been positioned as a cornerstone for achieving these targets whilst allowing for sustainable economic growth. \n \nThe contrasting political systems of China and the EU and the divergent motivations for installing CE show how complex the practice of implementing policy can be. It is therefore the aim of this research to offer a contemporary view of the situation in relation to the implementation of CE within the EU to help define the strengths, weaknesses, and limitations of the strategy.</w:t>
      </w:r>
    </w:p>
    <w:p>
      <w:pPr>
        <w:pStyle w:val="Heading2"/>
      </w:pPr>
      <w:r>
        <w:t>695.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horizon, all, groups, different;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Hybrid AI-enhanced lightning flash prediction in the medium-range forecast horizon — https://doi.org/10.1038/s41467-024-44697-2</w:t>
      </w:r>
    </w:p>
    <w:p>
      <w:pPr/>
      <w:r>
        <w:rPr>
          <w:b/>
        </w:rPr>
        <w:t>Shared claim-specific concepts:</w:t>
      </w:r>
      <w:r>
        <w:t xml:space="preserve"> forecasts, horizon, obtained; EU scope visible. This is a provisional connection, not an outcome finding.</w:t>
      </w:r>
    </w:p>
    <w:p>
      <w:pPr>
        <w:pStyle w:val="SourceNote"/>
      </w:pPr>
      <w:r>
        <w:rPr>
          <w:b/>
        </w:rPr>
        <w:t>Available abstract (not full text):</w:t>
      </w:r>
      <w:r>
        <w:t xml:space="preserve">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pPr/>
      <w:r>
        <w:rPr>
          <w:b/>
        </w:rPr>
        <w:t>POSSIBLE 2023:</w:t>
      </w:r>
      <w:r>
        <w:t xml:space="preserve"> Transformers for Multi-Horizon Forecasting in an Industry 4.0 Use Case — https://doi.org/10.3390/s23073516</w:t>
      </w:r>
    </w:p>
    <w:p>
      <w:pPr/>
      <w:r>
        <w:rPr>
          <w:b/>
        </w:rPr>
        <w:t>Shared claim-specific concepts:</w:t>
      </w:r>
      <w:r>
        <w:t xml:space="preserve"> horizon, obtained, showed; EU scope not established. This is a provisional connection, not an outcome finding.</w:t>
      </w:r>
    </w:p>
    <w:p>
      <w:pPr>
        <w:pStyle w:val="SourceNote"/>
      </w:pPr>
      <w:r>
        <w:rPr>
          <w:b/>
        </w:rPr>
        <w:t>Available abstract (not full text):</w:t>
      </w:r>
      <w:r>
        <w:t xml:space="preserve">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pPr/>
      <w:r>
        <w:rPr>
          <w:b/>
        </w:rPr>
        <w:t>POSSIBLE 2021:</w:t>
      </w:r>
      <w:r>
        <w:t xml:space="preserve"> Machine learning for regional crop yield forecasting in Europe — https://doi.org/10.1016/j.fcr.2021.108377</w:t>
      </w:r>
    </w:p>
    <w:p>
      <w:pPr/>
      <w:r>
        <w:rPr>
          <w:b/>
        </w:rPr>
        <w:t>Shared claim-specific concepts:</w:t>
      </w:r>
      <w:r>
        <w:t xml:space="preserve"> forecasts, trend, ones; EU scope visible. This is a provisional connection, not an outcome finding.</w:t>
      </w:r>
    </w:p>
    <w:p>
      <w:pPr>
        <w:pStyle w:val="SourceNote"/>
      </w:pPr>
      <w:r>
        <w:rPr>
          <w:b/>
        </w:rPr>
        <w:t>Available abstract (not full text):</w:t>
      </w:r>
      <w:r>
        <w:t xml:space="preserve">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pPr/>
      <w:r>
        <w:rPr>
          <w:b/>
        </w:rPr>
        <w:t>POSSIBLE 2020:</w:t>
      </w:r>
      <w:r>
        <w:t xml:space="preserve"> A Review of Electricity Demand Forecasting in Low and Middle Income Countries: The Demand Determinants and Horizons — https://doi.org/10.3390/su12155931</w:t>
      </w:r>
    </w:p>
    <w:p>
      <w:pPr/>
      <w:r>
        <w:rPr>
          <w:b/>
        </w:rPr>
        <w:t>Shared claim-specific concepts:</w:t>
      </w:r>
      <w:r>
        <w:t xml:space="preserve"> forecasts, increasing, different; EU scope not established. This is a provisional connection, not an outcome finding.</w:t>
      </w:r>
    </w:p>
    <w:p>
      <w:pPr>
        <w:pStyle w:val="SourceNote"/>
      </w:pPr>
      <w:r>
        <w:rPr>
          <w:b/>
        </w:rPr>
        <w:t>Available abstract (not full text):</w:t>
      </w:r>
      <w:r>
        <w:t xml:space="preserve">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pPr/>
      <w:r>
        <w:rPr>
          <w:b/>
        </w:rPr>
        <w:t>POSSIBLE 2020:</w:t>
      </w:r>
      <w:r>
        <w:t xml:space="preserve"> Development Forecasts for the Zero-Emission Bus Fleet in Servicing Public Transport in Chosen EU Member Countries — https://doi.org/10.3390/en13164239</w:t>
      </w:r>
    </w:p>
    <w:p>
      <w:pPr/>
      <w:r>
        <w:rPr>
          <w:b/>
        </w:rPr>
        <w:t>Shared claim-specific concepts:</w:t>
      </w:r>
      <w:r>
        <w:t xml:space="preserve"> forecasts, share, all; EU scope visible. This is a provisional connection, not an outcome finding.</w:t>
      </w:r>
    </w:p>
    <w:p>
      <w:pPr>
        <w:pStyle w:val="SourceNote"/>
      </w:pPr>
      <w:r>
        <w:rPr>
          <w:b/>
        </w:rPr>
        <w:t>Available abstract (not full text):</w:t>
      </w:r>
      <w:r>
        <w:t xml:space="preserve"> Nearly two-thirds of the emissions that cause smog come from road transport. In April 2019, the European Parliament adopted new regulations on public procurement to encourage investment in clean buses—electric, hydrogen, or gas. Directive 2009/33/EC is to apply from the second half of 2021. The aim of this article is to make an attempt to simulate the number of zero-emission buses (ZEB) in European Union (EU) member countries in two time horizons: 2025 and 2030, and to forecast the number of clean vehicles in the precise time horizons, including before and after 2050. Research questions are as follows: (1) what will be the number of ZEBs in individual EU countries over the next few years; (2) which of the EU countries will reach by 2030 the level of 95% share of ZEBs in all buses, which are a fleet of public transport buses; and (3) in which year will which EU countries reach the level of 95% share of zero-emission buses. The method used is a Bass model. The conducted analyses demonstrate that, by 2050, only four of the EU members will be able to reach 95% level of share of clean buses in the city bus transport fleets. It is likely that other countries may not achieve this even by 2050.</w:t>
      </w:r>
    </w:p>
    <w:p>
      <w:pPr/>
      <w:r>
        <w:rPr>
          <w:b/>
        </w:rPr>
        <w:t>POSSIBLE 2019:</w:t>
      </w:r>
      <w:r>
        <w:t xml:space="preserve"> Time horizon volatility forecasting of Malaysian property stocks — https://openalex.org/W3206664364</w:t>
      </w:r>
    </w:p>
    <w:p>
      <w:pPr/>
      <w:r>
        <w:rPr>
          <w:b/>
        </w:rPr>
        <w:t>Shared claim-specific concepts:</w:t>
      </w:r>
      <w:r>
        <w:t xml:space="preserve"> forecasts, horizon, different; EU scope not established. This is a provisional connection, not an outcome finding.</w:t>
      </w:r>
    </w:p>
    <w:p>
      <w:pPr>
        <w:pStyle w:val="SourceNote"/>
      </w:pPr>
      <w:r>
        <w:rPr>
          <w:b/>
        </w:rPr>
        <w:t>Available abstract (not full text):</w:t>
      </w:r>
      <w:r>
        <w:t xml:space="preserve"> Reliable and accurate forecasts can provide important input for fund manager and policymakers to make an informed decision. However, volatility forecast research is still bound by several weaknesses such as scarcity in volatility forecasting literature and the lack of knowledge on the contributing factors to poor forecast, i.e. time-varying series characteristic or model specification. As a result of inaccuracy in forecasting, fund managers could face catastrophic consequences. The first contribution is to prove there are ‘parameter changes (time-varying) in Generalized autoregressive conditional heteroskedasticity (GARCH) model before and during the GFC in Malaysian property stocks. News impact curve (NIC) is adopted to show how the good news and bad news impact (news shock) on the next period’s volatility forecast in these two periods. Findings show that parameters and NICs are changes in both periods, this may incur poor forecast. To further validate the parameter changes in different periods. Second contribution adopted and adapted news impact curve (NIC) for different models in different periods. Adaptive asymmetric Smooth Transition Exponential Smoothing (STES) is reported to be more pragmatic and superior to symmetric model in volatility forecasting. Overall, NIC for the symmetric GARCH model shows the news shock on next volatility estimates during crisis is the highest.</w:t>
      </w:r>
    </w:p>
    <w:p>
      <w:pPr>
        <w:pStyle w:val="Heading2"/>
      </w:pPr>
      <w:r>
        <w:t>696.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r>
        <w:rPr>
          <w:b/>
        </w:rPr>
        <w:t>POSSIBLE 2024:</w:t>
      </w:r>
      <w:r>
        <w:t xml:space="preserve"> The Letta report: a set of proposals for revitalising the European economy — https://doi.org/10.53479/38193</w:t>
      </w:r>
    </w:p>
    <w:p>
      <w:pPr/>
      <w:r>
        <w:rPr>
          <w:b/>
        </w:rPr>
        <w:t>Shared claim-specific concepts:</w:t>
      </w:r>
      <w:r>
        <w:t xml:space="preserve"> however, legislative, proposals, number, set, union; EU scope visible. This is a provisional connection, not an outcome finding.</w:t>
      </w:r>
    </w:p>
    <w:p>
      <w:pPr>
        <w:pStyle w:val="SourceNote"/>
      </w:pPr>
      <w:r>
        <w:rPr>
          <w:b/>
        </w:rPr>
        <w:t>Available abstract (not full text):</w:t>
      </w:r>
      <w:r>
        <w:t xml:space="preserve">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pPr/>
      <w:r>
        <w:rPr>
          <w:b/>
        </w:rPr>
        <w:t>POSSIBLE 2023:</w:t>
      </w:r>
      <w:r>
        <w:t xml:space="preserve"> Workability via Platform: A Legislative Proposal and a Collective Movement for Socio-Labor Civil Integration — https://doi.org/10.24857/rgsa.v18n2-023</w:t>
      </w:r>
    </w:p>
    <w:p>
      <w:pPr/>
      <w:r>
        <w:rPr>
          <w:b/>
        </w:rPr>
        <w:t>Shared claim-specific concepts:</w:t>
      </w:r>
      <w:r>
        <w:t xml:space="preserve"> legislative, objective, union; EU scope not established. This is a provisional connection, not an outcome finding.</w:t>
      </w:r>
    </w:p>
    <w:p>
      <w:pPr>
        <w:pStyle w:val="SourceNote"/>
      </w:pPr>
      <w:r>
        <w:rPr>
          <w:b/>
        </w:rPr>
        <w:t>Available abstract (not full text):</w:t>
      </w:r>
      <w:r>
        <w:t xml:space="preserve">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pPr/>
      <w:r>
        <w:rPr>
          <w:b/>
        </w:rPr>
        <w:t>POSSIBLE 2022:</w:t>
      </w:r>
      <w:r>
        <w:t xml:space="preserve"> Metrics, Explainability and the European AI Act Proposal — https://doi.org/10.3390/j5010010</w:t>
      </w:r>
    </w:p>
    <w:p>
      <w:pPr/>
      <w:r>
        <w:rPr>
          <w:b/>
        </w:rPr>
        <w:t>Shared claim-specific concepts:</w:t>
      </w:r>
      <w:r>
        <w:t xml:space="preserve"> expected, goal, set; EU scope visible. This is a provisional connection, not an outcome finding.</w:t>
      </w:r>
    </w:p>
    <w:p>
      <w:pPr>
        <w:pStyle w:val="SourceNote"/>
      </w:pPr>
      <w:r>
        <w:rPr>
          <w:b/>
        </w:rPr>
        <w:t>Available abstract (not full text):</w:t>
      </w:r>
      <w:r>
        <w:t xml:space="preserve">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pPr/>
      <w:r>
        <w:rPr>
          <w:b/>
        </w:rPr>
        <w:t>POSSIBLE 2021:</w:t>
      </w:r>
      <w:r>
        <w:t xml:space="preserve"> Evaluating the Tax Veto in a Digital Age: Legislative Efficiency and National Sovereignty in the European Union — https://openalex.org/W3175327905</w:t>
      </w:r>
    </w:p>
    <w:p>
      <w:pPr/>
      <w:r>
        <w:rPr>
          <w:b/>
        </w:rPr>
        <w:t>Shared claim-specific concepts:</w:t>
      </w:r>
      <w:r>
        <w:t xml:space="preserve"> however, legislative, proposals, council, union; EU scope visible. This is a provisional connection, not an outcome finding.</w:t>
      </w:r>
    </w:p>
    <w:p>
      <w:pPr>
        <w:pStyle w:val="SourceNote"/>
      </w:pPr>
      <w:r>
        <w:rPr>
          <w:b/>
        </w:rPr>
        <w:t>Available abstract (not full text):</w:t>
      </w:r>
      <w:r>
        <w:t xml:space="preserve">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pPr/>
      <w:r>
        <w:rPr>
          <w:b/>
        </w:rPr>
        <w:t>POSSIBLE 2020:</w:t>
      </w:r>
      <w:r>
        <w:t xml:space="preserve"> The Judgment of the CJEU of 25 July 2018 on Mutagenesis: Interpretation and Interim Legislative Proposal — https://doi.org/10.3389/fpls.2019.01813</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Judgment of 25 July 2018 of the Court of Justice of the European Union (CJEU) was optimistically awaited by breeders and supporters of agricultural biotechnology, but shortly after the press release advancing the Judgment, hope turned into frustration. Opinions on how to frame the New Breeding Techniques (NBT) in the context of Directive 2001/18/EC were issued before the Judgment, while proposals to assist the EU legislator to amend the regime driven by the Directive have been also provided afterwards by scientists and institutional bodies around the EU. However, they do not seem to have paid so much attention to the Judgment itself. This paper focuses on the Judgment. It finds out that while the impacts of the Judgment on the NBT might have been slightly overvalued, its potential negative effects on techniques of random mutagenesis and varieties breed through them have been generally underestimated if not absolutely overlooked. The analysis also shows that the Judgment does not preempt the possibility to exempt certain applications of some NBT from the scope of Directive 2001/18/EC, and, in fact, ODM, SDN1, and SDN2 might be, under certain conditions, easily exempted from its scope without the need of a deep legislative revolution nor even the amendment of Directive 2001/18/EC. As regards techniques of random mutagenesis and mutant varieties bred by means of those techniqu</w:t>
      </w:r>
    </w:p>
    <w:p>
      <w:pPr/>
      <w:r>
        <w:rPr>
          <w:b/>
        </w:rPr>
        <w:t>POSSIBLE 2020:</w:t>
      </w:r>
      <w:r>
        <w:t xml:space="preserve"> One agenda-setter or many? The varying success of policy initiatives by individual Directorates-General of the European Commission 1994–2016 — https://doi.org/10.1177/1465116520961467</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Analyses of strategic agenda-setting in the European Union treat the European Commission as a unitary actor with perfect information. Yet, the constraints for correctly anticipating acceptable policies vary heavily across its individual Directorates-General. Do these internal rifts affect the Commission’s agenda-setting ability? This article tests corresponding expectations on the edit distances between 2237 Commission proposals and the adopted laws across 23 years. The quality of legislative anticipation indeed varies with the responsible Directorate-General. Legislative proposals are more likely to remain unchanged if they face less parliamentary involvement, are less complex, were drafted by an experienced Directorate-General, and were coordinated more seamlessly within the Commission. However, the uncovered variation also calls for more systematic research on the distribution of legislative capacities inside the Commission.</w:t>
      </w:r>
    </w:p>
    <w:p>
      <w:pPr/>
      <w:r>
        <w:rPr>
          <w:b/>
        </w:rPr>
        <w:t>POSSIBLE 2020:</w:t>
      </w:r>
      <w:r>
        <w:t xml:space="preserve"> Parliaments in Europe Engaging in Post-legislative Scrutiny — https://doi.org/10.19184/jseahr.v4i1.18017</w:t>
      </w:r>
    </w:p>
    <w:p>
      <w:pPr/>
      <w:r>
        <w:rPr>
          <w:b/>
        </w:rPr>
        <w:t>Shared claim-specific concepts:</w:t>
      </w:r>
      <w:r>
        <w:t xml:space="preserve"> however, legislative, last; EU scope visible. This is a provisional connection, not an outcome finding.</w:t>
      </w:r>
    </w:p>
    <w:p>
      <w:pPr>
        <w:pStyle w:val="SourceNote"/>
      </w:pPr>
      <w:r>
        <w:rPr>
          <w:b/>
        </w:rPr>
        <w:t>Available abstract (not full text):</w:t>
      </w:r>
      <w:r>
        <w:t xml:space="preserve"> Post-legislative scrutiny (PLS) is not completely new to European parliamentarism. In the last few decades, this activity has experienced rapid development, either pushed by supranational trends on better regulation or fostered by national constitutional reforms. However, the involvement of parliaments in the ex post stage of law-making still remains under-theorised. This article aims at providing a comparative overview of the main rules, practices and trends on post-legislative scrutiny in Europe, focusing on the experience of three bicameral Parliaments: the French, Italian and Swiss Parliaments which have been selected as examples of three proactive approaches to post-legislative scrutiny, based on alternative bicameral arrangements. After providing a general overview of the main options that support the involvement of parliaments in the ex-post stage of law-making, the article examines how the benchmark case studies address the following variables: the internal organisation of the ex-post scrutiny, including the role of the administrative staff; the scrutiny object, either referred to single pieces of legislation or to a whole policy; the scope of the ex-post scrutiny, verifying whether it is interpreted as a purely legal dimension or it comprises also forms of impact assessment; the outcomes of the ex-post scrutiny, and more specifically its contribution to the legislative</w:t>
      </w:r>
    </w:p>
    <w:p>
      <w:pPr/>
      <w:r>
        <w:rPr>
          <w:b/>
        </w:rPr>
        <w:t>POSSIBLE 2019:</w:t>
      </w:r>
      <w:r>
        <w:t xml:space="preserve"> Redrafting of a Proposal in the Polish Legislative Procedure — https://doi.org/10.15804/ppk.2019.05.07</w:t>
      </w:r>
    </w:p>
    <w:p>
      <w:pPr/>
      <w:r>
        <w:rPr>
          <w:b/>
        </w:rPr>
        <w:t>Shared claim-specific concepts:</w:t>
      </w:r>
      <w:r>
        <w:t xml:space="preserve"> however, legislative, goal, point; EU scope not established. This is a provisional connection, not an outcome finding.</w:t>
      </w:r>
    </w:p>
    <w:p>
      <w:pPr>
        <w:pStyle w:val="SourceNote"/>
      </w:pPr>
      <w:r>
        <w:rPr>
          <w:b/>
        </w:rPr>
        <w:t>Available abstract (not full text):</w:t>
      </w:r>
      <w:r>
        <w:t xml:space="preserve"> The main goal of article is to evaluate the functioning of a redraft of a legislative proposal in the Polish legal order, particularly whether this mechanism may be considered as making the legislative procedure more flexible and improving the quality of the legislative works of the Polish Parliament, or whether the constitutional shape of a redraft and its use leads to conclusions that this solution is misguided and negatively affects parliamentary legislative proceedings. Both normative analysis and systemic practice lead to the conclusion that the regulation of a redraft by the Sejm’s Rules cannot be considered optimal. From my point of view, it is necessary to make such corrections to Art. 36 par. 1a- 1c that will prevent from abusing this instrument. However, the critical assessment of the redraft standardization does not change the generally positive assessment of the institution itself, because the specific self-correction of the proposal, often resulting from the reflection of the initiator of the legislative proceedings (resulting from both internal and external factors), is fully desirable, primarily from the perspective of implementing the postulate of the legal system coherence and its completeness.</w:t>
      </w:r>
    </w:p>
    <w:p>
      <w:pPr/>
      <w:r>
        <w:rPr>
          <w:b/>
        </w:rPr>
        <w:t>POSSIBLE 2019:</w:t>
      </w:r>
      <w:r>
        <w:t xml:space="preserve"> Evaluating the Impact of the Lisbon Treaty on the European Union’s Legislative Productivity — https://doi.org/10.12797/politeja.15.2018.54.15</w:t>
      </w:r>
    </w:p>
    <w:p>
      <w:pPr/>
      <w:r>
        <w:rPr>
          <w:b/>
        </w:rPr>
        <w:t>Shared claim-specific concepts:</w:t>
      </w:r>
      <w:r>
        <w:t xml:space="preserve"> legislative, proposals, expected, number, union; EU scope visible. This is a provisional connection, not an outcome finding.</w:t>
      </w:r>
    </w:p>
    <w:p>
      <w:pPr>
        <w:pStyle w:val="SourceNote"/>
      </w:pPr>
      <w:r>
        <w:rPr>
          <w:b/>
        </w:rPr>
        <w:t>Available abstract (not full text):</w:t>
      </w:r>
      <w:r>
        <w:t xml:space="preserve"> The purpose of this article is to analyze whether the Treaty of Lisbon provisions have – as expected – increased the EU legislative productivity. To this end, the author tests the hypothesis that the TL has increased the number of legislative proposals submitted by the European Commission under the ordinary legislative procedure. This expectation is verified using a negative binomial regression on a dataset containing 1116 draft acts proposed by the Commission in 2004‑2014. The analysis shows that, contrary to expectations, the Treaty of Lisbon has not led to a visible increase in EU legislative productivity. Despite the extension of treaty bases envisaging the OLP and QMV, the number of proposals submitted under this procedure after the entry into force of the TL remained more or less at the same level as before. In addition, the study reveals that adaptation, anticipation of future enlargement, closeness to the end of the EP term as well as annual schedule of legislative work are key predictors of the Commission’s productivity.</w:t>
      </w:r>
    </w:p>
    <w:p>
      <w:pPr>
        <w:pStyle w:val="Heading2"/>
      </w:pPr>
      <w:r>
        <w:t>697.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pStyle w:val="Heading2"/>
      </w:pPr>
      <w:r>
        <w:t>698.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2022:</w:t>
      </w:r>
      <w:r>
        <w:t xml:space="preserve"> Early Warning System for the European Insurance Sector — https://doi.org/10.31577/ekoncas.2022.01.01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pPr/>
      <w:r>
        <w:rPr>
          <w:b/>
        </w:rPr>
        <w:t>POSSIBLE 2022:</w:t>
      </w:r>
      <w:r>
        <w:t xml:space="preserve"> Early Warning Systems for Small Business: Insights from Across Europe — https://doi.org/10.1142/s0218495822500157</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pPr/>
      <w:r>
        <w:rPr>
          <w:b/>
        </w:rPr>
        <w:t>POSSIBLE 2022:</w:t>
      </w:r>
      <w:r>
        <w:t xml:space="preserve"> New psychoactive substances: 25 years of early warning and response in Europe. An update from the EU Early Warning System — https://doi.org/10.1016/j.toxac.2022.06.022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Approaching European Supervisory Risk Assessment with SupTech: A Proposal of an Early Warning System — https://doi.org/10.3390/risks10040071</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Risk analysis and scenario testing are two of the core activities carried out by economists at central banks. With the increasing adoption of machine learning to enhance decision-support systems, and the amount of collected data spiking, institutions provide countless use-cases for the application of these innovative technologies. Consequently, in recent years, the term sup-tech has entered the financial jargon and is here to stay. In this paper, we address risk assessment from a central bank’s perspective. The uptrending number of involved banks and institutions raises the necessity of a standardised risk methodology. For that reason, we adopted the Risk Assessment Methodology (RAS), the quantitative pillar from the Supervisory Review and Evaluation Process (SREP). Based on real-world supervisory data from the Portuguese banking sector, from March 2014 until August 2021, we successfully model the supervisory risk assessment process, in its quantitative approach by the RAS. Our findings and the resulting model are proposed as an Early Warning System that can support supervisors in their day-to-day tasks, as well as within the SREP process.</w:t>
      </w:r>
    </w:p>
    <w:p>
      <w:pPr/>
      <w:r>
        <w:rPr>
          <w:b/>
        </w:rPr>
        <w:t>POSSIBLE 2021:</w:t>
      </w:r>
      <w:r>
        <w:t xml:space="preserve"> The Latent Diffusion Network among National Parliaments in the Early Warning System of the European Union — https://doi.org/10.1111/jcms.13135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Abstract Since the Treaty of Lisbon, national parliamentary chambers in the European Union can issue reasoned opinions on legislative proposals by the European Commission. These individual reasoned opinions lead to a review if at least one third of all chambers raise such concerns. Hence, coordination among parliaments is key. Using advances in inferential network analysis, this article infers the underlying diffusion pathways among national parliaments through which chambers are related to each other in their decisions to raise subsidiarity concerns. The emerging diffusion network is characterised by a compartmentalization into communities of European Union budget net contributor and net recipient countries. This descriptive finding has implications for the institutional effectiveness and aspired democratic legitimacy of the Early Warning System. A multivariate statistical network analysis confirms that diffusion occurs among net recipient countries and that weak institutions follow the lead of strong institutions in the Early Warning System.</w:t>
      </w:r>
    </w:p>
    <w:p>
      <w:pPr/>
      <w:r>
        <w:rPr>
          <w:b/>
        </w:rPr>
        <w:t>POSSIBLE 2021:</w:t>
      </w:r>
      <w:r>
        <w:t xml:space="preserve"> RustWatch – the first early warning system for wheat rusts in Europe — https://openalex.org/W7131930052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Toward an Early Warning System for Monitoring Asylum-Related Migration Flows in Europe — https://doi.org/10.1177/01979183211035736</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Asylum-related migration is highly complex, uncertain, and volatile, which precludes using standard model-based predictions to inform policy and operational decisions. At the same time, asylum's potentially high societal impacts on receiving countries and the resource implications of asylum processes call for more proactive approaches for assessing current and future migration flows. In this article, we propose an alternative approach to asylum modeling, based on the detection of early warning signals by using models originating from statistical control theory. Our empirical analysis of several asylum flows into Europe in 2010–2016 demonstrates the approach's utility and potential in aiding the management of mixed migration flows, while also shedding more light on the work needed to make better use of the “big data” and scenario-based methods for comprehensive and systematic examination of risk, uncertainty, and emerging trends.</w:t>
      </w:r>
    </w:p>
    <w:p>
      <w:pPr/>
      <w:r>
        <w:rPr>
          <w:b/>
        </w:rPr>
        <w:t>POSSIBLE 2021:</w:t>
      </w:r>
      <w:r>
        <w:t xml:space="preserve"> South-East European Multi-Hazard Early Warning Advisory System — https://doi.org/10.5194/ems2021-305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South-East Europe region is experiencing an increasing number of severe meteorological and hydrological hazardous events, leading to substantial loss of life, livelihoods, and damages to infrastructure and key sectors. WMO together with the National Meteorological and Hydrological Services (NMHSs) of the region (Albania, Bosnia and Herzegovina, Bulgaria, Croatia, Cyprus, Greece, Hungary, Israel, Jordan, Lebanon, North Macedonia, Republic of Moldova, Montenegro, Romania, Serbia, Slovenia, Turkey, and Ukraine) and ECMWF, as well as other key partners, are tackling this challenge with development of the ‘South-East European Multi-Hazard Early Warning Advisory System (SEE-MHEWS-A)’. The system aims to provide NMHS operational forecasters with effective, efficient, and easy to apply tools for improved and more accurate forecasting of hazardous events and early warnings and to ensure that national authorities have the best possible information to carry out early actions and make the decision that can mitigate potential impacts of hazardous situations. The development of the system and resulting empowerment of NMHSs to fulfill their core functions is one of the recognized soft measures of adaptation to climate change. This will support the NMHSs to contribute to reaching the Sustainable Development Goals, particularly Goal 13: Take urgent action to combat climate change and its impact</w:t>
      </w:r>
    </w:p>
    <w:p>
      <w:pPr/>
      <w:r>
        <w:rPr>
          <w:b/>
        </w:rPr>
        <w:t>POSSIBLE 2021:</w:t>
      </w:r>
      <w:r>
        <w:t xml:space="preserve"> Did the COVID-19 pandemic change the willingness to pay for an early warning system for infectious diseases in Europe? — https://doi.org/10.1007/s10198-021-01353-6</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highlights the need for effective infectious disease outbreak prevention. This could entail installing an integrated, international early warning system, aiming to contain and mitigate infectious diseases outbreaks. The amount of resources governments should spend on such preventive measures can be informed by the value citizens attach to such a system. This was already recognized in 2018, when a contingent valuation willingness to pay (WTP) experiment was fielded, eliciting the WTP for such a system in six European countries. We replicated that experiment in the spring of 2020 to test whether and how WTP had changed during an actual pandemic (COVID-19), taking into account differences in infection rates and stringency of measures by government between countries. Overall, we found significant increases in WTP between the two time points, with mean WTP for an early warning system increasing by about 50% (median 30%), from around €20 to €30 per month. However, there were marked differences between countries and subpopulations, and changes were only partially explained by COVID-19 burden. We discuss possible explanations for and implication of our findings.</w:t>
      </w:r>
    </w:p>
    <w:p>
      <w:pPr/>
      <w:r>
        <w:rPr>
          <w:b/>
        </w:rPr>
        <w:t>POSSIBLE 2020:</w:t>
      </w:r>
      <w:r>
        <w:t xml:space="preserve"> The Early Warning System and policymaking in the European Union — https://doi.org/10.1177/1465116520923752</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Does the Early Warning System alert the European Commission about the prospects of passing new policy? We present a model of European Union policymaking in which the Early Warning System plays an important signalling role. In our model, the Commission uses signals from the Early Warning System to update its belief about governments’ voting strategies in the Council. The Commission may then anticipate difficult negotiations by withdrawing its proposal early. We find empirical evidence for our theory: (1) reasoned opinions submitted by national parliaments strongly predict opposition from their governments and (2) the Commission is more likely to withdraw proposals that receive reasoned opinions, even in the absence of a yellow card. Our results run counter to the dominant view in the literature that the Early Warning System is not a very relevant aspect of EU decision-making. Instead, reasoned opinions constitute a clear signal that negotiations are more likely to fail.</w:t>
      </w:r>
    </w:p>
    <w:p>
      <w:pPr>
        <w:pStyle w:val="Heading2"/>
      </w:pPr>
      <w:r>
        <w:t>699.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r>
        <w:rPr>
          <w:b/>
        </w:rPr>
        <w:t>POSSIBLE 2024:</w:t>
      </w:r>
      <w:r>
        <w:t xml:space="preserve"> Design rules applied to silver nanoparticles synthesis: A practical example of machine learning application. — https://doi.org/10.1016/j.csbj.2024.02.010</w:t>
      </w:r>
    </w:p>
    <w:p>
      <w:pPr/>
      <w:r>
        <w:rPr>
          <w:b/>
        </w:rPr>
        <w:t>Shared claim-specific concepts:</w:t>
      </w:r>
      <w:r>
        <w:t xml:space="preserve"> practical, application, field; EU scope not established. This is a provisional connection, not an outcome finding.</w:t>
      </w:r>
    </w:p>
    <w:p>
      <w:pPr>
        <w:pStyle w:val="SourceNote"/>
      </w:pPr>
      <w:r>
        <w:rPr>
          <w:b/>
        </w:rPr>
        <w:t>Available abstract (not full text):</w:t>
      </w:r>
      <w:r>
        <w:t xml:space="preserve">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pPr/>
      <w:r>
        <w:rPr>
          <w:b/>
        </w:rPr>
        <w:t>POSSIBLE 2023:</w:t>
      </w:r>
      <w:r>
        <w:t xml:space="preserve"> What Is Machine Learning, Artificial Neural Networks and Deep Learning?—Examples of Practical Applications in Medicine — https://doi.org/10.3390/diagnostics13152582</w:t>
      </w:r>
    </w:p>
    <w:p>
      <w:pPr/>
      <w:r>
        <w:rPr>
          <w:b/>
        </w:rPr>
        <w:t>Shared claim-specific concepts:</w:t>
      </w:r>
      <w:r>
        <w:t xml:space="preserve"> examples, practical, application, given; EU scope not established. This is a provisional connection, not an outcome finding.</w:t>
      </w:r>
    </w:p>
    <w:p>
      <w:pPr>
        <w:pStyle w:val="SourceNote"/>
      </w:pPr>
      <w:r>
        <w:rPr>
          <w:b/>
        </w:rPr>
        <w:t>Available abstract (not full text):</w:t>
      </w:r>
      <w:r>
        <w:t xml:space="preserve">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pPr/>
      <w:r>
        <w:rPr>
          <w:b/>
        </w:rPr>
        <w:t>POSSIBLE 2023:</w:t>
      </w:r>
      <w:r>
        <w:t xml:space="preserve"> Modern film coatings for glass and examples of their practical application — https://doi.org/10.33920/pro-01-2303-04</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The material is devoted to architectural and protective self-adhesive polymer PET films used in the construction of translucent structures and glazing.In the matter of using these materials for more than 20 years of research and observations about professional films, an objective opinion has been formed about professional films as a reliable, durable and highquality product for translucent glazing. But still it is necessary to admit that this product is undervalued in the modern market of services.</w:t>
      </w:r>
    </w:p>
    <w:p>
      <w:pPr/>
      <w:r>
        <w:rPr>
          <w:b/>
        </w:rPr>
        <w:t>POSSIBLE 2023:</w:t>
      </w:r>
      <w:r>
        <w:t xml:space="preserve"> ORGANIZATIONAL BEHAVIOUR: THEORETICAL PERSPECTIVES, PRACTICAL APPLICATIONS, AND REAL-WORLD EXAMPLES — https://doi.org/10.29121/shodhkosh.v4.i2.2023.4743</w:t>
      </w:r>
    </w:p>
    <w:p>
      <w:pPr/>
      <w:r>
        <w:rPr>
          <w:b/>
        </w:rPr>
        <w:t>Shared claim-specific concepts:</w:t>
      </w:r>
      <w:r>
        <w:t xml:space="preserve"> examples, practical, individual, trends; EU scope not established. This is a provisional connection, not an outcome finding.</w:t>
      </w:r>
    </w:p>
    <w:p>
      <w:pPr>
        <w:pStyle w:val="SourceNote"/>
      </w:pPr>
      <w:r>
        <w:rPr>
          <w:b/>
        </w:rPr>
        <w:t>Available abstract (not full text):</w:t>
      </w:r>
      <w:r>
        <w:t xml:space="preserve"> Organizational Behaviour (OB) is the study of human behaviour in professional settings, focusing on individual and group interactions, organizational structures, and leadership styles. This paper explores the theoretical foundations of OB while integrating real-world examples to illustrate practical applications. Topics include motivation theories, leadership, communication, decision-making, and organizational culture. Emerging trends such as artificial intelligence (AI), remote work, and workforce diversity are also discussed. This study aims to provide managers, employees, and researchers with insights into how OB influences workplace productivity, job satisfaction, and organizational effectiveness.</w:t>
      </w:r>
    </w:p>
    <w:p>
      <w:pPr/>
      <w:r>
        <w:rPr>
          <w:b/>
        </w:rPr>
        <w:t>POSSIBLE 2023:</w:t>
      </w:r>
      <w:r>
        <w:t xml:space="preserve"> Exploring Applications and Practical Examples by Streamlining Material Requirements Planning (MRP) with Python — https://doi.org/10.3390/logistics7040091</w:t>
      </w:r>
    </w:p>
    <w:p>
      <w:pPr/>
      <w:r>
        <w:rPr>
          <w:b/>
        </w:rPr>
        <w:t>Shared claim-specific concepts:</w:t>
      </w:r>
      <w:r>
        <w:t xml:space="preserve"> examples, practical, field; EU scope not established. This is a provisional connection, not an outcome finding.</w:t>
      </w:r>
    </w:p>
    <w:p>
      <w:pPr>
        <w:pStyle w:val="SourceNote"/>
      </w:pPr>
      <w:r>
        <w:rPr>
          <w:b/>
        </w:rPr>
        <w:t>Available abstract (not full text):</w:t>
      </w:r>
      <w:r>
        <w:t xml:space="preserve"> Background: Material Requirements Planning (MRP) is critical in Supply Chain Management (SCM), facilitating effective inventory management and meeting production demands in the manufacturing sector. Despite the potential benefits of automating the MRP tasks to meet the demand for expedited and efficient management, the field appears to be lagging behind in harnessing the advancements offered by Artificial Intelligence (AI) and sophisticated programming languages. Consequently, this study aims to address this gap by exploring the applications of Python in simplifying the MRP processes. Methods: This article offers a twofold approach: firstly, it conducts research to uncover the potential applications of the Python code in streamlining the MRP operations, and the practical examples serve as evidence of Python’s efficacy in simplifying the MRP tasks; secondly, this article introduces a conceptual framework that showcases the Python ecosystem, highlighting libraries and structures that enable efficient data manipulation, analysis, and optimization techniques. Results: This study presents a versatile framework that integrates a variety of Python tools, including but not limited to Pandas, Matplotlib, and Plotly, to streamline and actualize an 8-step MRP process. Additionally, it offers preliminary insights into the integration of the Python-based MRP solution (MRP.py) with Enterpris</w:t>
      </w:r>
    </w:p>
    <w:p>
      <w:pPr/>
      <w:r>
        <w:rPr>
          <w:b/>
        </w:rPr>
        <w:t>POSSIBLE 2022:</w:t>
      </w:r>
      <w:r>
        <w:t xml:space="preserve"> Treatment of Cushing’s syndrome with osilodrostat: practical applications of recent studies with case examples — https://doi.org/10.1007/s11102-022-01268-2</w:t>
      </w:r>
    </w:p>
    <w:p>
      <w:pPr/>
      <w:r>
        <w:rPr>
          <w:b/>
        </w:rPr>
        <w:t>Shared claim-specific concepts:</w:t>
      </w:r>
      <w:r>
        <w:t xml:space="preserve"> examples, practical, administration; EU scope not established. This is a provisional connection, not an outcome finding.</w:t>
      </w:r>
    </w:p>
    <w:p>
      <w:pPr>
        <w:pStyle w:val="SourceNote"/>
      </w:pPr>
      <w:r>
        <w:rPr>
          <w:b/>
        </w:rPr>
        <w:t>Available abstract (not full text):</w:t>
      </w:r>
      <w:r>
        <w:t xml:space="preserve"> Endogenous Cushing's syndrome (CS) is a rare endocrine condition frequently caused by a tumor resulting in elevated cortisol levels. Cushing's disease (CD) caused by an adrenocorticotropic hormone-secreting pituitary adenoma is the most common form of endogenous CS. Medical therapy for CD is mostly used as second-line treatment after failed surgery or recurrence and comprises several pituitary-directed drugs, adrenal steroidogenesis inhibitors, and a glucocorticoid receptor blocker, some of which are US Food and Drug Administration (FDA)-approved for this condition. The recent Pituitary Society consensus guidelines for diagnosis and management of CD described osilodrostat, an oral inhibitor of 11β-hydroxylase, as an effective, FDA-approved medical therapy for CD. Because clinical experience outside clinical trials is limited, we provide here a review of published data about osilodrostat and offer example case studies demonstrating practical considerations on the use of this medication. Recommendations regarding osilodrostat are provided for the following situations: specific assessments needed before treatment initiation; monitoring for adrenal insufficiency, hypokalemia, and changes in QTc; the potential value of a slow up-titration in patients with mild disease; managing temporary treatment cessation for patients with CD who have acquired coronavirus disease 2019; monitoring </w:t>
      </w:r>
    </w:p>
    <w:p>
      <w:pPr/>
      <w:r>
        <w:rPr>
          <w:b/>
        </w:rPr>
        <w:t>POSSIBLE 2021:</w:t>
      </w:r>
      <w:r>
        <w:t xml:space="preserve"> Practical Applications Examples — https://doi.org/10.1002/9781119283409.ch3</w:t>
      </w:r>
    </w:p>
    <w:p>
      <w:pPr/>
      <w:r>
        <w:rPr>
          <w:b/>
        </w:rPr>
        <w:t>Shared claim-specific concepts:</w:t>
      </w:r>
      <w:r>
        <w:t xml:space="preserve"> examples, practical, prediction; EU scope not established. This is a provisional connection, not an outcome finding.</w:t>
      </w:r>
    </w:p>
    <w:p>
      <w:pPr>
        <w:pStyle w:val="SourceNote"/>
      </w:pPr>
      <w:r>
        <w:rPr>
          <w:b/>
        </w:rPr>
        <w:t>Available abstract (not full text):</w:t>
      </w:r>
      <w:r>
        <w:t xml:space="preserve"> This chapter considers additional problems that arise in formation tester well logging. It introduces two rapid, “mass production” or “batch processes” which automate the algorithms behind flagship simulator FT-00. These include: rapid batch analysis, and multiprobe DOI. The chapter addresses important questions related to forward pressure calculations in the steady-state limit, and also, inverse predictions for kh and kv and “effective permeability” in transversely isotropic media. FT-00 was designed for rapid, accurate, easy-to-use and interactive forward simulations where the user can “randomly” change input variables to ascertain the effects of different variables like permeability, porosity, flowline volume, pumpout schedule, and so on. The term “supercharge” is often discussed in the context of pressure error measurement in formation testing, that is, inaccuracies in pore pressure prediction as they are affected by overbalance in the nearby well. The chapter focuses on the process with which dynamically coupled supercharging, mudcake growth and filtrate invasion occur.</w:t>
      </w:r>
    </w:p>
    <w:p>
      <w:pPr/>
      <w:r>
        <w:rPr>
          <w:b/>
        </w:rPr>
        <w:t>POSSIBLE 2021:</w:t>
      </w:r>
      <w:r>
        <w:t xml:space="preserve"> The Real Application of the Software Filter Selection Methodology on Practical Examples — https://doi.org/10.2507/32nd.daaam.proceedings.023</w:t>
      </w:r>
    </w:p>
    <w:p>
      <w:pPr/>
      <w:r>
        <w:rPr>
          <w:b/>
        </w:rPr>
        <w:t>Shared claim-specific concepts:</w:t>
      </w:r>
      <w:r>
        <w:t xml:space="preserve"> examples, practical, application, methodology, prediction, basis; EU scope not established. This is a provisional connection, not an outcome finding.</w:t>
      </w:r>
    </w:p>
    <w:p>
      <w:pPr>
        <w:pStyle w:val="SourceNote"/>
      </w:pPr>
      <w:r>
        <w:rPr>
          <w:b/>
        </w:rPr>
        <w:t>Available abstract (not full text):</w:t>
      </w:r>
      <w:r>
        <w:t xml:space="preserve"> The functional surfaces of components are usually finished by chip and chipless machining methods.The designer prescribes the basic properties of the surface with respect to its intended function.The task of the technology is to implement this prescription.Ideally, in the case of completely error-free production, the finished part is directly ready for functional use.In normal practice, however, the conditions of the production process do not remain completely constant, and it is, therefore, necessary to include inspection operations to detect any deviations that may affect the function of the component (e.g.deviations in dimensions, shape, surface quality, hardness of the component material, etc.).Changes in the manufacturing process affect the surface structure in various ways.Importantly, the measurement of the surface structure not only leads to the determination of the actual surface condition but also provides a basis for the control of the manufacturing process and the prediction of the functional properties of the surface.In the area described in this article, the area of software filter selection in real examples, this is not always the case.And the main reason for this is the low awareness and the high complexity of choosing the appropriate combination of possible procedures and techniques for setting up software filters.In this paper, possible differences in not foll</w:t>
      </w:r>
    </w:p>
    <w:p>
      <w:pPr>
        <w:pStyle w:val="Heading2"/>
      </w:pPr>
      <w:r>
        <w:t>700.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2023:</w:t>
      </w:r>
      <w:r>
        <w:t xml:space="preserve"> HANZE database of historical flood impacts in Europe, 1870-2020 — https://doi.org/10.5281/zenodo.8221453</w:t>
      </w:r>
    </w:p>
    <w:p>
      <w:pPr/>
      <w:r>
        <w:rPr>
          <w:b/>
        </w:rPr>
        <w:t>Shared claim-specific concepts:</w:t>
      </w:r>
      <w:r>
        <w:t xml:space="preserve"> historical, data, database, gross; EU scope visible. This is a provisional connection, not an outcome finding.</w:t>
      </w:r>
    </w:p>
    <w:p>
      <w:pPr>
        <w:pStyle w:val="SourceNote"/>
      </w:pPr>
      <w:r>
        <w:rPr>
          <w:b/>
        </w:rPr>
        <w:t>Available abstract (not full text):</w:t>
      </w:r>
      <w:r>
        <w:t xml:space="preserve">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pPr/>
      <w:r>
        <w:rPr>
          <w:b/>
        </w:rPr>
        <w:t>POSSIBLE 2023:</w:t>
      </w:r>
      <w:r>
        <w:t xml:space="preserve"> Predicting the Past: Imputation of Historical Data — https://doi.org/10.31234/osf.io/9gpwf</w:t>
      </w:r>
    </w:p>
    <w:p>
      <w:pPr/>
      <w:r>
        <w:rPr>
          <w:b/>
        </w:rPr>
        <w:t>Shared claim-specific concepts:</w:t>
      </w:r>
      <w:r>
        <w:t xml:space="preserve"> historical, data, database; EU scope not established. This is a provisional connection, not an outcome finding.</w:t>
      </w:r>
    </w:p>
    <w:p>
      <w:pPr>
        <w:pStyle w:val="SourceNote"/>
      </w:pPr>
      <w:r>
        <w:rPr>
          <w:b/>
        </w:rPr>
        <w:t>Available abstract (not full text):</w:t>
      </w:r>
      <w:r>
        <w:t xml:space="preserve">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pPr/>
      <w:r>
        <w:rPr>
          <w:b/>
        </w:rPr>
        <w:t>POSSIBLE 2023:</w:t>
      </w:r>
      <w:r>
        <w:t xml:space="preserve"> Normalized power priors always discount historical data — https://doi.org/10.1002/sta4.591</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pPr/>
      <w:r>
        <w:rPr>
          <w:b/>
        </w:rPr>
        <w:t>POSSIBLE 2022:</w:t>
      </w:r>
      <w:r>
        <w:t xml:space="preserve"> Historical reconstruction of soil erosion in Europe — https://doi.org/10.2905/jrc.c2803r8</w:t>
      </w:r>
    </w:p>
    <w:p>
      <w:pPr/>
      <w:r>
        <w:rPr>
          <w:b/>
        </w:rPr>
        <w:t>Shared claim-specific concepts:</w:t>
      </w:r>
      <w:r>
        <w:t xml:space="preserve"> starting, historical, data; EU scope visible. This is a provisional connection, not an outcome finding.</w:t>
      </w:r>
    </w:p>
    <w:p>
      <w:pPr>
        <w:pStyle w:val="SourceNote"/>
      </w:pPr>
      <w:r>
        <w:rPr>
          <w:b/>
        </w:rPr>
        <w:t>Available abstract (not full text):</w:t>
      </w:r>
      <w:r>
        <w:t xml:space="preserve">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pPr/>
      <w:r>
        <w:rPr>
          <w:b/>
        </w:rPr>
        <w:t>POSSIBLE 2022:</w:t>
      </w:r>
      <w:r>
        <w:t xml:space="preserve"> Historical Spruce Abundance in Central Europe: A Combined Dendrochronological and Palynological Approach — https://doi.org/10.3389/fevo.2022.909453</w:t>
      </w:r>
    </w:p>
    <w:p>
      <w:pPr/>
      <w:r>
        <w:rPr>
          <w:b/>
        </w:rPr>
        <w:t>Shared claim-specific concepts:</w:t>
      </w:r>
      <w:r>
        <w:t xml:space="preserve"> starting, historical, data, consumption, varies; EU scope visible. This is a provisional connection, not an outcome finding.</w:t>
      </w:r>
    </w:p>
    <w:p>
      <w:pPr>
        <w:pStyle w:val="SourceNote"/>
      </w:pPr>
      <w:r>
        <w:rPr>
          <w:b/>
        </w:rPr>
        <w:t>Available abstract (not full text):</w:t>
      </w:r>
      <w:r>
        <w:t xml:space="preserve">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pPr/>
      <w:r>
        <w:rPr>
          <w:b/>
        </w:rPr>
        <w:t>POSSIBLE 2021:</w:t>
      </w:r>
      <w:r>
        <w:t xml:space="preserve"> Scenario generation by selection from historical data — https://doi.org/10.1007/s10287-021-00399-4</w:t>
      </w:r>
    </w:p>
    <w:p>
      <w:pPr/>
      <w:r>
        <w:rPr>
          <w:b/>
        </w:rPr>
        <w:t>Shared claim-specific concepts:</w:t>
      </w:r>
      <w:r>
        <w:t xml:space="preserve"> historical, data; EU scope not established. This is a provisional connection, not an outcome finding.</w:t>
      </w:r>
    </w:p>
    <w:p>
      <w:pPr>
        <w:pStyle w:val="SourceNote"/>
      </w:pPr>
      <w:r>
        <w:rPr>
          <w:b/>
        </w:rPr>
        <w:t>Available abstract (not full text):</w:t>
      </w:r>
      <w:r>
        <w:t xml:space="preserve"> Abstract In this paper, we present and compare several methods for generating scenarios for stochastic-programming models by direct selection from historical data. The methods range from standard sampling and k -means, through iterative sampling-based selection methods, to a new moment-based optimization approach. We compare the models on a simple portfolio-optimization model and show how to use them in a situation when we are selecting whole sequences from the data, instead of single data points.</w:t>
      </w:r>
    </w:p>
    <w:p>
      <w:pPr/>
      <w:r>
        <w:rPr>
          <w:b/>
        </w:rPr>
        <w:t>POSSIBLE 2020:</w:t>
      </w:r>
      <w:r>
        <w:t xml:space="preserve"> ClimateEU, scale-free climate normals, historical time series, and future projections for Europe — https://doi.org/10.1038/s41597-020-00763-0</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Interpolated climate data have become essential for regional or local climate change impact assessments and the development of climate change adaptation strategies. Here, we contribute an accessible, comprehensive database of interpolated climate data for Europe that includes monthly, annual, decadal, and 30-year normal climate data for the last 119 years (1901 to 2019) as well as multi-model CMIP5 climate change projections for the 21 st century. The database also includes variables relevant for ecological research and infrastructure planning, comprising more than 20,000 climate grids that can be queried with a provided ClimateEU software package. In addition, 1 km and 2.5 km resolution gridded data generated by the software are available for download. The quality of ClimateEU estimates was evaluated against weather station data for a representative subset of climate variables. Dynamic environmental lapse rate algorithms employed by the software to generate scale-free climate variables for specific locations lead to improvements of 10 to 50% in accuracy compared to gridded data. We conclude with a discussion of applications and limitations of this database.</w:t>
      </w:r>
    </w:p>
    <w:p>
      <w:pPr/>
      <w:r>
        <w:rPr>
          <w:b/>
        </w:rPr>
        <w:t>POSSIBLE 2020:</w:t>
      </w:r>
      <w:r>
        <w:t xml:space="preserve"> Historical Atlas of Central Europe — https://doi.org/10.5325/hungarianstud.46-47.1.0107</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This is the rare case of a book that has been reviewed almost one hundred times before, if we include the eighty reviews of the first edition of 1993 and the fifteen reviews of the second edition of 2001, which introduced twenty new maps, partly because of political changes during the 1990s. It was also a different kind of atlas, because in contrast to the first edition, now the maps were produced digitally, which allowed for easier revision for the third edition that we review here. (Readers should consider buying the electronic version, with added features, which is available at the same price as the paperback!)The “Historical Atlas of Central Europe” has been a major Canadian-US research project for more than a quarter century. The book has even changed its name, after many Central Europeans found the designation “East Central Europe” in the first edition somehow offensive; but more importantly because the territory covered by the atlas is “Central Europe” “in purely geographical terms” (xiii). It could easily be argued that such purity can be contested, because geographers are part of the ongoing struggle to define what “Europe” is and where the “center” of the continent lies.1 The same problem, from the standpoint of constructivist approaches, arises regarding “ethnic groups.” In the atlas there are maps and statistics (Map 30, p. 97; Map 55, p. 189) that show and list the</w:t>
      </w:r>
    </w:p>
    <w:p>
      <w:pPr/>
      <w:r>
        <w:rPr>
          <w:b/>
        </w:rPr>
        <w:t>POSSIBLE 2020:</w:t>
      </w:r>
      <w:r>
        <w:t xml:space="preserve"> Borderplex Historical Data to 2018 — https://openalex.org/W7167177269</w:t>
      </w:r>
    </w:p>
    <w:p>
      <w:pPr/>
      <w:r>
        <w:rPr>
          <w:b/>
        </w:rPr>
        <w:t>Shared claim-specific concepts:</w:t>
      </w:r>
      <w:r>
        <w:t xml:space="preserve"> historical, data, consumption; EU scope not established. This is a provisional connection, not an outcome finding.</w:t>
      </w:r>
    </w:p>
    <w:p>
      <w:pPr>
        <w:pStyle w:val="SourceNote"/>
      </w:pPr>
      <w:r>
        <w:rPr>
          <w:b/>
        </w:rPr>
        <w:t>Available abstract (not full text):</w:t>
      </w:r>
      <w:r>
        <w:t xml:space="preserve"> This report provides a compendium of annual frequency Border Region Modeling Project historical data from 1947 to 2018.These data are provided via 19 sets of tables and graphs.Geographic coverage provided in this compendium includes El Paso, Texas; Ciudad Juárez, Mexico; Chihuahua City, Mexico; and Las Cruces, New Mexico.Topical coverage includes demography, employment, personal income, retail sales, residential and nonresidential real estate, transportation flows, hotel activity, municipal water consumption, and cross border manufacturing.</w:t>
      </w:r>
    </w:p>
    <w:p>
      <w:pPr>
        <w:pStyle w:val="Heading2"/>
      </w:pPr>
      <w:r>
        <w:t>701.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2023:</w:t>
      </w:r>
      <w:r>
        <w:t xml:space="preserve"> The effects of climate change on mental health — https://doi.org/10.3238/arztebl.m2022.0403</w:t>
      </w:r>
    </w:p>
    <w:p>
      <w:pPr/>
      <w:r>
        <w:rPr>
          <w:b/>
        </w:rPr>
        <w:t>Shared claim-specific concepts:</w:t>
      </w:r>
      <w:r>
        <w:t xml:space="preserve"> climate, estimate, increase, not; EU scope not established. This is a provisional connection, not an outcome finding.</w:t>
      </w:r>
    </w:p>
    <w:p>
      <w:pPr>
        <w:pStyle w:val="SourceNote"/>
      </w:pPr>
      <w:r>
        <w:rPr>
          <w:b/>
        </w:rPr>
        <w:t>Available abstract (not full text):</w:t>
      </w:r>
      <w:r>
        <w:t xml:space="preserve">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pPr/>
      <w:r>
        <w:rPr>
          <w:b/>
        </w:rPr>
        <w:t>POSSIBLE 2023:</w:t>
      </w:r>
      <w:r>
        <w:t xml:space="preserve"> Effects of Climate Change and Drought Tolerance on Maize Growth — https://doi.org/10.3390/plants12203548</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pPr/>
      <w:r>
        <w:rPr>
          <w:b/>
        </w:rPr>
        <w:t>POSSIBLE 2023:</w:t>
      </w:r>
      <w:r>
        <w:t xml:space="preserve"> The effects of climate change on the ecology of fishes — https://doi.org/10.1371/journal.pclm.0000258</w:t>
      </w:r>
    </w:p>
    <w:p>
      <w:pPr/>
      <w:r>
        <w:rPr>
          <w:b/>
        </w:rPr>
        <w:t>Shared claim-specific concepts:</w:t>
      </w:r>
      <w:r>
        <w:t xml:space="preserve"> climate, not; EU scope not established. This is a provisional connection, not an outcome finding.</w:t>
      </w:r>
    </w:p>
    <w:p>
      <w:pPr>
        <w:pStyle w:val="SourceNote"/>
      </w:pPr>
      <w:r>
        <w:rPr>
          <w:b/>
        </w:rPr>
        <w:t>Available abstract (not full text):</w:t>
      </w:r>
      <w:r>
        <w:t xml:space="preserve">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pPr/>
      <w:r>
        <w:rPr>
          <w:b/>
        </w:rPr>
        <w:t>POSSIBLE 2021:</w:t>
      </w:r>
      <w:r>
        <w:t xml:space="preserve"> Health effects of climate change: an overview of systematic reviews — https://doi.org/10.1136/bmjopen-2020-046333</w:t>
      </w:r>
    </w:p>
    <w:p>
      <w:pPr/>
      <w:r>
        <w:rPr>
          <w:b/>
        </w:rPr>
        <w:t>Shared claim-specific concepts:</w:t>
      </w:r>
      <w:r>
        <w:t xml:space="preserve"> climate, used, not; EU scope not established. This is a provisional connection, not an outcome finding.</w:t>
      </w:r>
    </w:p>
    <w:p>
      <w:pPr>
        <w:pStyle w:val="SourceNote"/>
      </w:pPr>
      <w:r>
        <w:rPr>
          <w:b/>
        </w:rPr>
        <w:t>Available abstract (not full text):</w:t>
      </w:r>
      <w:r>
        <w:t xml:space="preserve"> OBJECTIVES: We aimed to develop a systematic synthesis of systematic reviews of health impacts of climate change, by synthesising studies' characteristics, climate impacts, health outcomes and key findings. DESIGN: We conducted an overview of systematic reviews of health impacts of climate change. We registered our review in PROSPERO (CRD42019145972). No ethical approval was required since we used secondary data. Additional data are not available. DATA SOURCES: On 22 June 2019, we searched Medline, Cumulative Index to Nursing and Allied Health Literature (CINAHL), Embase, Cochrane and Web of Science. ELIGIBILITY CRITERIA: We included systematic reviews that explored at least one health impact of climate change. DATA EXTRACTION AND SYNTHESIS: We organised systematic reviews according to their key characteristics, including geographical regions, year of publication and authors' affiliations. We mapped the climate effects and health outcomes being studied and synthesised major findings. We used a modified version of A MeaSurement Tool to Assess systematic Reviews-2 (AMSTAR-2) to assess the quality of studies. RESULTS: We included 94 systematic reviews. Most were published after 2015 and approximately one-fifth contained meta-analyses. Reviews synthesised evidence about five categories of climate impacts; the two most common were meteorological and extreme weather events. Reviews c</w:t>
      </w:r>
    </w:p>
    <w:p>
      <w:pPr/>
      <w:r>
        <w:rPr>
          <w:b/>
        </w:rPr>
        <w:t>POSSIBLE 2021:</w:t>
      </w:r>
      <w:r>
        <w:t xml:space="preserve"> Effects of Climate Change on Invasive Species — https://doi.org/10.1007/978-3-030-45367-1_4</w:t>
      </w:r>
    </w:p>
    <w:p>
      <w:pPr/>
      <w:r>
        <w:rPr>
          <w:b/>
        </w:rPr>
        <w:t>Shared claim-specific concepts:</w:t>
      </w:r>
      <w:r>
        <w:t xml:space="preserve"> climate, atmospheric, low, emission, increase, but; EU scope not established. This is a provisional connection, not an outcome finding.</w:t>
      </w:r>
    </w:p>
    <w:p>
      <w:pPr>
        <w:pStyle w:val="SourceNote"/>
      </w:pPr>
      <w:r>
        <w:rPr>
          <w:b/>
        </w:rPr>
        <w:t>Available abstract (not full text):</w:t>
      </w:r>
      <w:r>
        <w:t xml:space="preserve"> Abstract Mean surface temperatures have increased globally by ~0.7 °C per century since 1900 and 0.16 °C per decade since 1970 (Levinson and Fettig 2014). Most of this warming is believed to result from increases in atmospheric concentrations of greenhouse gases produced by human activity. Temperature increases have been greater in winter than in summer, and there is a tendency for these increases to be manifested mainly by changes in minimum (nighttime low) temperatures (Kukla and Karl 1993). Changes in precipitation patterns have also been observed, but are more variable than those of temperature. Even under conservative emission scenarios, future climatic changes are likely to include further increases in temperature with significant drying (drought) in some regions and increases in the frequency and severity of extreme weather events (IPCC 2007). For example, multimodel means of annual temperature from climate projections predict an increase of 3–9 °C in the United States over the next century combined with reductions in summer precipitation in certain areas (Walsh et al. 2014). These changes will affect invasive species in several ways. Furthermore, climate change may challenge the way we perceive and consider nonnative invasive species, as impacts to some will change and others will remain unaffected; other nonnative species are likely to become invasive; and native speci</w:t>
      </w:r>
    </w:p>
    <w:p>
      <w:pPr/>
      <w:r>
        <w:rPr>
          <w:b/>
        </w:rPr>
        <w:t>POSSIBLE 2021:</w:t>
      </w:r>
      <w:r>
        <w:t xml:space="preserve"> Effects of Climate Change on Avalanche Accidents and Survival — https://doi.org/10.3389/fphys.2021.639433</w:t>
      </w:r>
    </w:p>
    <w:p>
      <w:pPr/>
      <w:r>
        <w:rPr>
          <w:b/>
        </w:rPr>
        <w:t>Shared claim-specific concepts:</w:t>
      </w:r>
      <w:r>
        <w:t xml:space="preserve"> climate, increase, not; EU scope not established. This is a provisional connection, not an outcome finding.</w:t>
      </w:r>
    </w:p>
    <w:p>
      <w:pPr>
        <w:pStyle w:val="SourceNote"/>
      </w:pPr>
      <w:r>
        <w:rPr>
          <w:b/>
        </w:rPr>
        <w:t>Available abstract (not full text):</w:t>
      </w:r>
      <w:r>
        <w:t xml:space="preserve"> Avalanches are major natural hazards in snow-covered mountains, threatening people and infrastructure. With ongoing climate change, the frequency and types of snow avalanches may change, affecting the rates of avalanche burial and survival. With a wetter and warmer snow climate, consequences of burial may become more severe. In this review, we assess the potential effects of climate change on the frequency and characteristics of avalanches. We then discuss how these changes might affect the survival rates of subjects buried by avalanches and might influence the responses of search and rescue (SAR) teams and health care providers. While climate change is inevitable, the effects on avalanches remain elusive. The frequency of human triggered avalanches may not change, because this depends largely on the number and behavior of winter recreationists. Blunt trauma and secondary injuries will likely become more frequent as terrain roughness is expected to rise and snow cover to become thinner. Higher snow densities in avalanche debris will likely interfere with the respiration of completely buried victims. Asphyxia and trauma, as causes of avalanche death, may increase. It is unlikely that SAR and health care providers involved in avalanche rescue will have to change their strategies in areas where they are already established. The effects of climate change might foster the expansion </w:t>
      </w:r>
    </w:p>
    <w:p>
      <w:pPr/>
      <w:r>
        <w:rPr>
          <w:b/>
        </w:rPr>
        <w:t>POSSIBLE 2020:</w:t>
      </w:r>
      <w:r>
        <w:t xml:space="preserve"> Changing wildfire, changing forests: the effects of climate change on fire regimes and vegetation in the Pacific Northwest, USA — https://doi.org/10.1186/s42408-019-0062-8</w:t>
      </w:r>
    </w:p>
    <w:p>
      <w:pPr/>
      <w:r>
        <w:rPr>
          <w:b/>
        </w:rPr>
        <w:t>Shared claim-specific concepts:</w:t>
      </w:r>
      <w:r>
        <w:t xml:space="preserve"> climate, used, increase; EU scope not established. This is a provisional connection, not an outcome finding.</w:t>
      </w:r>
    </w:p>
    <w:p>
      <w:pPr>
        <w:pStyle w:val="SourceNote"/>
      </w:pPr>
      <w:r>
        <w:rPr>
          <w:b/>
        </w:rPr>
        <w:t>Available abstract (not full text):</w:t>
      </w:r>
      <w:r>
        <w:t xml:space="preserve"> Abstract Background Wildfires in the Pacific Northwest (Washington, Oregon, Idaho, and western Montana, USA) have been immense in recent years, capturing the attention of resource managers, fire scientists, and the general public. This paper synthesizes understanding of the potential effects of changing climate and fire regimes on Pacific Northwest forests, including effects on disturbance and stress interactions, forest structure and composition, and post-fire ecological processes. We frame this information in a risk assessment context, and conclude with management implications and future research needs. Results Large and severe fires in the Pacific Northwest are associated with warm and dry conditions, and such conditions will likely occur with increasing frequency in a warming climate. According to projections based on historical records, current trends, and simulation modeling, protracted warmer and drier conditions will drive lower fuel moisture and longer fire seasons in the future, likely increasing the frequency and extent of fires compared to the twentieth century. Interactions between fire and other disturbances, such as drought and insect outbreaks, are likely to be the primary drivers of ecosystem change in a warming climate. Reburns are also likely to occur more frequently with warming and drought, with potential effects on tree regeneration and species composition</w:t>
      </w:r>
    </w:p>
    <w:p>
      <w:pPr/>
      <w:r>
        <w:rPr>
          <w:b/>
        </w:rPr>
        <w:t>POSSIBLE 2019:</w:t>
      </w:r>
      <w:r>
        <w:t xml:space="preserve"> Climate change effects on earthworms - a review — https://doi.org/10.25674/so91iss3pp114</w:t>
      </w:r>
    </w:p>
    <w:p>
      <w:pPr/>
      <w:r>
        <w:rPr>
          <w:b/>
        </w:rPr>
        <w:t>Shared claim-specific concepts:</w:t>
      </w:r>
      <w:r>
        <w:t xml:space="preserve"> climate, baseline, increase; EU scope not established. This is a provisional connection, not an outcome finding.</w:t>
      </w:r>
    </w:p>
    <w:p>
      <w:pPr>
        <w:pStyle w:val="SourceNote"/>
      </w:pPr>
      <w:r>
        <w:rPr>
          <w:b/>
        </w:rPr>
        <w:t>Available abstract (not full text):</w:t>
      </w:r>
      <w:r>
        <w:t xml:space="preserve"> Climate change can have a plethora of effects on organisms above and below the ground in terrestrial ecosystems. Given the tremendous biodiversity in the soil and the many ecosystem functions governed by soil organisms, the drivers of soil biodiversity have received increasing attention. Various climatic factors like temperature, precipitation, soil moisture, as well as extreme climate events like drought and flood have been shown to alter the composition and functioning of communities in the soil. Earthworms are important ecosystem engineers in the soils of temperate and tropical climates and play crucial roles for many ecosystem services, including decomposition, nutrient cycling, and crop yield. Here, we review the published literature on climate change effects on earthworm communities and activity. In general, we find highly species- and ecological group-specific responses to climate change, which are likely to result in altered earthworm community composition in future ecosystems. Earthworm activity, abundance, and biomass tend to increase with increasing temperature at sufficiently high soil water content, while climate extremes like drought and flooding have deleterious effects. Changing climate conditions may facilitate the invasion of earthworms at higher latitudes and altitudes, while dryer and warmer conditions may limit earthworm performance in other regions of the </w:t>
      </w:r>
    </w:p>
    <w:p>
      <w:pPr/>
      <w:r>
        <w:rPr>
          <w:b/>
        </w:rPr>
        <w:t>POSSIBLE 2019:</w:t>
      </w:r>
      <w:r>
        <w:t xml:space="preserve"> Effects of Climate Change in Agricultural Insect Pest — https://doi.org/10.31080/asag.2019.03.0727</w:t>
      </w:r>
    </w:p>
    <w:p>
      <w:pPr/>
      <w:r>
        <w:rPr>
          <w:b/>
        </w:rPr>
        <w:t>Shared claim-specific concepts:</w:t>
      </w:r>
      <w:r>
        <w:t xml:space="preserve"> climate, rising, used, increase; EU scope visible. This is a provisional connection, not an outcome finding.</w:t>
      </w:r>
    </w:p>
    <w:p>
      <w:pPr>
        <w:pStyle w:val="SourceNote"/>
      </w:pPr>
      <w:r>
        <w:rPr>
          <w:b/>
        </w:rPr>
        <w:t>Available abstract (not full text):</w:t>
      </w:r>
      <w:r>
        <w:t xml:space="preserve"> Climate change, an emerging global concern have serious effects in every aspects of agriculture.Changed patterns in climatic factors like temperature, precipitation, humidity and other meteorological components are affecting the quality and quantity of agricultural commodities production.Along with direct impacts in crop productivity, climate change is threatening global food production via pest related losses of food crops.Each additional degree of temperature rise could cause yield losses from insect pests to increase by a further 10-25%.Climate change has increased pest population and their damage potential by expanding distribution, enhancing survivability and allowing to develop the adaptability of insect pest.Rising temperature, modified precipitation patterns, disturbed gaseous composition of atmosphere etc. are causing the change in population, mobility, behavior of insect pest.This change has been affecting the global agricultural production figure.Largest grain producers of the world viz.China, the US, France etc. are already facing massive infestation of crop pest and consequent yield losses.Climate change has been the talk of the century.Observed shifts in global climatic phenomena and consequent losses have caught the attention of the world.Climate Change can be illustrated as the phenomenon that includes change in environmental factors like temperature, humidity a</w:t>
      </w:r>
    </w:p>
    <w:p>
      <w:pPr/>
      <w:r>
        <w:rPr>
          <w:b/>
        </w:rPr>
        <w:t>POSSIBLE 2019:</w:t>
      </w:r>
      <w:r>
        <w:t xml:space="preserve"> Climate change effects on deer and moose in the Midwest — https://doi.org/10.1002/jwmg.21649</w:t>
      </w:r>
    </w:p>
    <w:p>
      <w:pPr/>
      <w:r>
        <w:rPr>
          <w:b/>
        </w:rPr>
        <w:t>Shared claim-specific concepts:</w:t>
      </w:r>
      <w:r>
        <w:t xml:space="preserve"> climate, increase; EU scope not established. This is a provisional connection, not an outcome finding.</w:t>
      </w:r>
    </w:p>
    <w:p>
      <w:pPr>
        <w:pStyle w:val="SourceNote"/>
      </w:pPr>
      <w:r>
        <w:rPr>
          <w:b/>
        </w:rPr>
        <w:t>Available abstract (not full text):</w:t>
      </w:r>
      <w:r>
        <w:t xml:space="preserve"> ABSTRACT Climate change is an increasing concern for wildlife managers across the United States and Canada. Because climate change may alter populations and harvest dynamics of key species in the region, midwestern states have identified the effects of climate change on ungulates as a priority research area. We conducted a literature review of projected climate change in the Midwest and the potential effects on white‐tailed deer ( Odocoileus virginianus ) and moose ( Alces alces ). Warmer temperatures and decreasing snowpack in the region favor survival of white‐tailed deer. In contrast, moose may become physiologically stressed in response to warming, and increasing deer populations spreading disease will exacerbate the problem. Although there is some uncertainty about exactly how the climate will change, and to what degree, robust projections suggest that deer populations will increase in response to climate change and moose populations will decrease. Managers can begin preparing for these changes by proactively creating management plans that take this into account. Published 2019. This article is a U.S. Government work and is in the public domain in the USA. The Journal of Wildlife Management published by Wiley Periodicals, Inc. on behalf of The Wildlife Society</w:t>
      </w:r>
    </w:p>
    <w:p>
      <w:pPr/>
      <w:r>
        <w:rPr>
          <w:b/>
        </w:rPr>
        <w:t>POSSIBLE 2019:</w:t>
      </w:r>
      <w:r>
        <w:t xml:space="preserve"> A Review of the Effects of Climate Change on Chelonians — https://doi.org/10.3390/d11080138</w:t>
      </w:r>
    </w:p>
    <w:p>
      <w:pPr/>
      <w:r>
        <w:rPr>
          <w:b/>
        </w:rPr>
        <w:t>Shared claim-specific concepts:</w:t>
      </w:r>
      <w:r>
        <w:t xml:space="preserve"> climate, low, not; EU scope not established. This is a provisional connection, not an outcome finding.</w:t>
      </w:r>
    </w:p>
    <w:p>
      <w:pPr>
        <w:pStyle w:val="SourceNote"/>
      </w:pPr>
      <w:r>
        <w:rPr>
          <w:b/>
        </w:rPr>
        <w:t>Available abstract (not full text):</w:t>
      </w:r>
      <w:r>
        <w:t xml:space="preserve"> Climate change is occurring at an unprecedented rate and has begun to modify the distribution and phenology of organisms worldwide. Chelonians are expected to be particularly vulnerable due to limited dispersal capabilities as well as widespread temperature-dependent sex determination. The number of papers published about the effects of climate change on turtles has increased exponentially over the last decade; here, I review the data from peer-reviewed publications to assess the likely impacts of climate change on individuals, populations, and communities. Based upon these studies future research should focus on: (1) Individual responses to climate change, particularly with respect to thermal biology, phenology, and microhabitat selection; (2) improving species distribution models by incorporating fine-scale environmental variables as well as physiological processes; (3) identifying the consequences of skewed sex ratios; and (4) assessments of community resilience and the development of methods to mitigate climate change impacts. Although detailed management recommendations are not possible at this point, careful consideration should be given regarding how to manage low vagility species as habitats shift poleward. In the worst-case scenario, proactive management may be required in order to ensure that widespread losses do not occur.</w:t>
      </w:r>
    </w:p>
    <w:p>
      <w:pPr>
        <w:pStyle w:val="Heading2"/>
      </w:pPr>
      <w:r>
        <w:t>702.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r>
        <w:rPr>
          <w:b/>
        </w:rPr>
        <w:t>POSSIBLE 2023:</w:t>
      </w:r>
      <w:r>
        <w:t xml:space="preserve"> Can sediments play a role in river flood risk mapping? Learning from selected European examples — https://doi.org/10.1186/s40677-023-00250-9</w:t>
      </w:r>
    </w:p>
    <w:p>
      <w:pPr/>
      <w:r>
        <w:rPr>
          <w:b/>
        </w:rPr>
        <w:t>Shared claim-specific concepts:</w:t>
      </w:r>
      <w:r>
        <w:t xml:space="preserve"> additional, show, approach, climate, perspective; EU scope visible. This is a provisional connection, not an outcome finding.</w:t>
      </w:r>
    </w:p>
    <w:p>
      <w:pPr>
        <w:pStyle w:val="SourceNote"/>
      </w:pPr>
      <w:r>
        <w:rPr>
          <w:b/>
        </w:rPr>
        <w:t>Available abstract (not full text):</w:t>
      </w:r>
      <w:r>
        <w:t xml:space="preserve">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pPr/>
      <w:r>
        <w:rPr>
          <w:b/>
        </w:rPr>
        <w:t>POSSIBLE 2023:</w:t>
      </w:r>
      <w:r>
        <w:t xml:space="preserve"> Quantifying the effects of nature-based solutions in reducing risks from hydrometeorological hazards: Examples from Europe — https://doi.org/10.1016/j.ijdrr.2023.103771</w:t>
      </w:r>
    </w:p>
    <w:p>
      <w:pPr/>
      <w:r>
        <w:rPr>
          <w:b/>
        </w:rPr>
        <w:t>Shared claim-specific concepts:</w:t>
      </w:r>
      <w:r>
        <w:t xml:space="preserve"> show, approach, climate; EU scope visible. This is a provisional connection, not an outcome finding.</w:t>
      </w:r>
    </w:p>
    <w:p>
      <w:pPr>
        <w:pStyle w:val="SourceNote"/>
      </w:pPr>
      <w:r>
        <w:rPr>
          <w:b/>
        </w:rPr>
        <w:t>Available abstract (not full text):</w:t>
      </w:r>
      <w:r>
        <w:t xml:space="preserve">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additional, show, climate;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703.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2022:</w:t>
      </w:r>
      <w:r>
        <w:t xml:space="preserve"> Global economic costs and knowledge gaps of invasive gastropods — https://doi.org/10.1016/j.ecolind.2022.109614</w:t>
      </w:r>
    </w:p>
    <w:p>
      <w:pPr/>
      <w:r>
        <w:rPr>
          <w:b/>
        </w:rPr>
        <w:t>Shared claim-specific concepts:</w:t>
      </w:r>
      <w:r>
        <w:t xml:space="preserve"> knowledge, information; EU scope visible. This is a provisional connection, not an outcome finding.</w:t>
      </w:r>
    </w:p>
    <w:p>
      <w:pPr>
        <w:pStyle w:val="SourceNote"/>
      </w:pPr>
      <w:r>
        <w:rPr>
          <w:b/>
        </w:rPr>
        <w:t>Available abstract (not full text):</w:t>
      </w:r>
      <w:r>
        <w:t xml:space="preserve">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knowledge, key, information, policies, work, recent;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r>
        <w:rPr>
          <w:b/>
        </w:rPr>
        <w:t>POSSIBLE 2022:</w:t>
      </w:r>
      <w:r>
        <w:t xml:space="preserve"> Global economic costs of mammal invasions — https://doi.org/10.1016/j.scitotenv.2022.159479</w:t>
      </w:r>
    </w:p>
    <w:p>
      <w:pPr/>
      <w:r>
        <w:rPr>
          <w:b/>
        </w:rPr>
        <w:t>Shared claim-specific concepts:</w:t>
      </w:r>
      <w:r>
        <w:t xml:space="preserve"> knowledge, natural; EU scope visible. This is a provisional connection, not an outcome finding.</w:t>
      </w:r>
    </w:p>
    <w:p>
      <w:pPr>
        <w:pStyle w:val="SourceNote"/>
      </w:pPr>
      <w:r>
        <w:rPr>
          <w:b/>
        </w:rPr>
        <w:t>Available abstract (not full text):</w:t>
      </w:r>
      <w:r>
        <w:t xml:space="preserve">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pPr/>
      <w:r>
        <w:rPr>
          <w:b/>
        </w:rPr>
        <w:t>POSSIBLE 2021:</w:t>
      </w:r>
      <w:r>
        <w:t xml:space="preserve"> Economic costs of invasive alien species across Europe — https://doi.org/10.3897/neobiota.67.58196</w:t>
      </w:r>
    </w:p>
    <w:p>
      <w:pPr/>
      <w:r>
        <w:rPr>
          <w:b/>
        </w:rPr>
        <w:t>Shared claim-specific concepts:</w:t>
      </w:r>
      <w:r>
        <w:t xml:space="preserve"> knowledge, information, recent;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An institutional approach to vulnerability: evidence from natural hazard management in Europe — https://doi.org/10.1088/1748-9326/abe88c</w:t>
      </w:r>
    </w:p>
    <w:p>
      <w:pPr/>
      <w:r>
        <w:rPr>
          <w:b/>
        </w:rPr>
        <w:t>Shared claim-specific concepts:</w:t>
      </w:r>
      <w:r>
        <w:t xml:space="preserve"> natural, climate, three, recent, case; EU scope visible. This is a provisional connection, not an outcome finding.</w:t>
      </w:r>
    </w:p>
    <w:p>
      <w:pPr>
        <w:pStyle w:val="SourceNote"/>
      </w:pPr>
      <w:r>
        <w:rPr>
          <w:b/>
        </w:rPr>
        <w:t>Available abstract (not full text):</w:t>
      </w:r>
      <w:r>
        <w:t xml:space="preserve"> Abstract Institutional vulnerability to natural hazards has not been thoroughly investigated until now. Yet, institutional vulnerability is strongly connected to all other vulnerability dimensions, and specific socio-economic and physical indicators. Moreover, different types of crises such as economic, political or health crisis strongly affect the institutional capacity of communities to deal with the consequences of natural hazards. For this reason, a deep insight to the institutional dimension of vulnerability is needed in order to reduce disaster risk under the effects of climate but also socio-economic change. In the present paper, institutional vulnerability is defined and its main pillars and drivers are identified. A framework is presented showing the interactions between the drivers of institutional vulnerability and the indicators of other vulnerability dimensions (physical, social, economic, cultural and environmental). The interactions between institutional vulnerability and other vulnerability dimensions are highlighted through three European case studies: Greece, the United Kingdom and Austria. The case studies show how current issues such as the recent financial crisis and Brexit, may directly influence the drivers of institutional vulnerability and consequently all other vulnerability dimensions. The framework and the case studies clearly indicate that institut</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knowledge, natural, mitigation, strategies;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2019:</w:t>
      </w:r>
      <w:r>
        <w:t xml:space="preserve"> The Environmental Risks Associated With the Development of Seaweed Farming in Europe - Prioritizing Key Knowledge Gaps — https://doi.org/10.3389/fmars.2019.00107</w:t>
      </w:r>
    </w:p>
    <w:p>
      <w:pPr/>
      <w:r>
        <w:rPr>
          <w:b/>
        </w:rPr>
        <w:t>Shared claim-specific concepts:</w:t>
      </w:r>
      <w:r>
        <w:t xml:space="preserve"> knowledge, key; EU scope visible. This is a provisional connection, not an outcome finding.</w:t>
      </w:r>
    </w:p>
    <w:p>
      <w:pPr>
        <w:pStyle w:val="SourceNote"/>
      </w:pPr>
      <w:r>
        <w:rPr>
          <w:b/>
        </w:rPr>
        <w:t>Available abstract (not full text):</w:t>
      </w:r>
      <w:r>
        <w:t xml:space="preserve"> Cultivation of kelp has been well established throughout Asia, and there is now growing interest in the cultivation of macroalgae in Europe to meet future resource needs. If this industry is to become established throughout Europe, then balancing the associated environmental risks with potential benefits will be necessary to ensure the carrying capacity of the receiving environments are not exceeded and conservation objects are not undermined. This is a systematic review of the ecosystem changes likely to be associated with a developing seaweed aquaculture industry. Monitoring recommendations are made by risk ranking environmental changes, highlighting the current knowledge gaps and providing research priorities to address them. Environmental changes of greatest concern were identified to include: facilitation of disease, alteration of population genetics and wider alterations to the local physiochemical environment. Current high levels of uncertainty surrounding the true extent of some environmental changes mean conservative risk rankings are given. Recommended monitoring options are discussed that aim to address uncertainty and facilitate informed decision-making. Whilst current small-scale cultivation projects are considered ‘low risk’, an expansion of the industry that includes ‘large-scale’ cultivation will necessitate a more complete understanding of the scale dependent c</w:t>
      </w:r>
    </w:p>
    <w:p>
      <w:pPr>
        <w:pStyle w:val="Heading2"/>
      </w:pPr>
      <w:r>
        <w:t>704.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2021:</w:t>
      </w:r>
      <w:r>
        <w:t xml:space="preserve"> Logo as a Tool of European Union Countries’ Destination Branding — https://doi.org/10.4467/23540214zm.21.033.14576</w:t>
      </w:r>
    </w:p>
    <w:p>
      <w:pPr/>
      <w:r>
        <w:rPr>
          <w:b/>
        </w:rPr>
        <w:t>Shared claim-specific concepts:</w:t>
      </w:r>
      <w:r>
        <w:t xml:space="preserve"> tool, method; EU scope visible. This is a provisional connection, not an outcome finding.</w:t>
      </w:r>
    </w:p>
    <w:p>
      <w:pPr>
        <w:pStyle w:val="SourceNote"/>
      </w:pPr>
      <w:r>
        <w:rPr>
          <w:b/>
        </w:rPr>
        <w:t>Available abstract (not full text):</w:t>
      </w:r>
      <w:r>
        <w:t xml:space="preserve">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pPr/>
      <w:r>
        <w:rPr>
          <w:b/>
        </w:rPr>
        <w:t>POSSIBLE 2020:</w:t>
      </w:r>
      <w:r>
        <w:t xml:space="preserve"> Professional Wargaming: A Flawed but Useful Tool — https://doi.org/10.1177/1046878120901852</w:t>
      </w:r>
    </w:p>
    <w:p>
      <w:pPr/>
      <w:r>
        <w:rPr>
          <w:b/>
        </w:rPr>
        <w:t>Shared claim-specific concepts:</w:t>
      </w:r>
      <w:r>
        <w:t xml:space="preserve"> useful, tool, planning, set, develop; EU scope not established. This is a provisional connection, not an outcome finding.</w:t>
      </w:r>
    </w:p>
    <w:p>
      <w:pPr>
        <w:pStyle w:val="SourceNote"/>
      </w:pPr>
      <w:r>
        <w:rPr>
          <w:b/>
        </w:rPr>
        <w:t>Available abstract (not full text):</w:t>
      </w:r>
      <w:r>
        <w:t xml:space="preserve">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pPr/>
      <w:r>
        <w:rPr>
          <w:b/>
        </w:rPr>
        <w:t>POSSIBLE 2019:</w:t>
      </w:r>
      <w:r>
        <w:t xml:space="preserve"> Market survey recently recognised as a persuasive tool to solve trademark disputes in China — https://doi.org/10.4324/9780429316395-6</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705.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706.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2021:</w:t>
      </w:r>
      <w:r>
        <w:t xml:space="preserve"> REVIEW ARTICLE ON THE MITIGATION OF FOUR WAVE MIXING IN OPTICAL COMMUNICATION SYSTEM — https://doi.org/10.51459/futajeet.2021.15.1.266</w:t>
      </w:r>
    </w:p>
    <w:p>
      <w:pPr/>
      <w:r>
        <w:rPr>
          <w:b/>
        </w:rPr>
        <w:t>Shared claim-specific concepts:</w:t>
      </w:r>
      <w:r>
        <w:t xml:space="preserve"> article, four, system, main; EU scope not established. This is a provisional connection, not an outcome finding.</w:t>
      </w:r>
    </w:p>
    <w:p>
      <w:pPr>
        <w:pStyle w:val="SourceNote"/>
      </w:pPr>
      <w:r>
        <w:rPr>
          <w:b/>
        </w:rPr>
        <w:t>Available abstract (not full text):</w:t>
      </w:r>
      <w:r>
        <w:t xml:space="preserve">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pPr/>
      <w:r>
        <w:rPr>
          <w:b/>
        </w:rPr>
        <w:t>POSSIBLE 2020:</w:t>
      </w:r>
      <w:r>
        <w:t xml:space="preserve"> Four approaches to anticipatory climate governance: Different conceptions of the future and implications for the present — https://doi.org/10.1002/wcc.673</w:t>
      </w:r>
    </w:p>
    <w:p>
      <w:pPr/>
      <w:r>
        <w:rPr>
          <w:b/>
        </w:rPr>
        <w:t>Shared claim-specific concepts:</w:t>
      </w:r>
      <w:r>
        <w:t xml:space="preserve"> article, four, system, each; EU scope not established. This is a provisional connection, not an outcome finding.</w:t>
      </w:r>
    </w:p>
    <w:p>
      <w:pPr>
        <w:pStyle w:val="SourceNote"/>
      </w:pPr>
      <w:r>
        <w:rPr>
          <w:b/>
        </w:rPr>
        <w:t>Available abstract (not full text):</w:t>
      </w:r>
      <w:r>
        <w:t xml:space="preserve">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pPr/>
      <w:r>
        <w:rPr>
          <w:b/>
        </w:rPr>
        <w:t>POSSIBLE 2020:</w:t>
      </w:r>
      <w:r>
        <w:t xml:space="preserve"> The evolution of the Offshore US-Dollar System: past, present and four possible futures — https://doi.org/10.1017/s1744137420000168</w:t>
      </w:r>
    </w:p>
    <w:p>
      <w:pPr/>
      <w:r>
        <w:rPr>
          <w:b/>
        </w:rPr>
        <w:t>Shared claim-specific concepts:</w:t>
      </w:r>
      <w:r>
        <w:t xml:space="preserve"> article, four, system; EU scope not established. This is a provisional connection, not an outcome finding.</w:t>
      </w:r>
    </w:p>
    <w:p>
      <w:pPr>
        <w:pStyle w:val="SourceNote"/>
      </w:pPr>
      <w:r>
        <w:rPr>
          <w:b/>
        </w:rPr>
        <w:t>Available abstract (not full text):</w:t>
      </w:r>
      <w:r>
        <w:t xml:space="preserve">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pPr/>
      <w:r>
        <w:rPr>
          <w:b/>
        </w:rPr>
        <w:t>POSSIBLE 2020:</w:t>
      </w:r>
      <w:r>
        <w:t xml:space="preserve"> Interrater Reliability of Four Neurological Scales for Patients Presenting to the Emergency Department — https://doi.org/10.5005/jp-journals-10071-23603</w:t>
      </w:r>
    </w:p>
    <w:p>
      <w:pPr/>
      <w:r>
        <w:rPr>
          <w:b/>
        </w:rPr>
        <w:t>Shared claim-specific concepts:</w:t>
      </w:r>
      <w:r>
        <w:t xml:space="preserve"> article, four, background, each; EU scope not established. This is a provisional connection, not an outcome finding.</w:t>
      </w:r>
    </w:p>
    <w:p>
      <w:pPr>
        <w:pStyle w:val="SourceNote"/>
      </w:pPr>
      <w:r>
        <w:rPr>
          <w:b/>
        </w:rPr>
        <w:t>Available abstract (not full text):</w:t>
      </w:r>
      <w:r>
        <w:t xml:space="preserve"> BACKGROUND: Altered mental status (AMS) comprises a group of clinical symptoms rather than a specific diagnosis. A variety of neurological scales have been used to monitor these patients, including the Glasgow coma scale (GCS), AVPU (alert, responds to verbal stimuli, responds to painful stimuli, unresponsive) scale, and ACDU (alert, confused, drowsy, unresponsive) scale. The simplified motor scale (SMS) has been found to be a potential replacement for the GCS. In this study, we compare the interrater reliability of the GCS (individual components), AVPU, ACDU, and SMS to patients presenting to the ED with AMS. MATERIALS AND METHODS: This was a prospective observational study conducted in the emergency department of an urban tertiary-care hospital in New Delhi, India. Patients with AMS (traumatic and nontraumatic) presenting to the ED were assessed by two emergency physicians within 10 minutes of each other using the four neurological scales. Percentage agreement and kappa coefficient score were used to determine interrater reliability for SMS, individual components of GCS, AVPU, and ACDU. RESULTS: The SMS had the best inter-rater percent agreement with 83.91% (95% CI 77.7-88.6%), followed by ACDU which was 76.44% (95% CI 69.0-81.6%), AVPU 75.29% (95% CI 67.8-80.6%), GCS Eye 74.14% (95% CI 66.6-79.6%), GCS Verbal 67.82% (95% CI 60.6-74.3%), and GCS Motor was 64.94% (95% CI 57.6-</w:t>
      </w:r>
    </w:p>
    <w:p>
      <w:pPr/>
      <w:r>
        <w:rPr>
          <w:b/>
        </w:rPr>
        <w:t>POSSIBLE 2020:</w:t>
      </w:r>
      <w:r>
        <w:t xml:space="preserve"> From mediated actions to heterogenous coalitions: four generations of activity-theoretical studies of work and learning — https://doi.org/10.1080/10749039.2020.1806328</w:t>
      </w:r>
    </w:p>
    <w:p>
      <w:pPr/>
      <w:r>
        <w:rPr>
          <w:b/>
        </w:rPr>
        <w:t>Shared claim-specific concepts:</w:t>
      </w:r>
      <w:r>
        <w:t xml:space="preserve"> article, presented, four, system, each, main; EU scope not established. This is a provisional connection, not an outcome finding.</w:t>
      </w:r>
    </w:p>
    <w:p>
      <w:pPr>
        <w:pStyle w:val="SourceNote"/>
      </w:pPr>
      <w:r>
        <w:rPr>
          <w:b/>
        </w:rPr>
        <w:t>Available abstract (not full text):</w:t>
      </w:r>
      <w:r>
        <w:t xml:space="preserve"> The article outlines four generations of theorizing and research on work and learning within the Finnish school of activity theory. The main focus of the paper is on the evolution of the unit of analysis through the four generations, from mediated action to a collective activity system, to multiple-interconnected activity systems, and most recently to heterogenous work coalitions aimed at resolving wicked societal problems. We examine how learning and agency are conceptualized in each generation, and what kinds of interventions are conducted in the projects presented as examples of the four generations. We conclude that the four generations of activity-theoretical studies of work and learning continue to co-exist. To meet the challenges of work in today’s world, activity theory must seriously engage in the development of its fourth generation, building on ideas and instruments developed by the preceding generations.</w:t>
      </w:r>
    </w:p>
    <w:p>
      <w:pPr/>
      <w:r>
        <w:rPr>
          <w:b/>
        </w:rPr>
        <w:t>POSSIBLE 2019:</w:t>
      </w:r>
      <w:r>
        <w:t xml:space="preserve"> Headings in the four journals — https://doi.org/10.4324/9781003009344-4</w:t>
      </w:r>
    </w:p>
    <w:p>
      <w:pPr/>
      <w:r>
        <w:rPr>
          <w:b/>
        </w:rPr>
        <w:t>Shared claim-specific concepts:</w:t>
      </w:r>
      <w:r>
        <w:t xml:space="preserve"> article, presented, four; EU scope not established. This is a provisional connection, not an outcome finding.</w:t>
      </w:r>
    </w:p>
    <w:p>
      <w:pPr>
        <w:pStyle w:val="SourceNote"/>
      </w:pPr>
      <w:r>
        <w:rPr>
          <w:b/>
        </w:rPr>
        <w:t>Available abstract (not full text):</w:t>
      </w:r>
      <w:r>
        <w:t xml:space="preserve"> This chapter explores the differences between the four journals, using both corpus and discourse analytic methods. The four journals are: Agriculture, Ecosystems and Environment, Global Environmental Change, Plant Science, and Resource and Energy Economics. The chapter examines the linguistic features of the headings. The headings construct the readers as active members of the discourse, and the headings are presented as more than labelling acts that follow a convention – they are a part of the dialogue that is established in the article. The Introduction – Methods – Results – Discussion article is a conventionalised text type that performs the function of allowing scientists to communicate their research concisely. The fact that an article is expected to follow this convention allows the reader to hold expectations of how the article will be framed and how it will develop.</w:t>
      </w:r>
    </w:p>
    <w:p>
      <w:pPr/>
      <w:r>
        <w:rPr>
          <w:b/>
        </w:rPr>
        <w:t>POSSIBLE 2019:</w:t>
      </w:r>
      <w:r>
        <w:t xml:space="preserve"> Four candles—the answer — https://doi.org/10.1088/1361-6552/aada78</w:t>
      </w:r>
    </w:p>
    <w:p>
      <w:pPr/>
      <w:r>
        <w:rPr>
          <w:b/>
        </w:rPr>
        <w:t>Shared claim-specific concepts:</w:t>
      </w:r>
      <w:r>
        <w:t xml:space="preserve"> article, presented, four; EU scope not established. This is a provisional connection, not an outcome finding.</w:t>
      </w:r>
    </w:p>
    <w:p>
      <w:pPr>
        <w:pStyle w:val="SourceNote"/>
      </w:pPr>
      <w:r>
        <w:rPr>
          <w:b/>
        </w:rPr>
        <w:t>Available abstract (not full text):</w:t>
      </w:r>
      <w:r>
        <w:t xml:space="preserve"> Abstract In my article (Featonby 2019 Phys. Educ . 54 047002) we presented three experiments (using four candles!) which tested understanding of mechanics, and heat transfer.</w:t>
      </w:r>
    </w:p>
    <w:p>
      <w:pPr/>
      <w:r>
        <w:rPr>
          <w:b/>
        </w:rPr>
        <w:t>POSSIBLE 2019:</w:t>
      </w:r>
      <w:r>
        <w:t xml:space="preserve"> Guide to presenting clinical prediction models for use in clinical settings — https://doi.org/10.1136/bmj.l737</w:t>
      </w:r>
    </w:p>
    <w:p>
      <w:pPr/>
      <w:r>
        <w:rPr>
          <w:b/>
        </w:rPr>
        <w:t>Shared claim-specific concepts:</w:t>
      </w:r>
      <w:r>
        <w:t xml:space="preserve"> article, four, each; EU scope not established. This is a provisional connection, not an outcome finding.</w:t>
      </w:r>
    </w:p>
    <w:p>
      <w:pPr>
        <w:pStyle w:val="SourceNote"/>
      </w:pPr>
      <w:r>
        <w:rPr>
          <w:b/>
        </w:rPr>
        <w:t>Available abstract (not full text):</w:t>
      </w:r>
      <w:r>
        <w:t xml:space="preserve"> Clinical prediction models estimate the risk of existing disease or future outcome for an individual, which is conditional on the values of multiple predictors such as age, sex, and biomarkers. In this article, Bonnett and colleagues provide a guide to presenting clinical prediction models so that they can be implemented in practice, if appropriate. They describe how to create four presentation formats and discuss the advantages and disadvantages of each format. A key message is the need for stakeholder engagement to determine the best presentation option in relation to the clinical context of use and the intended users</w:t>
      </w:r>
    </w:p>
    <w:p>
      <w:pPr>
        <w:pStyle w:val="Heading2"/>
      </w:pPr>
      <w:r>
        <w:t>707.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2023:</w:t>
      </w:r>
      <w:r>
        <w:t xml:space="preserve"> Utilizing Innovative Project Management Technologies to Set Virtual Work Boundaries — https://doi.org/10.21428/f1f23564.6aaf45b9</w:t>
      </w:r>
    </w:p>
    <w:p>
      <w:pPr/>
      <w:r>
        <w:rPr>
          <w:b/>
        </w:rPr>
        <w:t>Shared claim-specific concepts:</w:t>
      </w:r>
      <w:r>
        <w:t xml:space="preserve"> work, set, implemented, order, technologies; EU scope not established. This is a provisional connection, not an outcome finding.</w:t>
      </w:r>
    </w:p>
    <w:p>
      <w:pPr>
        <w:pStyle w:val="SourceNote"/>
      </w:pPr>
      <w:r>
        <w:rPr>
          <w:b/>
        </w:rPr>
        <w:t>Available abstract (not full text):</w:t>
      </w:r>
      <w:r>
        <w:t xml:space="preserve">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pPr/>
      <w:r>
        <w:rPr>
          <w:b/>
        </w:rPr>
        <w:t>POSSIBLE 2022:</w:t>
      </w:r>
      <w:r>
        <w:t xml:space="preserve"> CMOS compatible manufacturing of a hybrid SET-FET circuit — https://doi.org/10.1088/1361-6641/ac9f61</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pPr/>
      <w:r>
        <w:rPr>
          <w:b/>
        </w:rPr>
        <w:t>POSSIBLE 2021:</w:t>
      </w:r>
      <w:r>
        <w:t xml:space="preserve"> Creativity in data work: case of developing training sets for machine learning — https://openalex.org/W3200956411</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pPr/>
      <w:r>
        <w:rPr>
          <w:b/>
        </w:rPr>
        <w:t>POSSIBLE 2020:</w:t>
      </w:r>
      <w:r>
        <w:t xml:space="preserve"> Effects of CSR on employee retention via identification and quality-of-work-life — https://doi.org/10.1108/ijchm-06-2019-0573</w:t>
      </w:r>
    </w:p>
    <w:p>
      <w:pPr/>
      <w:r>
        <w:rPr>
          <w:b/>
        </w:rPr>
        <w:t>Shared claim-specific concepts:</w:t>
      </w:r>
      <w:r>
        <w:t xml:space="preserve"> work, set, sector, approach; EU scope not established. This is a provisional connection, not an outcome finding.</w:t>
      </w:r>
    </w:p>
    <w:p>
      <w:pPr>
        <w:pStyle w:val="SourceNote"/>
      </w:pPr>
      <w:r>
        <w:rPr>
          <w:b/>
        </w:rPr>
        <w:t>Available abstract (not full text):</w:t>
      </w:r>
      <w:r>
        <w:t xml:space="preserve"> Purpose This paper aims to explore the sequential effects of employee perceptions of corporate social responsibility (CSR), organizational identification (OI), higher-order quality-of-work-life (HQWL) and intention to stay (IS). Design/methodology/approach The survey responses were gathered from employees of a casino hotel company in the USA. All hypotheses were tested via structural equation modeling. Findings The results demonstrated that ethical and philanthropic CSR dimensions had significant direct effects on OI and indirect effects on HQWL via OI. OI had positive effects on HQWL (directly) and IS (directly and indirectly via HQWL). Both ethical and philanthropic CSR dimensions indirectly influenced IS via OI and HQWL, while economic CSR had a significant indirect effect on IS via HQWL. Research limitations/implications This study addressed the lack of theory-driven empirical work on the relationship between CSR and employee retention by presenting new insights into how different dimensions of CSR can contribute for improving employee HQWL and IS via OI based on social identity theory (SIT) and social exchange theory (SET). In this study, the results may not generalize to other countries and cultures because the data arises from a casino hotel in the USA. Practical implications Based on the results, hospitality companies can improve employee OI, HQWL and IS by more effecti</w:t>
      </w:r>
    </w:p>
    <w:p>
      <w:pPr/>
      <w:r>
        <w:rPr>
          <w:b/>
        </w:rPr>
        <w:t>POSSIBLE 2020:</w:t>
      </w:r>
      <w:r>
        <w:t xml:space="preserve"> Set-Constrained Viterbi for Set-Supervised Action Segmentation — https://doi.org/10.1109/cvpr42600.2020.01083</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This paper is about weakly supervised action segmentation, where the ground truth specifies only a set of actions present in a training video, but not their true temporal ordering. Prior work typically uses a classifier that independently labels video frames for generating the pseudo ground truth, and multiple instance learning for training the classifier. We extend this framework by specifying an HMM, which accounts for co-occurrences of action classes and their temporal lengths, and by explicitly training the HMM on a Viterbi-based loss. Our first contribution is the formulation of a new set-constrained Viterbi algorithm (SCV). Given a video, the SCV generates the MAP action segmentation that satisfies the ground truth. This prediction is used as a framewise pseudo ground truth in our HMM training. Our second contribution in training is a new regularization of feature affinities between training videos that share the same action classes. Evaluation on action segmentation and alignment on the Breakfast, MPII Cooking2, Hollywood Extended datasets demonstrates our significant performance improvement for the two tasks over prior work.</w:t>
      </w:r>
    </w:p>
    <w:p>
      <w:pPr/>
      <w:r>
        <w:rPr>
          <w:b/>
        </w:rPr>
        <w:t>POSSIBLE 2020:</w:t>
      </w:r>
      <w:r>
        <w:t xml:space="preserve"> CoverNet: Multimodal Behavior Prediction Using Trajectory Sets — https://doi.org/10.1109/cvpr42600.2020.01408</w:t>
      </w:r>
    </w:p>
    <w:p>
      <w:pPr/>
      <w:r>
        <w:rPr>
          <w:b/>
        </w:rPr>
        <w:t>Shared claim-specific concepts:</w:t>
      </w:r>
      <w:r>
        <w:t xml:space="preserve"> present, work, set, approach; EU scope not established. This is a provisional connection, not an outcome finding.</w:t>
      </w:r>
    </w:p>
    <w:p>
      <w:pPr>
        <w:pStyle w:val="SourceNote"/>
      </w:pPr>
      <w:r>
        <w:rPr>
          <w:b/>
        </w:rPr>
        <w:t>Available abstract (not full text):</w:t>
      </w:r>
      <w:r>
        <w:t xml:space="preserve"> We present CoverNet, a new method for multimodal, probabilistic trajectory prediction for urban driving. Previous work has employed a variety of methods, including multimodal regression, occupancy maps, and 1-step stochastic policies. We instead frame the trajectory prediction problem as classification over a diverse set of trajectories. The size of this set remains manageable due to the limited number of distinct actions that can be taken over a reasonable prediction horizon. We structure the trajectory set to a) ensure a desired level of coverage of the state space, and b) eliminate physically impossible trajectories. By dynamically generating trajectory sets based on the agent's current state, we can further improve our method's efficiency. We demonstrate our approach on public, real world self-driving datasets, and show that it outperforms state-of-the-art methods.</w:t>
      </w:r>
    </w:p>
    <w:p>
      <w:pPr/>
      <w:r>
        <w:rPr>
          <w:b/>
        </w:rPr>
        <w:t>POSSIBLE 2020:</w:t>
      </w:r>
      <w:r>
        <w:t xml:space="preserve"> Work-Function Fluctuation Impact on the SET Response of FinFET-based Majority Voters — https://doi.org/10.1109/lats49555.2020.9093679</w:t>
      </w:r>
    </w:p>
    <w:p>
      <w:pPr/>
      <w:r>
        <w:rPr>
          <w:b/>
        </w:rPr>
        <w:t>Shared claim-specific concepts:</w:t>
      </w:r>
      <w:r>
        <w:t xml:space="preserve"> work, set, technology; EU scope not established. This is a provisional connection, not an outcome finding.</w:t>
      </w:r>
    </w:p>
    <w:p>
      <w:pPr>
        <w:pStyle w:val="SourceNote"/>
      </w:pPr>
      <w:r>
        <w:rPr>
          <w:b/>
        </w:rPr>
        <w:t>Available abstract (not full text):</w:t>
      </w:r>
      <w:r>
        <w:t xml:space="preserve"> The evolution of integrated circuits, alongside the technology scaling, has made them more susceptible to the radiation effects, as well presenting an increasing manufacturing process variability. These challenges can lead to circuits operating outside their specification ranges. Majority voters are adopted by most of the redundancy-based methodologies to ensure the fault masking. This work evaluates the SET response of seven different versions of majority voter circuits under the process variability using an 7nm FinFET technology. The process variability is considered through the work-function fluctuation of the metal gate and the SET response is characterized by the LETth (Threshold Linear Energy Transfer) and the SET pulse width metrics. Results show the impact of different transistor arrangements in the radiation and variability robustness. The LETth values can vary by up to 65% in comparison with all evaluated circuits. The process variability impacts up to 20% the sensitivity to SET on the evaluated majority voters.</w:t>
      </w:r>
    </w:p>
    <w:p>
      <w:pPr/>
      <w:r>
        <w:rPr>
          <w:b/>
        </w:rPr>
        <w:t>POSSIBLE 2020:</w:t>
      </w:r>
      <w:r>
        <w:t xml:space="preserve"> To Set to Work Even with a Broken Heart — https://doi.org/10.1093/oso/9780190692322.003.0003</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Abstract Part I investigates the tensions inherent to projects designed to demonstrate. “Demonstrate” has three apparently separate meanings: to present evidence, to explicate a process or task, or to participate in public protest. In fact, each of these definitions is a distinct facet of the task of “showing” or “calling attention” to an issue or act. The term “demonstrate” itself demonstrates the persistent and inescapable interweaving of these diverse objectives. In every case, demonstrations are representational, in that they aim to reveal particular truths through evidence; they are pedagogical, in that they aim to transmit knowledge and procedures; and they are revolutionary, in that they aspire to transform individual acts and social relations. The prioritization, negotiation, and synthesis of these three objectives inherently generate aesthetic and political complications that emerge in the chapters in this section.</w:t>
      </w:r>
    </w:p>
    <w:p>
      <w:pPr/>
      <w:r>
        <w:rPr>
          <w:b/>
        </w:rPr>
        <w:t>POSSIBLE 2019:</w:t>
      </w:r>
      <w:r>
        <w:t xml:space="preserve"> Framing the present: capitalism, work and crisis — https://doi.org/10.46692/9781447341871.001</w:t>
      </w:r>
    </w:p>
    <w:p>
      <w:pPr/>
      <w:r>
        <w:rPr>
          <w:b/>
        </w:rPr>
        <w:t>Shared claim-specific concepts:</w:t>
      </w:r>
      <w:r>
        <w:t xml:space="preserve"> present, work, answer, question; EU scope not established. This is a provisional connection, not an outcome finding.</w:t>
      </w:r>
    </w:p>
    <w:p>
      <w:pPr>
        <w:pStyle w:val="SourceNote"/>
      </w:pPr>
      <w:r>
        <w:rPr>
          <w:b/>
        </w:rPr>
        <w:t>Available abstract (not full text):</w:t>
      </w:r>
      <w:r>
        <w:t xml:space="preserve"> What’s wrong with work? Sample dialogue from my life: What’s your book called? ‘What’s wrong with work?’ It’s about the ethics and politics of how work is changing at the moment. Good title. You should talk to my partner, who’s an XXX [insert name of almost any job]. What’s your book called? ‘What’s wrong with work?’ That’s going to be a long book. What’s your book called? ‘What’s wrong with work?’ It’s about… How long have you got? I hate my job, I hate my boss, I hate the customers. If ever a book title was an invitation to grumble, one that asks the question ‘What’s wrong with work?’ is it. Someone once answered ‘I don’t have a couch in my office’, but I think they were joking. Answering a question like ‘What’s wrong with work?’ could well involve writing a list, as that’s a normal way to provide answers. I wish it were that easy. In the course of the book I will open out ways of thinking about ethics and politics of current work for the lifeworld of workers and for how work contributes to making the world. The task of providing an account of the problem of work is pretty difficult, given the complexities of different kinds of work, of variations across time and space, and because of the many different elements that might be important when thinking about good and bad jobs, which may easily contradict each other (for example, routines generate stability but also boredom; work</w:t>
      </w:r>
    </w:p>
    <w:p>
      <w:pPr>
        <w:pStyle w:val="Heading2"/>
      </w:pPr>
      <w:r>
        <w:t>708.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2019:</w:t>
      </w:r>
      <w:r>
        <w:t xml:space="preserve"> One Approach to using Fuzzy Logic for the Establishing of Natural Gas Tariffs — https://openalex.org/W3012361343</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pPr/>
      <w:r>
        <w:rPr>
          <w:b/>
        </w:rPr>
        <w:t>POSSIBLE 2019:</w:t>
      </w:r>
      <w:r>
        <w:t xml:space="preserve"> An approach for establishing correspondence between OpenStreetMap and reference datasets for land use and land cover mapping — https://doi.org/10.1111/tgis.12581</w:t>
      </w:r>
    </w:p>
    <w:p>
      <w:pPr/>
      <w:r>
        <w:rPr>
          <w:b/>
        </w:rPr>
        <w:t>Shared claim-specific concepts:</w:t>
      </w:r>
      <w:r>
        <w:t xml:space="preserve"> approach, used, establish, measures; EU scope not established. This is a provisional connection, not an outcome finding.</w:t>
      </w:r>
    </w:p>
    <w:p>
      <w:pPr>
        <w:pStyle w:val="SourceNote"/>
      </w:pPr>
      <w:r>
        <w:rPr>
          <w:b/>
        </w:rPr>
        <w:t>Available abstract (not full text):</w:t>
      </w:r>
      <w:r>
        <w:t xml:space="preserve">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pStyle w:val="Heading2"/>
      </w:pPr>
      <w:r>
        <w:t>709.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The potential role of a hydrogen network in Europe — https://doi.org/10.1016/j.joule.2023.06.016</w:t>
      </w:r>
    </w:p>
    <w:p>
      <w:pPr/>
      <w:r>
        <w:rPr>
          <w:b/>
        </w:rPr>
        <w:t>Shared claim-specific concepts:</w:t>
      </w:r>
      <w:r>
        <w:t xml:space="preserve"> role, across, achieve; EU scope visible. This is a provisional connection, not an outcome finding.</w:t>
      </w:r>
    </w:p>
    <w:p>
      <w:pPr>
        <w:pStyle w:val="SourceNote"/>
      </w:pPr>
      <w:r>
        <w:rPr>
          <w:b/>
        </w:rPr>
        <w:t>Available abstract (not full text):</w:t>
      </w:r>
      <w:r>
        <w:t xml:space="preserve">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pPr/>
      <w:r>
        <w:rPr>
          <w:b/>
        </w:rPr>
        <w:t>POSSIBLE 2023:</w:t>
      </w:r>
      <w:r>
        <w:t xml:space="preserve"> Exploring pathways to 100% renewable energy in European industry — https://doi.org/10.1016/j.energy.2023.126687</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2022:</w:t>
      </w:r>
      <w:r>
        <w:t xml:space="preserve"> Organizational change and psychosomatic symptoms: Exploring pathways through working conditions and assessing the moderating role of social support among European workers — https://doi.org/10.1177/0143831x211069411</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role;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Assessing the Role of Carbon Capture and Storage in Mitigation Pathways of Developing Economies — https://doi.org/10.3390/en14071879</w:t>
      </w:r>
    </w:p>
    <w:p>
      <w:pPr/>
      <w:r>
        <w:rPr>
          <w:b/>
        </w:rPr>
        <w:t>Shared claim-specific concepts:</w:t>
      </w:r>
      <w:r>
        <w:t xml:space="preserve"> role, pathways; EU scope not established. This is a provisional connection, not an outcome finding.</w:t>
      </w:r>
    </w:p>
    <w:p>
      <w:pPr>
        <w:pStyle w:val="SourceNote"/>
      </w:pPr>
      <w:r>
        <w:rPr>
          <w:b/>
        </w:rPr>
        <w:t>Available abstract (not full text):</w:t>
      </w:r>
      <w:r>
        <w:t xml:space="preserve"> The Paris Agreement has set out ambitious climate goals aiming to keep global warming well-below 2 °C by 2100. This requires a large-scale transformation of the global energy system based on the uptake of several technological options to reduce drastically emissions, including expansion of renewable energy, energy efficiency improvements, and fuel switch towards low-carbon energy carriers. The current study explores the role of Carbon Capture and Storage (CCS) as a mitigation option, which provides a dispatchable source for carbon-free production of electricity and can also be used to decarbonise industrial processes. In the last decade, limited technology progress and slow deployment of CCS technologies worldwide have increased the concerns about the feasibility and potential for massive scale-up of CCS required for deep decarbonisation. The current study uses the state-of-the-art PROMETHEUS global energy demand and supply system model to examine the role and impacts of CCS deployment in a global decarbonisation context. By developing contrasted decarbonisation scenarios, the analysis illustrates that CCS deployment might bring about various economic and climate benefits for developing economies, in the form of reduced emissions, lower mitigation costs, ensuring the cost efficient integration of renewables, limiting stranded fossil fuel assets, and alleviating the negative dis</w:t>
      </w:r>
    </w:p>
    <w:p>
      <w:pPr/>
      <w:r>
        <w:rPr>
          <w:b/>
        </w:rPr>
        <w:t>POSSIBLE 2020:</w:t>
      </w:r>
      <w:r>
        <w:t xml:space="preserve"> Coupling the heating and power sectors: The role of centralised combined heat and power plants and district heat in a European decarbonised power system — https://doi.org/10.1016/j.apenergy.2020.115134</w:t>
      </w:r>
    </w:p>
    <w:p>
      <w:pPr/>
      <w:r>
        <w:rPr>
          <w:b/>
        </w:rPr>
        <w:t>Shared claim-specific concepts:</w:t>
      </w:r>
      <w:r>
        <w:t xml:space="preserve"> role, pathways, co2; EU scope visible. This is a provisional connection, not an outcome finding.</w:t>
      </w:r>
    </w:p>
    <w:p>
      <w:pPr>
        <w:pStyle w:val="SourceNote"/>
      </w:pPr>
      <w:r>
        <w:rPr>
          <w:b/>
        </w:rPr>
        <w:t>Available abstract (not full text):</w:t>
      </w:r>
      <w:r>
        <w:t xml:space="preserve"> This work examines the role of centralised cogeneration plants as one of the potential pathways of a future decarbonised energy system. Even in this context, thermal power plants will still exist and the utilisation of their excess heat via district heating networks can assist the decarbonisation of the built environment. In particular, the potential of existing thermal power plants to operate as combined heat and power (CHP) plants is assessed and their impact on the power system quantified. To do so, the European heat demand for the built environment is described, focused on the heat demand supplied with fossil fuels, and the European power sector is discussed. Then, a power system model (Dispa-SET) is used to evaluate this coupling pathway in terms of operating costs, efficiencies and associated CO2 emissions. The analysis is developed for the current and future European power system. Results show that the conversion of thermal into CHP plants increases the efficiency and reduces both the operating costs and the environmental impact of the energy system. Not only that, it also offers alternative flexibility options when coupled with thermal storage. Still, large investments regarding the deployment of thermal networks are required to leverage the full CHP potential.</w:t>
      </w:r>
    </w:p>
    <w:p>
      <w:pPr>
        <w:pStyle w:val="Heading2"/>
      </w:pPr>
      <w:r>
        <w:t>710.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2022:</w:t>
      </w:r>
      <w:r>
        <w:t xml:space="preserve"> Updating global urbanization projections under the Shared Socioeconomic Pathways — https://doi.org/10.1038/s41597-022-01209-5</w:t>
      </w:r>
    </w:p>
    <w:p>
      <w:pPr/>
      <w:r>
        <w:rPr>
          <w:b/>
        </w:rPr>
        <w:t>Shared claim-specific concepts:</w:t>
      </w:r>
      <w:r>
        <w:t xml:space="preserve"> shared, socioeconomic, pathways, climate; EU scope not established. This is a provisional connection, not an outcome finding.</w:t>
      </w:r>
    </w:p>
    <w:p>
      <w:pPr>
        <w:pStyle w:val="SourceNote"/>
      </w:pPr>
      <w:r>
        <w:rPr>
          <w:b/>
        </w:rPr>
        <w:t>Available abstract (not full text):</w:t>
      </w:r>
      <w:r>
        <w:t xml:space="preserve">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pPr/>
      <w:r>
        <w:rPr>
          <w:b/>
        </w:rPr>
        <w:t>POSSIBLE 2022:</w:t>
      </w:r>
      <w:r>
        <w:t xml:space="preserve"> Global gridded GDP data set consistent with the shared socioeconomic pathways — https://doi.org/10.1038/s41597-022-01300-x</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pPr/>
      <w:r>
        <w:rPr>
          <w:b/>
        </w:rPr>
        <w:t>POSSIBLE 2021:</w:t>
      </w:r>
      <w:r>
        <w:t xml:space="preserve"> Future cooling gap in shared socioeconomic pathways — https://doi.org/10.1088/1748-9326/ac2195</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pPr/>
      <w:r>
        <w:rPr>
          <w:b/>
        </w:rPr>
        <w:t>POSSIBLE 2021:</w:t>
      </w:r>
      <w:r>
        <w:t xml:space="preserve"> China's energy-related carbon emissions projections for the shared socioeconomic pathways — https://doi.org/10.1016/j.resconrec.2021.105456</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2021:</w:t>
      </w:r>
      <w:r>
        <w:t xml:space="preserve"> Gridded GDP Projections Compatible With the Five SSPs (Shared Socioeconomic Pathways) — https://doi.org/10.3389/fbuil.2021.760306</w:t>
      </w:r>
    </w:p>
    <w:p>
      <w:pPr/>
      <w:r>
        <w:rPr>
          <w:b/>
        </w:rPr>
        <w:t>Shared claim-specific concepts:</w:t>
      </w:r>
      <w:r>
        <w:t xml:space="preserve"> shared, socioeconomic, pathways, ssps, climate; EU scope not established. This is a provisional connection, not an outcome finding.</w:t>
      </w:r>
    </w:p>
    <w:p>
      <w:pPr>
        <w:pStyle w:val="SourceNote"/>
      </w:pPr>
      <w:r>
        <w:rPr>
          <w:b/>
        </w:rPr>
        <w:t>Available abstract (not full text):</w:t>
      </w:r>
      <w:r>
        <w:t xml:space="preserve">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pPr/>
      <w:r>
        <w:rPr>
          <w:b/>
        </w:rPr>
        <w:t>POSSIBLE 2021:</w:t>
      </w:r>
      <w:r>
        <w:t xml:space="preserve"> A Walk Through the Shared Socioeconomic Pathways — https://doi.org/10.37099/mtu.dc.yeah-conference/april2021/all-events/36</w:t>
      </w:r>
    </w:p>
    <w:p>
      <w:pPr/>
      <w:r>
        <w:rPr>
          <w:b/>
        </w:rPr>
        <w:t>Shared claim-specific concepts:</w:t>
      </w:r>
      <w:r>
        <w:t xml:space="preserve"> shared, socioeconomic, pathways, climate, they; EU scope not established. This is a provisional connection, not an outcome finding.</w:t>
      </w:r>
    </w:p>
    <w:p>
      <w:pPr>
        <w:pStyle w:val="SourceNote"/>
      </w:pPr>
      <w:r>
        <w:rPr>
          <w:b/>
        </w:rPr>
        <w:t>Available abstract (not full text):</w:t>
      </w:r>
      <w:r>
        <w:t xml:space="preserve"> Science communication stands increasingly important in a world that feels the growing effects of climate change. The Shared Socioeconomic Pathways are five different human behavior predictions to climate change that have only been communicated through scientific papers. This comic aims to communicate these scenarios without the barriers that scientific papers often hold.The scenarios range from Fossil Fuel Development, to Inequality, to Sustainability. Drawn with inspiration from artist Roy Lichtenstein, they illustrate these scenarios in simplified yet graphic depictions. The 5 scenarios are important to understand in order to navigate these next couple of pivotal years with social, economic, and environmental sound.</w:t>
      </w:r>
    </w:p>
    <w:p>
      <w:pPr/>
      <w:r>
        <w:rPr>
          <w:b/>
        </w:rPr>
        <w:t>POSSIBLE 2020:</w:t>
      </w:r>
      <w:r>
        <w:t xml:space="preserve"> Global projections of future urban land expansion under shared socioeconomic pathways — https://doi.org/10.1038/s41467-020-14386-x</w:t>
      </w:r>
    </w:p>
    <w:p>
      <w:pPr/>
      <w:r>
        <w:rPr>
          <w:b/>
        </w:rPr>
        <w:t>Shared claim-specific concepts:</w:t>
      </w:r>
      <w:r>
        <w:t xml:space="preserve"> shared, socioeconomic, pathways, ssps, impacts; EU scope not established. This is a provisional connection, not an outcome finding.</w:t>
      </w:r>
    </w:p>
    <w:p>
      <w:pPr>
        <w:pStyle w:val="SourceNote"/>
      </w:pPr>
      <w:r>
        <w:rPr>
          <w:b/>
        </w:rPr>
        <w:t>Available abstract (not full text):</w:t>
      </w:r>
      <w:r>
        <w:t xml:space="preserve"> Despite its small land coverage, urban land and its expansion have exhibited profound impacts on global environments. Here, we present the scenario projections of global urban land expansion under the framework of the shared socioeconomic pathways (SSPs). Our projections feature a fine spatial resolution of 1 km to preserve spatial details. The projections reveal that although global urban land continues to expand rapidly before the 2040s, China and many other Asian countries are expected to encounter substantial pressure from urban population decline after the 2050s. Approximately 50-63% of the newly expanded urban land is expected to occur on current croplands. Global crop production will decline by approximately 1-4%, corresponding to the annual food needs for a certain crop of 122-1389 million people. These findings stress the importance of governing urban land development as a key measure to mitigate its negative impacts on food production.</w:t>
      </w:r>
    </w:p>
    <w:p>
      <w:pPr/>
      <w:r>
        <w:rPr>
          <w:b/>
        </w:rPr>
        <w:t>POSSIBLE 2020:</w:t>
      </w:r>
      <w:r>
        <w:t xml:space="preserve"> A framework for nitrogen futures in the shared socioeconomic pathways — https://doi.org/10.1016/j.gloenvcha.2019.102029</w:t>
      </w:r>
    </w:p>
    <w:p>
      <w:pPr/>
      <w:r>
        <w:rPr>
          <w:b/>
        </w:rPr>
        <w:t>Shared claim-specific concepts:</w:t>
      </w:r>
      <w:r>
        <w:t xml:space="preserve"> shared, socioeconomic, pathways, climate, within, impacts; EU scope not established. This is a provisional connection, not an outcome finding.</w:t>
      </w:r>
    </w:p>
    <w:p>
      <w:pPr>
        <w:pStyle w:val="SourceNote"/>
      </w:pPr>
      <w:r>
        <w:rPr>
          <w:b/>
        </w:rPr>
        <w:t>Available abstract (not full text):</w:t>
      </w:r>
      <w:r>
        <w:t xml:space="preserve"> century is crucial for scientists and decision-makers from local to global scales. Scenario analysis is the primary tool for doing so, and has been applied across all major environmental issues, including nitrogen pollution. However, to date most scenario efforts addressing nitrogen flows have either taken a narrow approach, focusing on a singular impact or sector, or have not been integrated within a broader scenario framework - a missed opportunity given the multiple environmental and socio-economic impacts that nitrogen pollution exacerbates. Capitalizing on our expanding knowledge of nitrogen flows, this study introduces a framework for new nitrogen-focused narratives based on the widely used Shared Socioeconomic Pathways that include all the major nitrogen-polluting sectors (agriculture, industry, transport and wastewater). These new narratives are the first to integrate the influence of climate and other environmental pollution control policies, while also incorporating explicit nitrogen-control measures. The next step is for them to be used as model inputs to evaluate the impact of different nitrogen production, consumption and loss trajectories, and thus advance understanding of how to address environmental impacts while simultaneously meeting key development goals. This effort is an important step in assessing how humanity can return to the planetary boundary of this e</w:t>
      </w:r>
    </w:p>
    <w:p>
      <w:pPr/>
      <w:r>
        <w:rPr>
          <w:b/>
        </w:rPr>
        <w:t>POSSIBLE 2020:</w:t>
      </w:r>
      <w:r>
        <w:t xml:space="preserve"> Provincial and gridded population projection for China under shared socioeconomic pathways from 2010 to 2100 — https://doi.org/10.1038/s41597-020-0421-y</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In response to a growing demand for subnational and spatially explicit data on China's future population, this study estimates China's provincial population from 2010 to 2100 by age (0-100+), sex (male and female) and educational levels (illiterate, primary school, junior-high school, senior-high school, college, bachelor's, and master's and above) under different shared socioeconomic pathways (SSPs). The provincial projection takes into account fertility promoting policies and population ceiling restrictions of megacities that have been implemented in China in recent years to reduce systematic biases in current studies. The predicted provincial population is allocated to spatially explicit population grids for each year at 30 arc-seconds resolution based on representative concentration pathway (RCP) urban grids and historical population grids. The provincial projection data were validated using population data in 2017 from China's Provincial Statistical Yearbook, and the accuracy of the population grids in 2015 was evaluated. These data have numerous potential uses and can serve as inputs in climate policy research with requirements for precise administrative or spatial population data in China.</w:t>
      </w:r>
    </w:p>
    <w:p>
      <w:pPr>
        <w:pStyle w:val="Heading2"/>
      </w:pPr>
      <w:r>
        <w:t>711.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r>
        <w:rPr>
          <w:b/>
        </w:rPr>
        <w:t>POSSIBLE 2024:</w:t>
      </w:r>
      <w:r>
        <w:t xml:space="preserve"> Seasonal Trend Analysis of Major Air Pollutant (PM2:5 and PM10) Concentration in Visakhapatnam During 2020 – 2022: A Case Study — https://doi.org/10.17485/ijst/v17i3.2549</w:t>
      </w:r>
    </w:p>
    <w:p>
      <w:pPr/>
      <w:r>
        <w:rPr>
          <w:b/>
        </w:rPr>
        <w:t>Shared claim-specific concepts:</w:t>
      </w:r>
      <w:r>
        <w:t xml:space="preserve"> concentrations, pm2, decrease, range; EU scope not established. This is a provisional connection, not an outcome finding.</w:t>
      </w:r>
    </w:p>
    <w:p>
      <w:pPr>
        <w:pStyle w:val="SourceNote"/>
      </w:pPr>
      <w:r>
        <w:rPr>
          <w:b/>
        </w:rPr>
        <w:t>Available abstract (not full text):</w:t>
      </w:r>
      <w:r>
        <w:t xml:space="preserve">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pPr/>
      <w:r>
        <w:rPr>
          <w:b/>
        </w:rPr>
        <w:t>POSSIBLE 2024:</w:t>
      </w:r>
      <w:r>
        <w:t xml:space="preserve"> Trends in Air Pollution in Europe, 2000–2019 — https://doi.org/10.4209/aaqr.230237</w:t>
      </w:r>
    </w:p>
    <w:p>
      <w:pPr/>
      <w:r>
        <w:rPr>
          <w:b/>
        </w:rPr>
        <w:t>Shared claim-specific concepts:</w:t>
      </w:r>
      <w:r>
        <w:t xml:space="preserve"> concentrations, pm2, show, significant;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pm2, show, larger, not, significant, used;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2023:</w:t>
      </w:r>
      <w:r>
        <w:t xml:space="preserve"> Long-term mortality burden trends attributed to black carbon and PM2·5 from wildfire emissions across the continental USA from 2000 to 2020: a deep learning modelling study — https://doi.org/10.1016/s2542-5196(23)00235-8</w:t>
      </w:r>
    </w:p>
    <w:p>
      <w:pPr/>
      <w:r>
        <w:rPr>
          <w:b/>
        </w:rPr>
        <w:t>Shared claim-specific concepts:</w:t>
      </w:r>
      <w:r>
        <w:t xml:space="preserve"> concentrations, pm2, decrease, significant, increase, climate; EU scope not established. This is a provisional connection, not an outcome finding.</w:t>
      </w:r>
    </w:p>
    <w:p>
      <w:pPr>
        <w:pStyle w:val="SourceNote"/>
      </w:pPr>
      <w:r>
        <w:rPr>
          <w:b/>
        </w:rPr>
        <w:t>Available abstract (not full text):</w:t>
      </w:r>
      <w:r>
        <w:t xml:space="preserve"> Background Long-term improvements in air quality and public health in the continental USA were disrupted over the past decade by increased fire emissions that potentially offset the decrease in anthropogenic emissions. This study aims to estimate trends in black carbon and PM 2·5 concentrations and their attributable mortality burden across the USA. Methods In this study, we derived daily concentrations of PM 2·5 and its highly toxic black carbon component at a 1-km resolution in the USA from 2000 to 2020 via deep learning that integrated big data from satellites, models, and surface observations. We estimated the annual PM 2·5 -attributable and black carbon-attributable mortality burden at each 1-km 2 grid using concentration–response functions collected from a national cohort study and a meta-analysis study, respectively. We investigated the spatiotemporal linear-regressed trends in PM 2·5 and black carbon pollution and their associated premature deaths from 2000 to 2020, and the impact of wildfires on air quality and public health. Findings Our results showed that PM 2·5 and black carbon estimates are reliable, with sample-based cross-validated coefficients of determination of 0·82 and 0·80, respectively, for daily estimates (0·97 and 0·95 for monthly estimates). Both PM 2·5 and black carbon in the USA showed significantly decreasing trends overall during 2000 to 2020 (22% d</w:t>
      </w:r>
    </w:p>
    <w:p>
      <w:pPr>
        <w:pStyle w:val="Heading2"/>
      </w:pPr>
      <w:r>
        <w:t>712.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2022:</w:t>
      </w:r>
      <w:r>
        <w:t xml:space="preserve"> Understanding Public Support for European Protected Areas: A Review of the Literature and Proposing a New Approach for Policy Makers — https://doi.org/10.3390/land11050733</w:t>
      </w:r>
    </w:p>
    <w:p>
      <w:pPr/>
      <w:r>
        <w:rPr>
          <w:b/>
        </w:rPr>
        <w:t>Shared claim-specific concepts:</w:t>
      </w:r>
      <w:r>
        <w:t xml:space="preserve"> outcomes, support, system; EU scope visible. This is a provisional connection, not an outcome finding.</w:t>
      </w:r>
    </w:p>
    <w:p>
      <w:pPr>
        <w:pStyle w:val="SourceNote"/>
      </w:pPr>
      <w:r>
        <w:rPr>
          <w:b/>
        </w:rPr>
        <w:t>Available abstract (not full text):</w:t>
      </w:r>
      <w:r>
        <w:t xml:space="preserve">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2021:</w:t>
      </w:r>
      <w:r>
        <w:t xml:space="preserve"> SCOPE 2021: a new scorecard for osteoporosis in Europe — https://doi.org/10.1007/s11657-020-00871-9</w:t>
      </w:r>
    </w:p>
    <w:p>
      <w:pPr/>
      <w:r>
        <w:rPr>
          <w:b/>
        </w:rPr>
        <w:t>Shared claim-specific concepts:</w:t>
      </w:r>
      <w:r>
        <w:t xml:space="preserve"> system, relation; EU scope visible. This is a provisional connection, not an outcome finding.</w:t>
      </w:r>
    </w:p>
    <w:p>
      <w:pPr>
        <w:pStyle w:val="SourceNote"/>
      </w:pPr>
      <w:r>
        <w:rPr>
          <w:b/>
        </w:rPr>
        <w:t>Available abstract (not full text):</w:t>
      </w:r>
      <w:r>
        <w:t xml:space="preserve">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pPr/>
      <w:r>
        <w:rPr>
          <w:b/>
        </w:rPr>
        <w:t>POSSIBLE 2021:</w:t>
      </w:r>
      <w:r>
        <w:t xml:space="preserve"> Building Mental Health and Psychosocial Support Capacity During a Pandemic: The Process of Adapting Problem Management Plus for Remote Training and Implementation During COVID-19 in New York City, Europe and East Africa — https://doi.org/10.4103/intv.intv_30_20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pPr/>
      <w:r>
        <w:rPr>
          <w:b/>
        </w:rPr>
        <w:t>POSSIBLE 2020:</w:t>
      </w:r>
      <w:r>
        <w:t xml:space="preserve"> New guidance on the regulation of allergen products: key aspects and outcomes — https://doi.org/10.1097/aci.0000000000000687</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pPr/>
      <w:r>
        <w:rPr>
          <w:b/>
        </w:rPr>
        <w:t>POSSIBLE 2019:</w:t>
      </w:r>
      <w:r>
        <w:t xml:space="preserve"> Renewable energy in the European Union: support policy and outcomes — https://doi.org/10.33531/farplss.2019.1.23</w:t>
      </w:r>
    </w:p>
    <w:p>
      <w:pPr/>
      <w:r>
        <w:rPr>
          <w:b/>
        </w:rPr>
        <w:t>Shared claim-specific concepts:</w:t>
      </w:r>
      <w:r>
        <w:t xml:space="preserve"> outcomes, support, energy; EU scope visible. This is a provisional connection, not an outcome finding.</w:t>
      </w:r>
    </w:p>
    <w:p>
      <w:pPr>
        <w:pStyle w:val="SourceNote"/>
      </w:pPr>
      <w:r>
        <w:rPr>
          <w:b/>
        </w:rPr>
        <w:t>Available abstract (not full text):</w:t>
      </w:r>
      <w:r>
        <w:t xml:space="preserve">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pStyle w:val="Heading2"/>
      </w:pPr>
      <w:r>
        <w:t>713.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2023:</w:t>
      </w:r>
      <w:r>
        <w:t xml:space="preserve"> Impact of Digital Transformation on the Spatial Organization of Nonfood Retail in a Russian City — https://doi.org/10.1134/s2079970523700910</w:t>
      </w:r>
    </w:p>
    <w:p>
      <w:pPr/>
      <w:r>
        <w:rPr>
          <w:b/>
        </w:rPr>
        <w:t>Shared claim-specific concepts:</w:t>
      </w:r>
      <w:r>
        <w:t xml:space="preserve"> nonfood, abstract; EU scope not established. This is a provisional connection, not an outcome finding.</w:t>
      </w:r>
    </w:p>
    <w:p>
      <w:pPr>
        <w:pStyle w:val="SourceNote"/>
      </w:pPr>
      <w:r>
        <w:rPr>
          <w:b/>
        </w:rPr>
        <w:t>Available abstract (not full text):</w:t>
      </w:r>
      <w:r>
        <w:t xml:space="preserve">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pPr/>
      <w:r>
        <w:rPr>
          <w:b/>
        </w:rPr>
        <w:t>POSSIBLE 2022:</w:t>
      </w:r>
      <w:r>
        <w:t xml:space="preserve"> A review of product safety regulations in the European Union — https://doi.org/10.1365/s43439-022-00057-8</w:t>
      </w:r>
    </w:p>
    <w:p>
      <w:pPr/>
      <w:r>
        <w:rPr>
          <w:b/>
        </w:rPr>
        <w:t>Shared claim-specific concepts:</w:t>
      </w:r>
      <w:r>
        <w:t xml:space="preserve"> nonfood, technologies, union, based; EU scope visible. This is a provisional connection, not an outcome finding.</w:t>
      </w:r>
    </w:p>
    <w:p>
      <w:pPr>
        <w:pStyle w:val="SourceNote"/>
      </w:pPr>
      <w:r>
        <w:rPr>
          <w:b/>
        </w:rPr>
        <w:t>Available abstract (not full text):</w:t>
      </w:r>
      <w:r>
        <w:t xml:space="preserve">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pPr/>
      <w:r>
        <w:rPr>
          <w:b/>
        </w:rPr>
        <w:t>POSSIBLE 2021:</w:t>
      </w:r>
      <w:r>
        <w:t xml:space="preserve"> An integrated life cycle and water footprint assessment of nonfood crops based bioenergy production — https://doi.org/10.1038/s41598-021-83061-y</w:t>
      </w:r>
    </w:p>
    <w:p>
      <w:pPr/>
      <w:r>
        <w:rPr>
          <w:b/>
        </w:rPr>
        <w:t>Shared claim-specific concepts:</w:t>
      </w:r>
      <w:r>
        <w:t xml:space="preserve"> nonfood, technologies, based; EU scope not established. This is a provisional connection, not an outcome finding.</w:t>
      </w:r>
    </w:p>
    <w:p>
      <w:pPr>
        <w:pStyle w:val="SourceNote"/>
      </w:pPr>
      <w:r>
        <w:rPr>
          <w:b/>
        </w:rPr>
        <w:t>Available abstract (not full text):</w:t>
      </w:r>
      <w:r>
        <w:t xml:space="preserve">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pPr/>
      <w:r>
        <w:rPr>
          <w:b/>
        </w:rPr>
        <w:t>POSSIBLE 2020:</w:t>
      </w:r>
      <w:r>
        <w:t xml:space="preserve"> Actual and potential new fuel types in Europe and Austria — https://doi.org/10.34726/hss.2020.73189</w:t>
      </w:r>
    </w:p>
    <w:p>
      <w:pPr/>
      <w:r>
        <w:rPr>
          <w:b/>
        </w:rPr>
        <w:t>Shared claim-specific concepts:</w:t>
      </w:r>
      <w:r>
        <w:t xml:space="preserve"> increase, biofuel, technologies, present, fuel; EU scope visible. This is a provisional connection, not an outcome finding.</w:t>
      </w:r>
    </w:p>
    <w:p>
      <w:pPr>
        <w:pStyle w:val="SourceNote"/>
      </w:pPr>
      <w:r>
        <w:rPr>
          <w:b/>
        </w:rPr>
        <w:t>Available abstract (not full text):</w:t>
      </w:r>
      <w:r>
        <w:t xml:space="preserve"> The present of this master thesis is concerned with the usage of fuel types in their actual and future form. It should provide a big overview of actual technologies that are available on the market and outline different potential future scenarios. The future deployment of fuels in our daily life can change. Several technologies gained increase public attention like hydrogen, battery powered vehicles (BEV), hybrid technologies and more. There are several different fuels that have the potential to decrease the humans carbon footprint in this world. The main goal of the thesis is to provide the technical and theoretical background of fuel types in their actual form and their potential usage in the future. The history of fuels is outlined that provides the foundation for the actual mobility situation on earth. Basic chemical compounds that build the base for actual fuels are treated. Since the development of fuels, the efficiency in the combustion process has been improved several times, as example the adding of a turbo changer can be named, this and potential increasing efficiency methods outlined by technicians are investigated. Biofuels are one big topic that influenced the mixture of conventional fuels the last years, therefore this topic is covered. New upcoming technologies like nanotechnology in the context of biofuel production, biorefineries, fuel cells and other potential</w:t>
      </w:r>
    </w:p>
    <w:p>
      <w:pPr/>
      <w:r>
        <w:rPr>
          <w:b/>
        </w:rPr>
        <w:t>POSSIBLE 2019:</w:t>
      </w:r>
      <w:r>
        <w:t xml:space="preserve"> FABIO─The Construction of the Food and Agriculture Biomass Input–Output Model — https://doi.org/10.1021/acs.est.9b03554</w:t>
      </w:r>
    </w:p>
    <w:p>
      <w:pPr/>
      <w:r>
        <w:rPr>
          <w:b/>
        </w:rPr>
        <w:t>Shared claim-specific concepts:</w:t>
      </w:r>
      <w:r>
        <w:t xml:space="preserve"> show, nonfood, present; EU scope not established. This is a provisional connection, not an outcome finding.</w:t>
      </w:r>
    </w:p>
    <w:p>
      <w:pPr>
        <w:pStyle w:val="SourceNote"/>
      </w:pPr>
      <w:r>
        <w:rPr>
          <w:b/>
        </w:rPr>
        <w:t>Available abstract (not full text):</w:t>
      </w:r>
      <w:r>
        <w:t xml:space="preserve"> Harvested biomass is linked to final consumption by networks of processes and actors that convert and distribute food and nonfood goods. Achieving a sustainable resource metabolism of the economy is an overarching challenge which manifests itself in a number of the UN Sustainable Development Goals. Modeling the physical dimensions of biomass conversion and distribution networks is essential to understanding the characteristics, drivers, and dynamics of the socio-economic biomass metabolism. In this paper, we present the Food and Agriculture Biomass Input-Output model (FABIO), a set of multiregional supply, use and input-output tables in physical units, that document the complex flows of agricultural and food products in the global economy. The model assembles FAOSTAT statistics reporting crop production, trade, and utilization in physical units, supplemented by data on technical and metabolic conversion efficiencies, into a consistent, balanced, input-output framework. FABIO covers 191 countries and 130 agriculture, food and forestry products from 1986 to 2013. The physical supply use tables offered by FABIO provide a comprehensive, transparent, and flexible structure for organizing data representing flows of materials within metabolic networks. They allow tracing of biomass flows and embodied environmental pressures along global supply chains at an unprecedented level of produ</w:t>
      </w:r>
    </w:p>
    <w:p>
      <w:pPr/>
      <w:r>
        <w:rPr>
          <w:b/>
        </w:rPr>
        <w:t>POSSIBLE 2019:</w:t>
      </w:r>
      <w:r>
        <w:t xml:space="preserve"> Assessing lignocellulosic biomass production from crop residues in the European Union: Modelling, analysis of the current scenario and drivers of interannual variability — https://doi.org/10.1111/gcbb.12604</w:t>
      </w:r>
    </w:p>
    <w:p>
      <w:pPr/>
      <w:r>
        <w:rPr>
          <w:b/>
        </w:rPr>
        <w:t>Shared claim-specific concepts:</w:t>
      </w:r>
      <w:r>
        <w:t xml:space="preserve"> show, provided, abstract, union, based; EU scope visible. This is a provisional connection, not an outcome finding.</w:t>
      </w:r>
    </w:p>
    <w:p>
      <w:pPr>
        <w:pStyle w:val="SourceNote"/>
      </w:pPr>
      <w:r>
        <w:rPr>
          <w:b/>
        </w:rPr>
        <w:t>Available abstract (not full text):</w:t>
      </w:r>
      <w:r>
        <w:t xml:space="preserve"> Abstract This study assesses crop residues in the EU from major crops using empirical models to predict crop residues from yield statistics; furthermore it analyses the inter‐annual variability of those estimates over the period 1998‐2015, identifying its main drivers across Europe. The models were constructed based on an exhaustive collection of experimental data from scientific papers for the crops: wheat, barley, rye, oats, triticale, rice, maize, sorghum, rapeseed, sunflower, soybean, potato and sugarbeet. We discuss the assumptions on the relationship between yield and the harvest index, adopted by previous studies, to interpret the experimental data, quantify the uncertainties of these models, and establish the premises to implement them at regional scale –i.e., NUTS level 3– within the EU. To cope this, we created a consolidated sub‐national statistical data along with an algorithm able to aggregate (figures are provided at country level) and disaggregate (production at 25 km grid is provided assupplementary material) estimates. The total lignocellulosic biomass production in the EU28 over the review period, according to our models, is 419 Mt, from which wheat is the major contributor (155 Mt). Our results show that maize and rapeseed are the two crops with the highest residue yield, respectively 8.9 and 8.6 t ha‐1. The spatial analysis revealed that these three crops, w</w:t>
      </w:r>
    </w:p>
    <w:p>
      <w:pPr/>
      <w:r>
        <w:rPr>
          <w:b/>
        </w:rPr>
        <w:t>POSSIBLE 2019:</w:t>
      </w:r>
      <w:r>
        <w:t xml:space="preserve"> Quantifying the global cropland footprint of the European Union’s non-food bioeconomy — https://doi.org/10.1088/1748-9326/ab07f5</w:t>
      </w:r>
    </w:p>
    <w:p>
      <w:pPr/>
      <w:r>
        <w:rPr>
          <w:b/>
        </w:rPr>
        <w:t>Shared claim-specific concepts:</w:t>
      </w:r>
      <w:r>
        <w:t xml:space="preserve"> developed, union; EU scope visible. This is a provisional connection, not an outcome finding.</w:t>
      </w:r>
    </w:p>
    <w:p>
      <w:pPr>
        <w:pStyle w:val="SourceNote"/>
      </w:pPr>
      <w:r>
        <w:rPr>
          <w:b/>
        </w:rPr>
        <w:t>Available abstract (not full text):</w:t>
      </w:r>
      <w:r>
        <w:t xml:space="preserve"> A rapidly growing share of global agricultural areas is devoted to the production of biomass for non-food purposes. The expanding non-food bioeconomy can have far-reaching social and ecological implications; yet, the non-food sector has attained little attention in land footprint studies. This paper provides the first assessment of the global cropland footprint of non-food products of the European Union (EU), a globally important region regarding its expanding bio-based economy. We apply a novel hybrid land flow accounting model, combining the biophysical trade model LANDFLOW with the multi-regional input–output model EXIOBASE. The developed hybrid approach improves the level of product and country detail, while comprehensively covering all global supply chains from agricultural production to final consumption, including highly processed products, such as many non-food products. The results highlight the EU's role as a major processing and the biggest consuming region of cropland-based non-food products, while at the same time relying heavily on imports. Two thirds of the cropland required to satisfy the EU's non-food biomass consumption are located in other world regions, particularly in China, the US and Indonesia, giving rise to potential impacts on distant ecosystems. With almost 39% in 2010, oilseeds used to produce for example biofuels, detergents and polymers represented</w:t>
      </w:r>
    </w:p>
    <w:p>
      <w:pPr>
        <w:pStyle w:val="Heading2"/>
      </w:pPr>
      <w:r>
        <w:t>714.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2024:</w:t>
      </w:r>
      <w:r>
        <w:t xml:space="preserve"> Methodologies for the design of positive energy districts: A scoping literature review and a proposal for a new approach (PlanPED) — https://doi.org/10.1016/j.buildenv.2024.111667</w:t>
      </w:r>
    </w:p>
    <w:p>
      <w:pPr/>
      <w:r>
        <w:rPr>
          <w:b/>
        </w:rPr>
        <w:t>Shared claim-specific concepts:</w:t>
      </w:r>
      <w:r>
        <w:t xml:space="preserve"> design, approach, then; EU scope visible. This is a provisional connection, not an outcome finding.</w:t>
      </w:r>
    </w:p>
    <w:p>
      <w:pPr>
        <w:pStyle w:val="SourceNote"/>
      </w:pPr>
      <w:r>
        <w:rPr>
          <w:b/>
        </w:rPr>
        <w:t>Available abstract (not full text):</w:t>
      </w:r>
      <w:r>
        <w:t xml:space="preserve">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pPr/>
      <w:r>
        <w:rPr>
          <w:b/>
        </w:rPr>
        <w:t>POSSIBLE 2024:</w:t>
      </w:r>
      <w:r>
        <w:t xml:space="preserve"> A Methodology for Intercultural Design — https://doi.org/10.30682/diid8224j</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pPr/>
      <w:r>
        <w:rPr>
          <w:b/>
        </w:rPr>
        <w:t>POSSIBLE 2023:</w:t>
      </w:r>
      <w:r>
        <w:t xml:space="preserve"> Design displacement for lifelines at fault crossings: the code-based approach for Europe — https://doi.org/10.1007/s10518-023-01813-9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pPr/>
      <w:r>
        <w:rPr>
          <w:b/>
        </w:rPr>
        <w:t>POSSIBLE 2023:</w:t>
      </w:r>
      <w:r>
        <w:t xml:space="preserve"> A Novel Integrated Design Methodology for Nature-Based Solutions and Soil and Water Bioengineering Interventions: The Tardio&amp;Mickovski Methodology — https://doi.org/10.3390/su15043044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pPr/>
      <w:r>
        <w:rPr>
          <w:b/>
        </w:rPr>
        <w:t>POSSIBLE 2023:</w:t>
      </w:r>
      <w:r>
        <w:t xml:space="preserve"> Methodological approach for an Atlas of architectural design in built heritage: contributions of the School of Porto — https://doi.org/10.1108/jchmsd-08-2023-0131</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pPr/>
      <w:r>
        <w:rPr>
          <w:b/>
        </w:rPr>
        <w:t>POSSIBLE 2022:</w:t>
      </w:r>
      <w:r>
        <w:t xml:space="preserve"> Co-Design of Augmented Reality Games for Learning with Teachers: A methodological approach — https://doi.org/10.21203/rs.3.rs-1988443/v1</w:t>
      </w:r>
    </w:p>
    <w:p>
      <w:pPr/>
      <w:r>
        <w:rPr>
          <w:b/>
        </w:rPr>
        <w:t>Shared claim-specific concepts:</w:t>
      </w:r>
      <w:r>
        <w:t xml:space="preserve"> design, approach, method, relevant; EU scope not established. This is a provisional connection, not an outcome finding.</w:t>
      </w:r>
    </w:p>
    <w:p>
      <w:pPr>
        <w:pStyle w:val="SourceNote"/>
      </w:pPr>
      <w:r>
        <w:rPr>
          <w:b/>
        </w:rPr>
        <w:t>Available abstract (not full text):</w:t>
      </w:r>
      <w:r>
        <w:t xml:space="preserve">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pPr/>
      <w:r>
        <w:rPr>
          <w:b/>
        </w:rPr>
        <w:t>POSSIBLE 2021:</w:t>
      </w:r>
      <w:r>
        <w:t xml:space="preserve"> The EU DEMO staged design approach in the Pre-Concept Design Phase — https://doi.org/10.1016/j.fusengdes.2021.112959</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paper provides an overview of the methodology adopted within the EUROfusion framework covering the Pre-Concept Design Phase (2014–2020). The phase activities focused on advancing the technical basis of the design of the European DEMOnstration Fusion Power Plant (DEMO). The emphasis in the latter stages was placed upon an integrated design approach, based on systems engineering, providing a clear direction for urgent technology R&amp;D and addressing the key design integration issues by assessing the critical systems interdependencies and uncertainties of certain design assumptions. The programme has continued to benefit from the ITER return of experience, in terms of design, licensing, and construction and DEMO will maintain a strong link with the ITER schedule in the coming design phases. The growing need for a structured and transparent review process gave rise to the introduction of a phase-gate review process, the implementation of which led to the first formal DEMO-wide gate review held at the end of the Pre-Concept Design Phase. The Gate Panel's recommendations provided clarity on the key priorities for the programme moving forward and serve to underpin the planning for the next phase.</w:t>
      </w:r>
    </w:p>
    <w:p>
      <w:pPr/>
      <w:r>
        <w:rPr>
          <w:b/>
        </w:rPr>
        <w:t>POSSIBLE 2020:</w:t>
      </w:r>
      <w:r>
        <w:t xml:space="preserve"> A Methodological Safe-by-Design Approach for the Development of Nanomedicines — https://doi.org/10.3389/fbioe.2020.00258</w:t>
      </w:r>
    </w:p>
    <w:p>
      <w:pPr/>
      <w:r>
        <w:rPr>
          <w:b/>
        </w:rPr>
        <w:t>Shared claim-specific concepts:</w:t>
      </w:r>
      <w:r>
        <w:t xml:space="preserve"> design, approach, relevant, fields; EU scope visible. This is a provisional connection, not an outcome finding.</w:t>
      </w:r>
    </w:p>
    <w:p>
      <w:pPr>
        <w:pStyle w:val="SourceNote"/>
      </w:pPr>
      <w:r>
        <w:rPr>
          <w:b/>
        </w:rPr>
        <w:t>Available abstract (not full text):</w:t>
      </w:r>
      <w:r>
        <w:t xml:space="preserve">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pPr/>
      <w:r>
        <w:rPr>
          <w:b/>
        </w:rPr>
        <w:t>POSSIBLE 2020:</w:t>
      </w:r>
      <w:r>
        <w:t xml:space="preserve"> SMEs strategic networks and innovative performance: a relational design and methodology for knowledge sharing — https://doi.org/10.1108/jkm-01-2020-0010</w:t>
      </w:r>
    </w:p>
    <w:p>
      <w:pPr/>
      <w:r>
        <w:rPr>
          <w:b/>
        </w:rPr>
        <w:t>Shared claim-specific concepts:</w:t>
      </w:r>
      <w:r>
        <w:t xml:space="preserve"> design, methodology, approach, findings; EU scope visible. This is a provisional connection, not an outcome finding.</w:t>
      </w:r>
    </w:p>
    <w:p>
      <w:pPr>
        <w:pStyle w:val="SourceNote"/>
      </w:pPr>
      <w:r>
        <w:rPr>
          <w:b/>
        </w:rPr>
        <w:t>Available abstract (not full text):</w:t>
      </w:r>
      <w:r>
        <w:t xml:space="preserve"> Purpose In the context of resource scarcity, the affiliation of small and medium-sized enterprises (SMEs) to strategic networks has emerged as a fruitful path towards knowledge sharing as a reaction to fierce competition and with a view to enhance their innovative performance. In this framework, this paper aims to investigate the influence exerted by a specific relational design (i.e. types of strategic networks) and methodology (i.e. channels and content) of knowledge sharing on SMEs innovative performance. Design/methodology/approach A questionnaire-based survey with 102 top managers of European SMEs in the industrial field was conducted from June to August 2019 and a partial least squares structural equation modelling technique was used. The database was initially filtered to ensure the adequacy of the sample and data was analysed using the statistics software package SmartPLS 3.0. Findings The results concluded that the structural model explains 38.5% of the variance in SMEs innovative performance, indicating the positive effects exerted by offline and online and by competitive knowledge sharing on the dependent variable. Research implications The study has both theoretical and practical implications in that it sets out a reference point for the key performance indicators for strategic networks structure, formation and development and, implicitly, for the selection of the m</w:t>
      </w:r>
    </w:p>
    <w:p>
      <w:pPr/>
      <w:r>
        <w:rPr>
          <w:b/>
        </w:rPr>
        <w:t>POSSIBLE 2019:</w:t>
      </w:r>
      <w:r>
        <w:t xml:space="preserve"> Methodology and empirical design — https://doi.org/10.4324/9780429431234-4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Chapter 4 “Methodology and Empirical Design” starts with a brief outline of the research project (“ENRI-East: European, National and Regional Identities”) that has provided the quantitative and qualitative data used in the book. It presents the basic population statistics of all researched minority groups: Russians in Latvia and Lithuania; Hungarians in Slovakia and Ukraine; Poles in Belarus, Ukraine and Lithuania; Belarusians in Poland and Lithuania; Slovaks in Hungary; Ukrainians in Poland; and Lithuanians in Russia (Kaliningrad region). The following subchapter describes the design and the implementation of the quantitative data collection (“ENRI-VIS”), including the specific sampling methods and a detailed description of the sample (N = 6,800). The third subchapter provides information on the qualitative data collection (“ENRI-BIO”) and a detailed sample description (N = 132). The sampling frame for the biographical interviews included gender and age. Members of three generations of all researched minority groups were interviewed by using a biographical approach.</w:t>
      </w:r>
    </w:p>
    <w:p>
      <w:pPr>
        <w:pStyle w:val="Heading2"/>
      </w:pPr>
      <w:r>
        <w:t>715.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also, important, deployment, renewable, energy;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Social Investment, Redistribution or Basic Income? Exploring the Association Between Automation Risk and Welfare State Attitudes in Europe — https://doi.org/10.1017/s0047279421000519</w:t>
      </w:r>
    </w:p>
    <w:p>
      <w:pPr/>
      <w:r>
        <w:rPr>
          <w:b/>
        </w:rPr>
        <w:t>Shared claim-specific concepts:</w:t>
      </w:r>
      <w:r>
        <w:t xml:space="preserve"> also, policies; EU scope visible. This is a provisional connection, not an outcome finding.</w:t>
      </w:r>
    </w:p>
    <w:p>
      <w:pPr>
        <w:pStyle w:val="SourceNote"/>
      </w:pPr>
      <w:r>
        <w:rPr>
          <w:b/>
        </w:rPr>
        <w:t>Available abstract (not full text):</w:t>
      </w:r>
      <w:r>
        <w:t xml:space="preserve">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pPr/>
      <w:r>
        <w:rPr>
          <w:b/>
        </w:rPr>
        <w:t>POSSIBLE 2020:</w:t>
      </w:r>
      <w:r>
        <w:t xml:space="preserve"> Exploring Young Europeans’ Homeownership Opportunities — https://doi.org/10.13060/23362839.2020.7.1.506</w:t>
      </w:r>
    </w:p>
    <w:p>
      <w:pPr/>
      <w:r>
        <w:rPr>
          <w:b/>
        </w:rPr>
        <w:t>Shared claim-specific concepts:</w:t>
      </w:r>
      <w:r>
        <w:t xml:space="preserve"> also, explores, important, policies; EU scope visible. This is a provisional connection, not an outcome finding.</w:t>
      </w:r>
    </w:p>
    <w:p>
      <w:pPr>
        <w:pStyle w:val="SourceNote"/>
      </w:pPr>
      <w:r>
        <w:rPr>
          <w:b/>
        </w:rPr>
        <w:t>Available abstract (not full text):</w:t>
      </w:r>
      <w:r>
        <w:t xml:space="preserve">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pPr/>
      <w:r>
        <w:rPr>
          <w:b/>
        </w:rPr>
        <w:t>POSSIBLE 2019:</w:t>
      </w:r>
      <w:r>
        <w:t xml:space="preserve"> Implementing Green Infrastructure in Spatial Planning in Europe — https://doi.org/10.3390/land8040062</w:t>
      </w:r>
    </w:p>
    <w:p>
      <w:pPr/>
      <w:r>
        <w:rPr>
          <w:b/>
        </w:rPr>
        <w:t>Shared claim-specific concepts:</w:t>
      </w:r>
      <w:r>
        <w:t xml:space="preserve"> also, important, wide, insights, policies, see;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716.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r>
        <w:rPr>
          <w:b/>
        </w:rPr>
        <w:t>POSSIBLE 2024:</w:t>
      </w:r>
      <w:r>
        <w:t xml:space="preserve"> A design methodology based approach for robotic gripper design — https://openalex.org/W4391710302</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Abstract Not Provided</w:t>
      </w:r>
    </w:p>
    <w:p>
      <w:pPr/>
      <w:r>
        <w:rPr>
          <w:b/>
        </w:rPr>
        <w:t>POSSIBLE 2024:</w:t>
      </w:r>
      <w:r>
        <w:t xml:space="preserve"> Exploring a Material-Focused Design Methodology: An Innovative Approach to Pressure Vessel Design — https://doi.org/10.3390/machines12010081</w:t>
      </w:r>
    </w:p>
    <w:p>
      <w:pPr/>
      <w:r>
        <w:rPr>
          <w:b/>
        </w:rPr>
        <w:t>Shared claim-specific concepts:</w:t>
      </w:r>
      <w:r>
        <w:t xml:space="preserve"> design, methodology, approach, based, industrial, methodologies; EU scope not established. This is a provisional connection, not an outcome finding.</w:t>
      </w:r>
    </w:p>
    <w:p>
      <w:pPr>
        <w:pStyle w:val="SourceNote"/>
      </w:pPr>
      <w:r>
        <w:rPr>
          <w:b/>
        </w:rPr>
        <w:t>Available abstract (not full text):</w:t>
      </w:r>
      <w:r>
        <w:t xml:space="preserve">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pPr/>
      <w:r>
        <w:rPr>
          <w:b/>
        </w:rPr>
        <w:t>POSSIBLE 2023:</w:t>
      </w:r>
      <w:r>
        <w:t xml:space="preserve"> Smart factory mapping and design: methodological approaches — https://doi.org/10.1007/s11740-023-01193-8</w:t>
      </w:r>
    </w:p>
    <w:p>
      <w:pPr/>
      <w:r>
        <w:rPr>
          <w:b/>
        </w:rPr>
        <w:t>Shared claim-specific concepts:</w:t>
      </w:r>
      <w:r>
        <w:t xml:space="preserve"> design, approach, based; EU scope not established. This is a provisional connection, not an outcome finding.</w:t>
      </w:r>
    </w:p>
    <w:p>
      <w:pPr>
        <w:pStyle w:val="SourceNote"/>
      </w:pPr>
      <w:r>
        <w:rPr>
          <w:b/>
        </w:rPr>
        <w:t>Available abstract (not full text):</w:t>
      </w:r>
      <w:r>
        <w:t xml:space="preserve"> Abstract Several studies show a demand for further transfer of Industry 4.0 concepts and technologies into practice. This paper describes how companies can be supported methodologically to identify individual opportunities for optimization within their future smart factories. Existing methods are screened, recombined, and enhanced to create a sufficient demand-oriented approach, based on the lean value stream mapping and design. The final approach covers a mapping phase of the current state and a design phase of a future state. It follows the general principle of process optimization prior to digitalization. Being a highly visual method, it can be used to explain the needs and the motivation for the identified improvement initiatives to all involved parties, including non-IT-specialists. This paper also presents an exemplary result and several learnings from tests with three companies with discrete manufacturing processes.</w:t>
      </w:r>
    </w:p>
    <w:p>
      <w:pPr/>
      <w:r>
        <w:rPr>
          <w:b/>
        </w:rPr>
        <w:t>POSSIBLE 2023:</w:t>
      </w:r>
      <w:r>
        <w:t xml:space="preserve"> Full factorial design methodology approach to optimize the elimination of gallic acid from water by coagulation using activated acorns barks as coagulant-aid — https://doi.org/10.2298/jsc220623084b</w:t>
      </w:r>
    </w:p>
    <w:p>
      <w:pPr/>
      <w:r>
        <w:rPr>
          <w:b/>
        </w:rPr>
        <w:t>Shared claim-specific concepts:</w:t>
      </w:r>
      <w:r>
        <w:t xml:space="preserve"> design, methodology, approach, hybrid; EU scope not established. This is a provisional connection, not an outcome finding.</w:t>
      </w:r>
    </w:p>
    <w:p>
      <w:pPr>
        <w:pStyle w:val="SourceNote"/>
      </w:pPr>
      <w:r>
        <w:rPr>
          <w:b/>
        </w:rPr>
        <w:t>Available abstract (not full text):</w:t>
      </w:r>
      <w:r>
        <w:t xml:space="preserve"> This study investigated the elimination of organic matter from water by the coagulation process using a biomaterial ?acorns barks? as a coagulantaid with the presence of aluminium sulphate in low concentration. The removal of gallic acid from water was first studied by two processes: the adsorption on activated acorns barks, and coagulation by aluminium sulphate, separately. The hybrid system was then studied, and the optimal operating conditions were determined. The performance of the hybrid system (coagulation/adsorption) mainly depends on the initial concentration of gallic acid, the coagulant dose and the mass of coagulant-aid. A full factorial design 23 was used to determine the optimum conditions for gallic acid removal. The maximum removal of gallic acid in water was 92.48 %, achieved at 20 mg L-1 of initial gallic acid concentration, 50 mg L-1 of aluminium sulphate coagulant concentration and 1.5 g of activated acorns barks adsorbent mass. The application of these optimal conditions on urban wastewater for the elimination of organic matter has shown the performance of this hybrid system treatment.</w:t>
      </w:r>
    </w:p>
    <w:p>
      <w:pPr/>
      <w:r>
        <w:rPr>
          <w:b/>
        </w:rPr>
        <w:t>POSSIBLE 2021:</w:t>
      </w:r>
      <w:r>
        <w:t xml:space="preserve"> Analytical Quality by Design Methodology Approach for Simultaneous Quantitation of Paeoniflorin and Decursin in Herbal Medicine by RP-HPLC Analysis — https://doi.org/10.20307/nps.2021.27.4.264</w:t>
      </w:r>
    </w:p>
    <w:p>
      <w:pPr/>
      <w:r>
        <w:rPr>
          <w:b/>
        </w:rPr>
        <w:t>Shared claim-specific concepts:</w:t>
      </w:r>
      <w:r>
        <w:t xml:space="preserve"> design, methodology, approach, based; EU scope not established. This is a provisional connection, not an outcome finding.</w:t>
      </w:r>
    </w:p>
    <w:p>
      <w:pPr>
        <w:pStyle w:val="SourceNote"/>
      </w:pPr>
      <w:r>
        <w:rPr>
          <w:b/>
        </w:rPr>
        <w:t>Available abstract (not full text):</w:t>
      </w:r>
      <w:r>
        <w:t xml:space="preserve"> Simultaneous quantification of multiple marker compounds in herbal medicine by high performance liquid chromatography (HPLC) analysis is still a challenge due to the complexity in various parameters to be considered and co-existing multi-components. As a case study, a reliable HPLC method for simultaneous quantification of paeoniflorin from Paeoniae Radix and decursin from Angelicae Gigantis Radix in various commercial herbal medicine was developed based on analytical quality by design (AQbD) strategy. As a first step, risk assessment was performed to select the critical method parameters (CMPs) which were decided as organic mobile phase ratio and column oven temperature. In order to evaluate the effect of the CMPs on critical method attributes (CMAs) of peak resolution and tailing, central composite design (CCD) was employed. The final chromatographic conditions were optimized as follows: column- C18, 4.6 × 250 mm, 5 μm particle size; mobile phase- A: acetonitrile, B: 0.1% acetic acid water; detection wavelength- 235 nm for paeoniflorin, 325 nm for decursin; column oven temperature- 25oC; flow rate- 1.0 mL/min; gradient mobile phase system as Time (min) : % A, 0:14, 25:14, 30:50, 60:50, 61:100, 65:100, 66:14, 75:14. The method was successfully validated according to the International Conference on Harmonization (ICH) guidelines and piloted for ten commercial herbal medicines.</w:t>
      </w:r>
    </w:p>
    <w:p>
      <w:pPr/>
      <w:r>
        <w:rPr>
          <w:b/>
        </w:rPr>
        <w:t>POSSIBLE 2020:</w:t>
      </w:r>
      <w:r>
        <w:t xml:space="preserve"> A Methodological Safe-by-Design Approach for the Development of Nanomedicines — https://doi.org/10.3389/fbioe.2020.00258</w:t>
      </w:r>
    </w:p>
    <w:p>
      <w:pPr/>
      <w:r>
        <w:rPr>
          <w:b/>
        </w:rPr>
        <w:t>Shared claim-specific concepts:</w:t>
      </w:r>
      <w:r>
        <w:t xml:space="preserve"> design, approach, based; EU scope visible. This is a provisional connection, not an outcome finding.</w:t>
      </w:r>
    </w:p>
    <w:p>
      <w:pPr>
        <w:pStyle w:val="SourceNote"/>
      </w:pPr>
      <w:r>
        <w:rPr>
          <w:b/>
        </w:rPr>
        <w:t>Available abstract (not full text):</w:t>
      </w:r>
      <w:r>
        <w:t xml:space="preserve">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pPr/>
      <w:r>
        <w:rPr>
          <w:b/>
        </w:rPr>
        <w:t>POSSIBLE 2020:</w:t>
      </w:r>
      <w:r>
        <w:t xml:space="preserve"> An approach to the Contextual Design methodology in the context of Information Science — https://doi.org/10.5281/zenodo.3733525</w:t>
      </w:r>
    </w:p>
    <w:p>
      <w:pPr/>
      <w:r>
        <w:rPr>
          <w:b/>
        </w:rPr>
        <w:t>Shared claim-specific concepts:</w:t>
      </w:r>
      <w:r>
        <w:t xml:space="preserve"> design, methodology, approach, based, domain; EU scope not established. This is a provisional connection, not an outcome finding.</w:t>
      </w:r>
    </w:p>
    <w:p>
      <w:pPr>
        <w:pStyle w:val="SourceNote"/>
      </w:pPr>
      <w:r>
        <w:rPr>
          <w:b/>
        </w:rPr>
        <w:t>Available abstract (not full text):</w:t>
      </w:r>
      <w:r>
        <w:t xml:space="preserve"> Based on an operative definition of Information Science (IS) as a study of the mediation aspects of the phenomena: data, information, knowledge and message, and their implementation in the cultural domain, the potential of Contextual Design (CD) as a methodology for the development of optimized interfaces between information resources and users is analyzed. The goals are (i) to identify papers that address or make use of the CD methodology in databases related to IS; (ii) to describe the approaches to the concept of CD in those papers; (iii) to point out the potentials and limitations of this methodology. We draw an exploratory / descriptive study based on a systematic review and categorical analysis. Eight papers were retrieved, which may act as a potential indicator of the reduced use of this methodology in the IS area. Furthermore, its application is essentially practical. Although the limitation of non-involvement of users throughout all the design process is pointed out, the CD methodology shows the ability to collect implicit information through user activities and the possibility of shared systematization of complex data. These characteristics make CD a potential value for the development of appropriate interfaces between information resources and their users.</w:t>
      </w:r>
    </w:p>
    <w:p>
      <w:pPr>
        <w:pStyle w:val="Heading2"/>
      </w:pPr>
      <w:r>
        <w:t>717. The Future of Rural Poland: the Main Trends and Possible Scenarios.</w:t>
      </w:r>
    </w:p>
    <w:p>
      <w:pPr>
        <w:pStyle w:val="SourceNote"/>
      </w:pPr>
      <w:r>
        <w:rPr>
          <w:b/>
        </w:rPr>
        <w:t>Original source (2018):</w:t>
      </w:r>
      <w:r>
        <w:t xml:space="preserve"> https://doi.org/10.1515/eec-2017-0004</w:t>
      </w:r>
    </w:p>
    <w:p>
      <w:pPr/>
      <w:r>
        <w:t>Original wording (abstract; indexed_source_text_not_full_document_verified):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pStyle w:val="Heading2"/>
      </w:pPr>
      <w:r>
        <w:t>718.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2023:</w:t>
      </w:r>
      <w:r>
        <w:t xml:space="preserve">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pPr/>
      <w:r>
        <w:rPr>
          <w:b/>
        </w:rPr>
        <w:t>Shared claim-specific concepts:</w:t>
      </w:r>
      <w:r>
        <w:t xml:space="preserve"> organized, strategies, four; EU scope visible. This is a provisional connection, not an outcome finding.</w:t>
      </w:r>
    </w:p>
    <w:p>
      <w:pPr>
        <w:pStyle w:val="SourceNote"/>
      </w:pPr>
      <w:r>
        <w:rPr>
          <w:b/>
        </w:rPr>
        <w:t>Available abstract (not full text):</w:t>
      </w:r>
      <w:r>
        <w:t xml:space="preserve">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pPr/>
      <w:r>
        <w:rPr>
          <w:b/>
        </w:rPr>
        <w:t>POSSIBLE 2021:</w:t>
      </w:r>
      <w:r>
        <w:t xml:space="preserve"> Barriers to ecological restoration in Europe: expert perspectives — https://doi.org/10.1111/rec.13346</w:t>
      </w:r>
    </w:p>
    <w:p>
      <w:pPr/>
      <w:r>
        <w:rPr>
          <w:b/>
        </w:rPr>
        <w:t>Shared claim-specific concepts:</w:t>
      </w:r>
      <w:r>
        <w:t xml:space="preserve"> experts, three, identified;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2019:</w:t>
      </w:r>
      <w:r>
        <w:t xml:space="preserve">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pPr/>
      <w:r>
        <w:rPr>
          <w:b/>
        </w:rPr>
        <w:t>Shared claim-specific concepts:</w:t>
      </w:r>
      <w:r>
        <w:t xml:space="preserve"> organized, experts, each; EU scope visible. This is a provisional connection, not an outcome finding.</w:t>
      </w:r>
    </w:p>
    <w:p>
      <w:pPr>
        <w:pStyle w:val="SourceNote"/>
      </w:pPr>
      <w:r>
        <w:rPr>
          <w:b/>
        </w:rPr>
        <w:t>Available abstract (not full text):</w:t>
      </w:r>
      <w:r>
        <w:t xml:space="preserve">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pPr/>
      <w:r>
        <w:rPr>
          <w:b/>
        </w:rPr>
        <w:t>POSSIBLE 2019:</w:t>
      </w:r>
      <w:r>
        <w:t xml:space="preserve"> Brief Report on the 11th Meeting of the European Forum on Antiphospholipid Antibodies — https://doi.org/10.1007/s11926-019-0805-1</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pPr/>
      <w:r>
        <w:rPr>
          <w:b/>
        </w:rPr>
        <w:t>POSSIBLE 2019:</w:t>
      </w:r>
      <w:r>
        <w:t xml:space="preserve"> 28th European Vegetation Survey Meeting in Madrid: Vegetation Diversity and Global Change — https://doi.org/10.5209/mbot.65670</w:t>
      </w:r>
    </w:p>
    <w:p>
      <w:pPr/>
      <w:r>
        <w:rPr>
          <w:b/>
        </w:rPr>
        <w:t>Shared claim-specific concepts:</w:t>
      </w:r>
      <w:r>
        <w:t xml:space="preserve"> organized, experts, each, other, three; EU scope visible. This is a provisional connection, not an outcome finding.</w:t>
      </w:r>
    </w:p>
    <w:p>
      <w:pPr>
        <w:pStyle w:val="SourceNote"/>
      </w:pPr>
      <w:r>
        <w:rPr>
          <w:b/>
        </w:rPr>
        <w:t>Available abstract (not full text):</w:t>
      </w:r>
      <w:r>
        <w:t xml:space="preserve"> The twenty-eighth annual meeting of the European Vegetation Survey has been held in Madrid from September 2 to 6 at the School of Pharmacy (Complutense University) with the title 'Vegetation Diversity and Global Change'.European Vegetation Survey is a working group of IAVS (International Association of Vegetation Science) born in 1992 as a new initiative related to the European Habitats Directive (Bulletin of the European Communities) which urged member countries to conserve their most significant natural spaces.That directive led the countries to work in the preparation of detailed cartographies of its vegetation and the creation of Natura 2000 Network, which included the most important "natural vegetation units" of each country and provided them with special protection.More than 160 experts from 25 countries has attended it.The Department of Pharmacology, Pharmacognosy and Botany has organized this event for the first time in Madrid.Traditionally Pharmacy has been considered as guarantor of environmental health and its relationships with the Official Professional Pharmaceutical College of Madrid has resulted in sponsoring the congress, and count on the presence of its president, Luis González Díaz in the Opening Ceremony, together with the vice-dean of the Faculty, Manuel Córdoba on behalf of the Dean Irene Iglesias, the general secretary of EVS (European Vegetation Survey) M</w:t>
      </w:r>
    </w:p>
    <w:p>
      <w:pPr/>
      <w:r>
        <w:rPr>
          <w:b/>
        </w:rPr>
        <w:t>POSSIBLE 2019:</w:t>
      </w:r>
      <w:r>
        <w:t xml:space="preserve"> Final Report of the Fifth Meeting of Scientific Experts on Fish Stocks in the Central Arctic Ocean — https://openalex.org/W3138443630</w:t>
      </w:r>
    </w:p>
    <w:p>
      <w:pPr/>
      <w:r>
        <w:rPr>
          <w:b/>
        </w:rPr>
        <w:t>Shared claim-specific concepts:</w:t>
      </w:r>
      <w:r>
        <w:t xml:space="preserve"> organized, experts, other, possible, four; EU scope visible. This is a provisional connection, not an outcome finding.</w:t>
      </w:r>
    </w:p>
    <w:p>
      <w:pPr>
        <w:pStyle w:val="SourceNote"/>
      </w:pPr>
      <w:r>
        <w:rPr>
          <w:b/>
        </w:rPr>
        <w:t>Available abstract (not full text):</w:t>
      </w:r>
      <w:r>
        <w:t xml:space="preserve"> This report provides a summary of the 5th meeting of scientific experts on Fish Stocks in the Central \nArctic Ocean (FiSCAO) on October 24‐26, 2017, in Ottawa, Canada. \nAt the request of the 10 parties negotiating on an agreement to prevent unregulated commercial fishing \nin the High Seas portion of the Central Arctic Ocean (CAO), participants of the 5th FiSCAO meeting were \ntasked with addressing four Terms of Reference, summarized below: \n ToR 1. Design a 1‐3 year long mapping program. \n ToR 2. Design a monitoring program. \n ToR 3. Identify human, financial, vessel/equipment resources needed for mapping and \nmonitoring. \n ToR 4. Develop data collection, sharing, and hosting protocols that outline the details of what \nand how data shall be collected, shared, and hosted for consideration by the Parties. \nThe 5th FiSCAO meeting included scientific representatives from seven states including Canada, the \nPeople's Republic of China, the European Union, Iceland, the Republic of Korea, the Kingdom of Norway \nand the United States of America. The meeting also included representatives from the International \nCouncil for the Exploration of the Sea (ICES), the North Pacific Marine Science Organization (PICES) and \nthe Arctic Council’s Protection of the Arctic Marine Environment (PAME) and Conservation of Arctic \nFlora and Fauna (CAFF) working groups. \nThe report sum</w:t>
      </w:r>
    </w:p>
    <w:p>
      <w:pPr>
        <w:pStyle w:val="Heading2"/>
      </w:pPr>
      <w:r>
        <w:t>719.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2021:</w:t>
      </w:r>
      <w:r>
        <w:t xml:space="preserve"> Extreme windstorms and sting jets in convection-permitting climate simulations over Europe — https://doi.org/10.1007/s00382-021-06011-4</w:t>
      </w:r>
    </w:p>
    <w:p>
      <w:pPr/>
      <w:r>
        <w:rPr>
          <w:b/>
        </w:rPr>
        <w:t>Shared claim-specific concepts:</w:t>
      </w:r>
      <w:r>
        <w:t xml:space="preserve"> over, large; EU scope visible. This is a provisional connection, not an outcome finding.</w:t>
      </w:r>
    </w:p>
    <w:p>
      <w:pPr>
        <w:pStyle w:val="SourceNote"/>
      </w:pPr>
      <w:r>
        <w:rPr>
          <w:b/>
        </w:rPr>
        <w:t>Available abstract (not full text):</w:t>
      </w:r>
      <w:r>
        <w:t xml:space="preserve">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pPr/>
      <w:r>
        <w:rPr>
          <w:b/>
        </w:rPr>
        <w:t>POSSIBLE 2021:</w:t>
      </w:r>
      <w:r>
        <w:t xml:space="preserve"> Experimental validation of an integrated modelling approach to neutron emission studies at JET — https://doi.org/10.1088/1741-4326/ac3021</w:t>
      </w:r>
    </w:p>
    <w:p>
      <w:pPr/>
      <w:r>
        <w:rPr>
          <w:b/>
        </w:rPr>
        <w:t>Shared claim-specific concepts:</w:t>
      </w:r>
      <w:r>
        <w:t xml:space="preserve"> jet, several, characteristics; EU scope not established. This is a provisional connection, not an outcome finding.</w:t>
      </w:r>
    </w:p>
    <w:p>
      <w:pPr>
        <w:pStyle w:val="SourceNote"/>
      </w:pPr>
      <w:r>
        <w:rPr>
          <w:b/>
        </w:rPr>
        <w:t>Available abstract (not full text):</w:t>
      </w:r>
      <w:r>
        <w:t xml:space="preserve">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pPr/>
      <w:r>
        <w:rPr>
          <w:b/>
        </w:rPr>
        <w:t>POSSIBLE 2020:</w:t>
      </w:r>
      <w:r>
        <w:t xml:space="preserve"> Drivers of the Northern Extratropical Eddy‐Driven Jet Change in CMIP5 and CMIP6 Models — https://doi.org/10.1029/2019gl086695</w:t>
      </w:r>
    </w:p>
    <w:p>
      <w:pPr/>
      <w:r>
        <w:rPr>
          <w:b/>
        </w:rPr>
        <w:t>Shared claim-specific concepts:</w:t>
      </w:r>
      <w:r>
        <w:t xml:space="preserve"> jet, over, northern; EU scope visible. This is a provisional connection, not an outcome finding.</w:t>
      </w:r>
    </w:p>
    <w:p>
      <w:pPr>
        <w:pStyle w:val="SourceNote"/>
      </w:pPr>
      <w:r>
        <w:rPr>
          <w:b/>
        </w:rPr>
        <w:t>Available abstract (not full text):</w:t>
      </w:r>
      <w:r>
        <w:t xml:space="preserve">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pPr/>
      <w:r>
        <w:rPr>
          <w:b/>
        </w:rPr>
        <w:t>POSSIBLE 2019:</w:t>
      </w:r>
      <w:r>
        <w:t xml:space="preserve"> Jet production in charged-current deep-inelastic scattering to third order in QCD — https://doi.org/10.1016/j.physletb.2019.03.003</w:t>
      </w:r>
    </w:p>
    <w:p>
      <w:pPr/>
      <w:r>
        <w:rPr>
          <w:b/>
        </w:rPr>
        <w:t>Shared claim-specific concepts:</w:t>
      </w:r>
      <w:r>
        <w:t xml:space="preserve"> third, jet; EU scope not established. This is a provisional connection, not an outcome finding.</w:t>
      </w:r>
    </w:p>
    <w:p>
      <w:pPr>
        <w:pStyle w:val="SourceNote"/>
      </w:pPr>
      <w:r>
        <w:rPr>
          <w:b/>
        </w:rPr>
        <w:t>Available abstract (not full text):</w:t>
      </w:r>
      <w:r>
        <w:t xml:space="preserve">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pPr/>
      <w:r>
        <w:rPr>
          <w:b/>
        </w:rPr>
        <w:t>POSSIBLE 2019:</w:t>
      </w:r>
      <w:r>
        <w:t xml:space="preserve"> Erosion, screening, and migration of tungsten in the JET divertor — https://doi.org/10.1088/1741-4326/ab2aef</w:t>
      </w:r>
    </w:p>
    <w:p>
      <w:pPr/>
      <w:r>
        <w:rPr>
          <w:b/>
        </w:rPr>
        <w:t>Shared claim-specific concepts:</w:t>
      </w:r>
      <w:r>
        <w:t xml:space="preserve"> jet, over, large; EU scope not established. This is a provisional connection, not an outcome finding.</w:t>
      </w:r>
    </w:p>
    <w:p>
      <w:pPr>
        <w:pStyle w:val="SourceNote"/>
      </w:pPr>
      <w:r>
        <w:rPr>
          <w:b/>
        </w:rPr>
        <w:t>Available abstract (not full text):</w:t>
      </w:r>
      <w:r>
        <w:t xml:space="preserve"> The erosion of tungsten (W), induced by the bombardment of plasma and impurity particles, determines the lifetime of plasma-facing components as well as impacting on plasma performance by the influx of W into the confined region. The screening of W by the divertor and the transport of W in the plasma determines largely the W content in the plasma core, but the W source strength itself has a vital impact on this process. The JET tokamak experiment provides access to a large set of W erosion-determining parameters and permits a detailed description of the W source in the divertor closest to the ITER one: (i) effective sputtering yields and fluxes as function of impact energy of intrinsic (Be, C) and extrinsic (Ne, N) impurities as well as hydrogenic isotopes (H, D) are determined and predictions for the tritium (T) isotope are made. This includes the quantification of intra- and inter-edge localised mode (ELM) contributions to the total W source in H-mode plasmas which vary owing to the complex flux compositions and energy distributions in the corresponding phases. The sputtering threshold behaviour and the spectroscopic composition analysis provides an insight in the dominating species and plasma phases causing W erosion. (ii) The interplay between the net and gross W erosion source is discussed considering (prompt) re-deposition, thus, the immediate return of W ions back to the</w:t>
      </w:r>
    </w:p>
    <w:p>
      <w:pPr>
        <w:pStyle w:val="Heading2"/>
      </w:pPr>
      <w:r>
        <w:t>720.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r>
        <w:rPr>
          <w:b/>
        </w:rPr>
        <w:t>POSSIBLE 2021:</w:t>
      </w:r>
      <w:r>
        <w:t xml:space="preserve"> Childhood overweight and obesity in Europe: Changes from 2007 to 2017 — https://doi.org/10.1111/obr.13226</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pPr/>
      <w:r>
        <w:rPr>
          <w:b/>
        </w:rPr>
        <w:t>POSSIBLE 2020:</w:t>
      </w:r>
      <w:r>
        <w:t xml:space="preserve"> Obesity Prevalence in the Long-Term Future in 18 European Countries and in the USA — https://doi.org/10.1159/000511023</w:t>
      </w:r>
    </w:p>
    <w:p>
      <w:pPr/>
      <w:r>
        <w:rPr>
          <w:b/>
        </w:rPr>
        <w:t>Shared claim-specific concepts:</w:t>
      </w:r>
      <w:r>
        <w:t xml:space="preserve"> prevalence, obesity, expected; EU scope visible. This is a provisional connection, not an outcome finding.</w:t>
      </w:r>
    </w:p>
    <w:p>
      <w:pPr>
        <w:pStyle w:val="SourceNote"/>
      </w:pPr>
      <w:r>
        <w:rPr>
          <w:b/>
        </w:rPr>
        <w:t>Available abstract (not full text):</w:t>
      </w:r>
      <w:r>
        <w:t xml:space="preserve">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pPr/>
      <w:r>
        <w:rPr>
          <w:b/>
        </w:rPr>
        <w:t>POSSIBLE 2020:</w:t>
      </w:r>
      <w:r>
        <w:t xml:space="preserve"> Obesity ‑ a risk factor for increased COVID‑19 prevalence, severity and lethality (Review) — https://doi.org/10.3892/mmr.2020.11127</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pPr/>
      <w:r>
        <w:rPr>
          <w:b/>
        </w:rPr>
        <w:t>POSSIBLE 2020:</w:t>
      </w:r>
      <w:r>
        <w:t xml:space="preserve"> The combined impact of smoking, obesity and alcohol on life-expectancy trends in Europe — https://doi.org/10.1093/ije/dyaa273</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pPr/>
      <w:r>
        <w:rPr>
          <w:b/>
        </w:rPr>
        <w:t>POSSIBLE 2019:</w:t>
      </w:r>
      <w:r>
        <w:t xml:space="preserve"> Prevalence of prediabetes and type 2 diabetes in children with obesity and increased transaminases in European German‐speaking countries. Analysis of the APV initiative — https://doi.org/10.1111/ijpo.12601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Non-alcoholic fatty liver disease (NAFLD), prediabetes and type 2 diabetes mellitus are known to be closely linked with obesity as early as during childhood. OBJECTIVES: The study aimed to determine the prevalence of prediabetes and T2DM in children with obesity with or without increased transaminases. METHODS: Data from the observational multicentre (n = 51), cross-sectional Adipositas Patienten Verlaufsbeobachtung registry were analyzed. Mild increase (mild group) was defined by alanine transaminase (ALT) &gt;24 to ≤50 U/L and moderate to severe increase (advanced group) by ALT &gt; 50 U/L. Prediabetes and T2DM were defined according to recent IDF/ISPAD guidelines. RESULTS: The prevalence of prediabetes and T2DM was 11.9% (95% CI: 11.0-12.8) and 1.4% (95% CI: 1.1-1.7) among all participants (n = 4932; male = 2481; mean age 12.9 ± 2.7 years; BMI-SDS 2.1 ± 0.5; Tanner stage 3.2 ± 1.5). The prevalence of impaired glucose metabolism (prediabetes and T2DM) was 13.8% (95% CI: 12.1-15.4) in the mild, 21.9% (95% CI: 18.8-25.1) in the advanced group, 10.7% (95% CI: 9.4-11.9) in the control group. Mild and advanced groups had greater odds ratios for prediabetes [1.42; 95% CI: 1.17-1.72, 2.26-fold; (1.78-2.86), respectively], the advanced group also for T2DM [2.39 (1.36-4.21)] compared to controls. While an increase in transaminases predominantly affected boys, girls within the ad</w:t>
      </w:r>
    </w:p>
    <w:p>
      <w:pPr/>
      <w:r>
        <w:rPr>
          <w:b/>
        </w:rPr>
        <w:t>POSSIBLE 2019:</w:t>
      </w:r>
      <w:r>
        <w:t xml:space="preserve"> Prevalence and Trends of Overweight and Obesity in European Children From 1999 to 2016 — https://doi.org/10.1001/jamapediatrics.2019.2430</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IMPORTANCE: Studies of trends in excess weight among European children throughout the last few decades have rendered mixed results. Additionally, some studies were outdated, were based on self-reported weight and height, or included only a few European countries. OBJECTIVE: To assess prevalence trends in measured overweight and obesity among children across Europe from 1999 to 2016 using a systematic methodology. DATA SOURCES: MEDLINE, Embase, CINAHL, and Web of Science were searched from their inception until May 2018. Moreover, searches were conducted on health institutions' websites to identify studies not published in scientific journals. STUDY SELECTION: The inclusion criteria were: (1) studies reporting the population-based prevalence of excess weight (overweight plus obesity) or obesity according to body mass index cutoffs proposed by the International Obesity Task Force; (2) cross-sectional or follow-up studies; and (3) studies including populations aged 2 to 13 years. DATA EXTRACTION AND SYNTHESIS: Literature review and data extraction followed established guidelines. The Mantel-Haenszel method was used to compute the pooled prevalence estimates and their 95% CI whenever there was no evidence of heterogeneity (I2 &lt; 50%); otherwise, the DerSimonian and Laird random-effects method was used. Subgroup analyses by study year, country, or European region (Atlantic, Iberian, </w:t>
      </w:r>
    </w:p>
    <w:p>
      <w:pPr>
        <w:pStyle w:val="Heading2"/>
      </w:pPr>
      <w:r>
        <w:t>721.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pStyle w:val="Heading2"/>
      </w:pPr>
      <w:r>
        <w:t>722.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2024:</w:t>
      </w:r>
      <w:r>
        <w:t xml:space="preserve"> The City of Medan: the Emergence of an Urban Centre — https://doi.org/10.1163/9789004716186_004</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emergence of urban heat traps and human mobility in 20 US cities — https://doi.org/10.1038/s42949-024-00142-3</w:t>
      </w:r>
    </w:p>
    <w:p>
      <w:pPr/>
      <w:r>
        <w:rPr>
          <w:b/>
        </w:rPr>
        <w:t>Shared claim-specific concepts:</w:t>
      </w:r>
      <w:r>
        <w:t xml:space="preserve"> emergence, urban, small; EU scope not established. This is a provisional connection, not an outcome finding.</w:t>
      </w:r>
    </w:p>
    <w:p>
      <w:pPr>
        <w:pStyle w:val="SourceNote"/>
      </w:pPr>
      <w:r>
        <w:rPr>
          <w:b/>
        </w:rPr>
        <w:t>Available abstract (not full text):</w:t>
      </w:r>
      <w:r>
        <w:t xml:space="preserve">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pPr/>
      <w:r>
        <w:rPr>
          <w:b/>
        </w:rPr>
        <w:t>POSSIBLE 2024:</w:t>
      </w:r>
      <w:r>
        <w:t xml:space="preserve"> SOCIAL INNOVATION EMERGENCE IN A CONGOLESE URBAN TERRITORY WITH A PEASANT LIFESTYLETO A SMART CITY — https://doi.org/10.33564/ijeast.2024.v09i04.022</w:t>
      </w:r>
    </w:p>
    <w:p>
      <w:pPr/>
      <w:r>
        <w:rPr>
          <w:b/>
        </w:rPr>
        <w:t>Shared claim-specific concepts:</w:t>
      </w:r>
      <w:r>
        <w:t xml:space="preserve"> emergence, urban, city, local; EU scope not established. This is a provisional connection, not an outcome finding.</w:t>
      </w:r>
    </w:p>
    <w:p>
      <w:pPr>
        <w:pStyle w:val="SourceNote"/>
      </w:pPr>
      <w:r>
        <w:rPr>
          <w:b/>
        </w:rPr>
        <w:t>Available abstract (not full text):</w:t>
      </w:r>
      <w:r>
        <w:t xml:space="preserve"> The study deals with the local governance of an African city with a peasant lifestyle, likely to transition towards a smart, truly urban city. To resolve the problem of managing the still latent emergence of social innovation in southern countries, the study hypothesizes that these urban agglomerations will only be able to see their development come through social innovations, in the extent that the knowledge of the populations concerned is at the service of public power through participatory democracy. The study proposes the revision of the place reserved for the resident in the management of the city and a model of participatory democracy in a co-creation approach.</w:t>
      </w:r>
    </w:p>
    <w:p>
      <w:pPr/>
      <w:r>
        <w:rPr>
          <w:b/>
        </w:rPr>
        <w:t>POSSIBLE 2024:</w:t>
      </w:r>
      <w:r>
        <w:t xml:space="preserve"> THE EMERGENCE OF SECONDARY URBAN CENTERS OR THE WITHDRAWAL OF URBAN CENTRALITY TO THE SUBURBS: A CASE STUDY OF THE CITY OF TÉBESSA IN THE FAR EAST OF ALGERIA — https://doi.org/10.31435/ijitss.4(44).2024.3041</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Major Algerian cities have witnessed significant dynamics, causing radical functional transformations that impacted city centers and their suburbs, leading to changes in the traditional image of cities. This resulted in a new distribution of urban functions and a redefinition of the concept of "space." Consequently, the current expansion and extension of cities' urban structure has encouraged a new relationship between the center and suburb, where new points of attraction have emerged on the "margins and suburbs," resulting in "**new centralities**" that caused major transformations affecting urban communities, spaces, and functions. The city of Tébessa, like other cities and being a border city and transit area to the Tunisian border, has experienced a new form of urban spaces. It previously had a traditional urban centrality around the Byzantine wall, one of the city's landmarks, which dominated for a long time as a central point over the rest of the urban space (the center). However, in recent years, it has undergone major transformations, characterized by strong attraction of functions, activities, and services, especially commercial activity in some city neighborhoods such as Skanska district, Constantine Road district, and Annaba Road district, in addition to “La Rocade” district, which plays a fundamental role in drawing a new image of centralities within Tébessa city at</w:t>
      </w:r>
    </w:p>
    <w:p>
      <w:pPr/>
      <w:r>
        <w:rPr>
          <w:b/>
        </w:rPr>
        <w:t>POSSIBLE 2022:</w:t>
      </w:r>
      <w:r>
        <w:t xml:space="preserve"> The emergence of a new urban proximity-based morphology: the 15-minute city and the smart city — https://doi.org/10.4337/9781803926803.00012</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The COVID-19 pandemic exposed the numerous socioeconomic challenges and disparities that exists globally, and more so in the cities, prompting a need to re-think the existing urban models, and the regeneration approaches that could be initiated to mitigate or correct the underlying problems. In the height of those dilemma, the '15-Minute City' concept has emerged as a potential planning pathway that could be adopted in cities to address the gaps on the social, economic and urban health issues that have been exposed, and which have led to the widespread of this pandemic. While this concept majorly advocates for a change in urban morphology, it could have massive potential especially if anchored on the Smart Cities networks and strongholds. This chapter seek to explore how this concept can become a success especially by incorporating some of the aspects of the Smart City networks and technologies, in reinforcing the social dimension which this model inherently advocate.</w:t>
      </w:r>
    </w:p>
    <w:p>
      <w:pPr/>
      <w:r>
        <w:rPr>
          <w:b/>
        </w:rPr>
        <w:t>POSSIBLE 2021:</w:t>
      </w:r>
      <w:r>
        <w:t xml:space="preserve"> Digital transformation of urban governance in China: The emergence and evolution of smart cities — https://doi.org/10.38044/2686-9136-2021-2-1-29-47</w:t>
      </w:r>
    </w:p>
    <w:p>
      <w:pPr/>
      <w:r>
        <w:rPr>
          <w:b/>
        </w:rPr>
        <w:t>Shared claim-specific concepts:</w:t>
      </w:r>
      <w:r>
        <w:t xml:space="preserve"> emergence, urban, city, need, reviews; EU scope not established. This is a provisional connection, not an outcome finding.</w:t>
      </w:r>
    </w:p>
    <w:p>
      <w:pPr>
        <w:pStyle w:val="SourceNote"/>
      </w:pPr>
      <w:r>
        <w:rPr>
          <w:b/>
        </w:rPr>
        <w:t>Available abstract (not full text):</w:t>
      </w:r>
      <w:r>
        <w:t xml:space="preserve"> This research article contributes to the field of digital governance as it reviews the conceptual definition and practical application of “smart cities” in the context of urban development in China. By analyzing both firsthand interview data and secondary statistical and policy reports during the period between 2009 to 2019, we contend that the emergence of smart cities in China has evolved from a disorderly process to a more standardized one. During this process, cities made efforts to use digital technology — such as 5G, cloud computing, and the Internet of Things — in social governance, infrastructure, and industrial development. However, such rapid development also spawned a series of emerging legal issues, which had a huge impact on China’s legal system. The article seeks to holistically examine the discourse surrounding the concept of a “smart city” and its practical implementation by drawing attention to its promises as well as criticisms. The article also touches upon the challenges — such as “information islands” in construction, technology, and management — that confront the emerging smart cities, and emphasizes China’s need to further improve laws and regulations, build an integrated legal system, explore new regulation methods, shape a highly autonomous and refined governance order, and provide legal protection for the development of smart cities. The paper conclude</w:t>
      </w:r>
    </w:p>
    <w:p>
      <w:pPr/>
      <w:r>
        <w:rPr>
          <w:b/>
        </w:rPr>
        <w:t>POSSIBLE 2021:</w:t>
      </w:r>
      <w:r>
        <w:t xml:space="preserve"> The emergence of city food networks: Rescaling the impact of urban food policies — https://doi.org/10.1016/j.foodpol.2021.102107</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Hundreds of cities across the globe are mobilising the convening power of food to deliver food security and sustainability outcomes supported by an increasing number of national and international city food networks devoted to scale-up and out this urban food revolution. This paper presents the first comparative analysis of this increasingly networked urban foodscape based on data from 13 national and international initiatives which together represent more than 500 cities across the globe. By applying a translocal governance framework, the paper explores the different aims, structures and mechanisms activated by this complex landscape of networks and how these intrinsic characteristics endow them with diverse strengths and limitations. To examine further the role of networks in rescaling the impact urban food policies, I analyse the metagovernance of these initiatives exploring discourses around coordination of these networks and identifying potential convergence points. Results from this study are translated into policy recommendations aimed at unfolding further the transformative capacity of translocal networks and elevate their role in unfolding a more integrated and equitable new urban food agenda; mainly by proposing to reinforce the cross-scalar alignment of food policies, making the case to invest in connective infrastructure such as network and backbone organisations, wo</w:t>
      </w:r>
    </w:p>
    <w:p>
      <w:pPr/>
      <w:r>
        <w:rPr>
          <w:b/>
        </w:rPr>
        <w:t>POSSIBLE 2020:</w:t>
      </w:r>
      <w:r>
        <w:t xml:space="preserve"> Emergence and Structure of Urban Centralities in a Medium-Sized Historic City — https://doi.org/10.1177/2158244020930002</w:t>
      </w:r>
    </w:p>
    <w:p>
      <w:pPr/>
      <w:r>
        <w:rPr>
          <w:b/>
        </w:rPr>
        <w:t>Shared claim-specific concepts:</w:t>
      </w:r>
      <w:r>
        <w:t xml:space="preserve"> emergence, urban, city; EU scope visible. This is a provisional connection, not an outcome finding.</w:t>
      </w:r>
    </w:p>
    <w:p>
      <w:pPr>
        <w:pStyle w:val="SourceNote"/>
      </w:pPr>
      <w:r>
        <w:rPr>
          <w:b/>
        </w:rPr>
        <w:t>Available abstract (not full text):</w:t>
      </w:r>
      <w:r>
        <w:t xml:space="preserve"> Within the last 20 years, medium-sized cities in Portugal’s interior have been subject to a process of “desertification.” They have progressively lost in terms of economic activity, value and vitality, with the corresponding erosion of their heritage value. One exception to this general trend is the town of Évora. Of particular note is the vitality of its historic center (designated as a World Heritage Site in 1986) and the balance achieved between the center and a number of subcenters outside the walls. Here, urban centralities have proven to be an essential component of the urban structure in the fight against urban failure. This research project analyzes the relationship between town planning and the emergence of urban centralities. Historic towns are a very particular case, with subcenters emerging as a town grows and the historic center co-evolving with the entire urban area and surrounding urban centralities. The rise of centralities testifies to the vitality of the town. This article seeks to understand what factors have led to the balance of urban centralities in Évora by examining their structure and how they have emerged in the context of planning policies and urban growth. The methodology adopted crosses the results of three different approaches to highlight the emergence of urban centralities: identification and assessment of urban centralities, analysis of urban ar</w:t>
      </w:r>
    </w:p>
    <w:p>
      <w:pPr>
        <w:pStyle w:val="Heading2"/>
      </w:pPr>
      <w:r>
        <w:t>723.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2024:</w:t>
      </w:r>
      <w:r>
        <w:t xml:space="preserve"> Long-term daily water temperatures unveil escalating water warming and intensifying heatwaves in the Odra river Basin, Central Europe — https://doi.org/10.1016/j.gsf.2024.101916</w:t>
      </w:r>
    </w:p>
    <w:p>
      <w:pPr/>
      <w:r>
        <w:rPr>
          <w:b/>
        </w:rPr>
        <w:t>Shared claim-specific concepts:</w:t>
      </w:r>
      <w:r>
        <w:t xml:space="preserve"> long-term, temperature, central, ensemble, summer; EU scope visible. This is a provisional connection, not an outcome finding.</w:t>
      </w:r>
    </w:p>
    <w:p>
      <w:pPr>
        <w:pStyle w:val="SourceNote"/>
      </w:pPr>
      <w:r>
        <w:rPr>
          <w:b/>
        </w:rPr>
        <w:t>Available abstract (not full text):</w:t>
      </w:r>
      <w:r>
        <w:t xml:space="preserve">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pPr/>
      <w:r>
        <w:rPr>
          <w:b/>
        </w:rPr>
        <w:t>POSSIBLE 2024:</w:t>
      </w:r>
      <w:r>
        <w:t xml:space="preserve"> Examining the Eastern European extreme summer temperatures of 2023 from a long-term perspective: the role of natural variability vs. anthropogenic factors — https://doi.org/10.5194/nhess-24-4683-2024</w:t>
      </w:r>
    </w:p>
    <w:p>
      <w:pPr/>
      <w:r>
        <w:rPr>
          <w:b/>
        </w:rPr>
        <w:t>Shared claim-specific concepts:</w:t>
      </w:r>
      <w:r>
        <w:t xml:space="preserve"> long-term, those, find, behavior, summer; EU scope visible. This is a provisional connection, not an outcome finding.</w:t>
      </w:r>
    </w:p>
    <w:p>
      <w:pPr>
        <w:pStyle w:val="SourceNote"/>
      </w:pPr>
      <w:r>
        <w:rPr>
          <w:b/>
        </w:rPr>
        <w:t>Available abstract (not full text):</w:t>
      </w:r>
      <w:r>
        <w:t xml:space="preserve">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pPr/>
      <w:r>
        <w:rPr>
          <w:b/>
        </w:rPr>
        <w:t>POSSIBLE 2023:</w:t>
      </w:r>
      <w:r>
        <w:t xml:space="preserve"> Mixtures of long-term exposure to ambient air pollution, built environment and temperature and stroke incidence across Europe — https://doi.org/10.1016/j.envint.2023.108136</w:t>
      </w:r>
    </w:p>
    <w:p>
      <w:pPr/>
      <w:r>
        <w:rPr>
          <w:b/>
        </w:rPr>
        <w:t>Shared claim-specific concepts:</w:t>
      </w:r>
      <w:r>
        <w:t xml:space="preserve"> long-term, temperature, lower, until, end; EU scope visible. This is a provisional connection, not an outcome finding.</w:t>
      </w:r>
    </w:p>
    <w:p>
      <w:pPr>
        <w:pStyle w:val="SourceNote"/>
      </w:pPr>
      <w:r>
        <w:rPr>
          <w:b/>
        </w:rPr>
        <w:t>Available abstract (not full text):</w:t>
      </w:r>
      <w:r>
        <w:t xml:space="preserve">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pPr/>
      <w:r>
        <w:rPr>
          <w:b/>
        </w:rPr>
        <w:t>POSSIBLE 2022:</w:t>
      </w:r>
      <w:r>
        <w:t xml:space="preserve"> Trends in intraseasonal temperature variability in Europe, 1961–2018 — https://doi.org/10.1002/joc.7645</w:t>
      </w:r>
    </w:p>
    <w:p>
      <w:pPr/>
      <w:r>
        <w:rPr>
          <w:b/>
        </w:rPr>
        <w:t>Shared claim-specific concepts:</w:t>
      </w:r>
      <w:r>
        <w:t xml:space="preserve"> suggest, temperature, central, summer; EU scope visible. This is a provisional connection, not an outcome finding.</w:t>
      </w:r>
    </w:p>
    <w:p>
      <w:pPr>
        <w:pStyle w:val="SourceNote"/>
      </w:pPr>
      <w:r>
        <w:rPr>
          <w:b/>
        </w:rPr>
        <w:t>Available abstract (not full text):</w:t>
      </w:r>
      <w:r>
        <w:t xml:space="preserve"> Abstract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Here,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Increases in variability prevail onl</w:t>
      </w:r>
    </w:p>
    <w:p>
      <w:pPr/>
      <w:r>
        <w:rPr>
          <w:b/>
        </w:rPr>
        <w:t>POSSIBLE 2022:</w:t>
      </w:r>
      <w:r>
        <w:t xml:space="preserve"> Warming temperatures drive at least half of the magnitude of long-term trait changes in European birds — https://doi.org/10.1073/pnas.2105416119</w:t>
      </w:r>
    </w:p>
    <w:p>
      <w:pPr/>
      <w:r>
        <w:rPr>
          <w:b/>
        </w:rPr>
        <w:t>Shared claim-specific concepts:</w:t>
      </w:r>
      <w:r>
        <w:t xml:space="preserve"> long-term, temperature; EU scope visible. This is a provisional connection, not an outcome finding.</w:t>
      </w:r>
    </w:p>
    <w:p>
      <w:pPr>
        <w:pStyle w:val="SourceNote"/>
      </w:pPr>
      <w:r>
        <w:rPr>
          <w:b/>
        </w:rPr>
        <w:t>Available abstract (not full text):</w:t>
      </w:r>
      <w:r>
        <w:t xml:space="preserve"> SignificanceClimate change is impacting wild populations, but its relative importance compared to other causes of change is still unclear. Many studies assume that changes in traits primarily reflect effects of climate change, but this assumption is rarely tested. We show that in European birds global warming was likely the single most important contributor to temporal trends in laying date, body condition, and offspring number. However, nontemperature factors were also important and acted in the same direction, implying that attributing temporal trends solely to rising temperatures overestimates the impact of climate warming. Differences among species in the amount of trait change were predominantly determined by these nontemperature effects, suggesting that species differences are not due to variation in sensitivity to temperature.</w:t>
      </w:r>
    </w:p>
    <w:p>
      <w:pPr/>
      <w:r>
        <w:rPr>
          <w:b/>
        </w:rPr>
        <w:t>POSSIBLE 2022:</w:t>
      </w:r>
      <w:r>
        <w:t xml:space="preserve"> Long-term drought intensification over Europe driven by the weakening trend of the Atlantic Meridional Overturning Circulation — https://doi.org/10.1016/j.ejrh.2022.101176</w:t>
      </w:r>
    </w:p>
    <w:p>
      <w:pPr/>
      <w:r>
        <w:rPr>
          <w:b/>
        </w:rPr>
        <w:t>Shared claim-specific concepts:</w:t>
      </w:r>
      <w:r>
        <w:t xml:space="preserve"> suggest, long-term, temperature, central, projections, precipitation; EU scope visible. This is a provisional connection, not an outcome finding.</w:t>
      </w:r>
    </w:p>
    <w:p>
      <w:pPr>
        <w:pStyle w:val="SourceNote"/>
      </w:pPr>
      <w:r>
        <w:rPr>
          <w:b/>
        </w:rPr>
        <w:t>Available abstract (not full text):</w:t>
      </w:r>
      <w:r>
        <w:t xml:space="preserve"> Europe, with a particular focus on the Czech Republic, Poland, Spain, and Norway. Long-lasting droughts have become a semi-permanent feature of the European climate, especially over the last two decades. These prolonged droughts are usually driven by persistent sea surface temperature anomalies over the Pacific and Atlantic basins. By employing complex statistical methods (i.e., Canonical Correlation Analysis and Convergent Cross-Mapping) in this study we make a comprehensive assessment of the observed drying trend over the central and southern parts of Europe and its underlying drivers. Building upon the potential relationship between drought variability and large-scale oceanic and atmospheric circulation, we show that the observed drying trend in the central and southern parts of Europe has been driven by a long-term slowdown of the Atlantic Meridional Overturning Circulation (AMOC), via changes in the large-scale atmospheric circulation. A weakening of AMOC leads to an increase in the frequency of atmospheric-blocking like circulation over the central part of Europe, which in turn inhibits precipitation and favors long-term drying. Since climate projections indicate a slowdown of the AMOC in the future, we suggest that this will potentially lead to an increase in the frequency of dry years, especially over the central and southern parts of Europe (e.g., the eastern part of G</w:t>
      </w:r>
    </w:p>
    <w:p>
      <w:pPr/>
      <w:r>
        <w:rPr>
          <w:b/>
        </w:rPr>
        <w:t>POSSIBLE 2022:</w:t>
      </w:r>
      <w:r>
        <w:t xml:space="preserve"> Trends in intraseasonal temperature variability in Europe, 1961 - 2018 — https://doi.org/10.5194/ems2022-539</w:t>
      </w:r>
    </w:p>
    <w:p>
      <w:pPr/>
      <w:r>
        <w:rPr>
          <w:b/>
        </w:rPr>
        <w:t>Shared claim-specific concepts:</w:t>
      </w:r>
      <w:r>
        <w:t xml:space="preserve"> suggest, long-term, temperature, central, summer; EU scope visible. This is a provisional connection, not an outcome finding.</w:t>
      </w:r>
    </w:p>
    <w:p>
      <w:pPr>
        <w:pStyle w:val="SourceNote"/>
      </w:pPr>
      <w:r>
        <w:rPr>
          <w:b/>
        </w:rPr>
        <w:t>Available abstract (not full text):</w:t>
      </w:r>
      <w:r>
        <w:t xml:space="preserve">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 winter. Increases in variability prevail only in </w:t>
      </w:r>
    </w:p>
    <w:p>
      <w:pPr/>
      <w:r>
        <w:rPr>
          <w:b/>
        </w:rPr>
        <w:t>POSSIBLE 2021:</w:t>
      </w:r>
      <w:r>
        <w:t xml:space="preserve"> Microbial temperature adaptation across a European gradient — https://doi.org/10.5194/egusphere-egu21-4867</w:t>
      </w:r>
    </w:p>
    <w:p>
      <w:pPr/>
      <w:r>
        <w:rPr>
          <w:b/>
        </w:rPr>
        <w:t>Shared claim-specific concepts:</w:t>
      </w:r>
      <w:r>
        <w:t xml:space="preserve"> suggest, long-term, temperature; EU scope visible. This is a provisional connection, not an outcome finding.</w:t>
      </w:r>
    </w:p>
    <w:p>
      <w:pPr>
        <w:pStyle w:val="SourceNote"/>
      </w:pPr>
      <w:r>
        <w:rPr>
          <w:b/>
        </w:rPr>
        <w:t>Available abstract (not full text):</w:t>
      </w:r>
      <w:r>
        <w:t xml:space="preserve"> Temperature is one of the most important environmental factors controlling both microbial growth and respiration. Warmer temperatures accelerate the rate at which microorganisms respire. Therefore, it is expected that climate warming will induce losses of carbon to the atmosphere through soil microbial respiration, representing a positive feedback to climate warming. However, there are multiple gaps in our understanding on responses of microorganisms to warming. For instance, long-term experiments have shown that the increase in soil respiration found in warming experiments diminishes with time, recovering to ambient values. This suggests that soil C losses might not be as extensive as previously suggested. This can be due to substrate depletion or shifts in the microbial community composition that led to thermal adaptation. To test thermal adaptation of soil microbial communities to their climate, variation along latitudinal gradients is a useful context. Such geographical gradients have long-term and large temperature differences thus patterns in thermal adaptation should have had sufficient time for ecological and evolutionary processes to act, allowing us to test if soil microbial communities have adapted to thermal regimes. We investigated a latitudinal gradient across Europe with 76 sites that spanned a gradient of decadal mean annual temperature (MAT) from -3.1 to 18.3°C</w:t>
      </w:r>
    </w:p>
    <w:p>
      <w:pPr/>
      <w:r>
        <w:rPr>
          <w:b/>
        </w:rPr>
        <w:t>POSSIBLE 2020:</w:t>
      </w:r>
      <w:r>
        <w:t xml:space="preserve"> Middle Miocene long-term continental temperature change in and out of pace with marine climate records — https://doi.org/10.1038/s41598-020-64743-5</w:t>
      </w:r>
    </w:p>
    <w:p>
      <w:pPr/>
      <w:r>
        <w:rPr>
          <w:b/>
        </w:rPr>
        <w:t>Shared claim-specific concepts:</w:t>
      </w:r>
      <w:r>
        <w:t xml:space="preserve"> suggest, long-term, temperature, central; EU scope visible. This is a provisional connection, not an outcome finding.</w:t>
      </w:r>
    </w:p>
    <w:p>
      <w:pPr>
        <w:pStyle w:val="SourceNote"/>
      </w:pPr>
      <w:r>
        <w:rPr>
          <w:b/>
        </w:rPr>
        <w:t>Available abstract (not full text):</w:t>
      </w:r>
      <w:r>
        <w:t xml:space="preserve"> Abstract Reconstructing long-term continental temperature change provides the required counterpart to age equivalent marine records and can reveal how terrestrial and marine temperatures were related during times of extreme climate change such as the Miocene Climatic Optimum (MCO) and the following Middle Miocene Climatic Transition (MMCT). Carbonate clumped isotope temperatures (T(Δ 47 )) from 17.5 to 14.0 Ma Central European paleosols (Molasse Basin, Switzerland) display a temperature pattern during the MCO that is similar to coeval marine temperature records. Maximum temperatures in the long-term soil T(Δ 47 ) record (at 16.5 and 14.9 Ma) lag maximum ocean bottom water temperatures, lead global ice volume, and mark the initiation of minimum global ice volume phases. The suggested onset of the MMCT, deduced by a marked and rapid decline in Molasse Basin soil temperatures is coeval with cooling reported in high-latitudinal marine records. This is best explained by a change in the seasonal timing of soil carbonate formation that was likely driven by a modification of rainfall seasonality and thus by a major reorganization of mid-latitude atmospheric circulation across Central Europe. In particular, our data suggest a strong climate coupling between the North Atlantic and Central Europe already in the middle Miocene.</w:t>
      </w:r>
    </w:p>
    <w:p>
      <w:pPr/>
      <w:r>
        <w:rPr>
          <w:b/>
        </w:rPr>
        <w:t>POSSIBLE 2020:</w:t>
      </w:r>
      <w:r>
        <w:t xml:space="preserve"> Rates of increase of antibiotic resistance and ambient temperature in Europe: a cross-national analysis of 28 countries between 2000 and 2016 — https://doi.org/10.2807/1560-7917.es.2020.25.45.1900414</w:t>
      </w:r>
    </w:p>
    <w:p>
      <w:pPr/>
      <w:r>
        <w:rPr>
          <w:b/>
        </w:rPr>
        <w:t>Shared claim-specific concepts:</w:t>
      </w:r>
      <w:r>
        <w:t xml:space="preserve"> suggest, long-term, temperature; EU scope visible. This is a provisional connection, not an outcome finding.</w:t>
      </w:r>
    </w:p>
    <w:p>
      <w:pPr>
        <w:pStyle w:val="SourceNote"/>
      </w:pPr>
      <w:r>
        <w:rPr>
          <w:b/>
        </w:rPr>
        <w:t>Available abstract (not full text):</w:t>
      </w:r>
      <w:r>
        <w:t xml:space="preserve"> Abstract Background Widely recognized as a major public health threat globally, the rapid increase of antibiotic resistance in bacteria could soon render our most effective method to combat infections obsolete. Factors influencing the burden of resistance in human populations remain poorly described, though temperature is known to play an important role in mechanisms at the bacterial level. Methods We performed an ecologic analysis of country level antibiotic resistance prevalence in 3 common bacterial pathogens across 28 countries in Europe, and used multivariable models to evaluate associations with minimum temperature and other predictors over a 17-year period (2000-2016). We quantified the effects of minimum temperature, population density, and antibiotic consumption on the rate of change of antibiotic resistance across geographies. Findings For three common bacterial pathogens and four classes of antibiotics, we found evidence of a long-term effect of ambient minimum temperature on rates of increase of antibiotic resistance across 28 countries in Europe between 2000-2016. Specifically, we show that across all antibiotic classes for the pathogens E. coli and K. pneumoniae , European countries with 10°C warmer ambient temperatures have experienced more rapid increases in antibiotic resistance over the 17-year period, ranging between 0.33%/year (95% CI 0.2, 0.5) and 1.2%/year</w:t>
      </w:r>
    </w:p>
    <w:p>
      <w:pPr/>
      <w:r>
        <w:rPr>
          <w:b/>
        </w:rPr>
        <w:t>POSSIBLE 2019:</w:t>
      </w:r>
      <w:r>
        <w:t xml:space="preserve"> The Effect of Temperature on the Physiological Condition and Immune-Capacity of European Lobsters (Homarus gammarus) During Long-Term Starvation — https://doi.org/10.3389/fmars.2019.00281</w:t>
      </w:r>
    </w:p>
    <w:p>
      <w:pPr/>
      <w:r>
        <w:rPr>
          <w:b/>
        </w:rPr>
        <w:t>Shared claim-specific concepts:</w:t>
      </w:r>
      <w:r>
        <w:t xml:space="preserve"> long-term, temperature, those; EU scope visible. This is a provisional connection, not an outcome finding.</w:t>
      </w:r>
    </w:p>
    <w:p>
      <w:pPr>
        <w:pStyle w:val="SourceNote"/>
      </w:pPr>
      <w:r>
        <w:rPr>
          <w:b/>
        </w:rPr>
        <w:t>Available abstract (not full text):</w:t>
      </w:r>
      <w:r>
        <w:t xml:space="preserve"> Decapod crustaceans, such as those from the Homarus genus, are key benthic representatives supporting very valuable fishing and aquaculture industries. Those commercially caught, such as the European lobster (H. gammarus) can be stored in live facilities for short (few days) to long periods (up to 6 months) before being traded. Conditions in captivity are not standardized, including holding temperatures or feeding regimes. Herein, the physiological condition during long-term starvation (24 weeks) in H. gammarus was assessed at three temperatures (4, 8 and 12°C). Our results indicate that, H. gammarus have the capacity to endure long-term starvation. Principal component analysis (PCA) of measured parameters showed two main components (Eigen value&gt;1). Fasted animals kept at 12°C separated from all others experimental groups due to higher total phenoloxidase (PO) activity in the hemolymph and water content in the muscle, suggesting that keeping H. gammarus un-fed at this higher temperature is physiologically more demanding and detrimental. This was later confirmed by significant changes particularly in this group in histology and lipid class composition of the hepatopancreas. These data call into question the suitability of current accepted in-vivo condition markers (e.g. hemolymph protein concentration) for determining the physiological condition and welfare of decapods such as H</w:t>
      </w:r>
    </w:p>
    <w:p>
      <w:pPr>
        <w:pStyle w:val="Heading2"/>
      </w:pPr>
      <w:r>
        <w:t>724.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r>
        <w:rPr>
          <w:b/>
        </w:rPr>
        <w:t>POSSIBLE 2024:</w:t>
      </w:r>
      <w:r>
        <w:t xml:space="preserve"> Strategic flood impact mitigation in developing countries’ urban road networks: Application to Hanoi — https://doi.org/10.1016/j.ejor.2024.06.035</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pPr/>
      <w:r>
        <w:rPr>
          <w:b/>
        </w:rPr>
        <w:t>POSSIBLE 2023:</w:t>
      </w:r>
      <w:r>
        <w:t xml:space="preserve"> The Belt and Road Initiative: An Integrative Subject for Interdisciplinary Studies about China — https://doi.org/10.65959/eaa.1810</w:t>
      </w:r>
    </w:p>
    <w:p>
      <w:pPr/>
      <w:r>
        <w:rPr>
          <w:b/>
        </w:rPr>
        <w:t>Shared claim-specific concepts:</w:t>
      </w:r>
      <w:r>
        <w:t xml:space="preserve"> interdisciplinary, road, allow; EU scope not established. This is a provisional connection, not an outcome finding.</w:t>
      </w:r>
    </w:p>
    <w:p>
      <w:pPr>
        <w:pStyle w:val="SourceNote"/>
      </w:pPr>
      <w:r>
        <w:rPr>
          <w:b/>
        </w:rPr>
        <w:t>Available abstract (not full text):</w:t>
      </w:r>
      <w:r>
        <w:t xml:space="preserve">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pPr/>
      <w:r>
        <w:rPr>
          <w:b/>
        </w:rPr>
        <w:t>POSSIBLE 2022:</w:t>
      </w:r>
      <w:r>
        <w:t xml:space="preserve"> Arctic roads and railways: social and environmental consequences of transport infrastructure in the circumpolar North — https://doi.org/10.1139/as-2021-0033</w:t>
      </w:r>
    </w:p>
    <w:p>
      <w:pPr/>
      <w:r>
        <w:rPr>
          <w:b/>
        </w:rPr>
        <w:t>Shared claim-specific concepts:</w:t>
      </w:r>
      <w:r>
        <w:t xml:space="preserve"> integrated, case; EU scope not established. This is a provisional connection, not an outcome finding.</w:t>
      </w:r>
    </w:p>
    <w:p>
      <w:pPr>
        <w:pStyle w:val="SourceNote"/>
      </w:pPr>
      <w:r>
        <w:rPr>
          <w:b/>
        </w:rPr>
        <w:t>Available abstract (not full text):</w:t>
      </w:r>
      <w:r>
        <w:t xml:space="preserve">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pPr/>
      <w:r>
        <w:rPr>
          <w:b/>
        </w:rPr>
        <w:t>POSSIBLE 2022:</w:t>
      </w:r>
      <w:r>
        <w:t xml:space="preserve"> Coexistence research requires more interdisciplinary communication — https://doi.org/10.1002/ece3.8914</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Coexistence theories develop rapidly at the ecology forefront, outpacing their experimental testing. I discuss the reasons for this gap, call on interdisciplinary researchers to construct a road map for coexistence research, and recommend the actions that should be implemented therein.</w:t>
      </w:r>
    </w:p>
    <w:p>
      <w:pPr/>
      <w:r>
        <w:rPr>
          <w:b/>
        </w:rPr>
        <w:t>POSSIBLE 2022:</w:t>
      </w:r>
      <w:r>
        <w:t xml:space="preserve"> Developing computable sustainable urbanization science: interdisciplinary perspective — https://doi.org/10.1007/s43762-022-00048-9</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In this era of drastic global change, the Anthropocene, carbon neutrality and sustainable development have become common twenty-first century human challenges and goals. Large-scale urbanization is indicative of human activities and provides an important impetus for environmental changes; therefore, cities have become an important stage in which to promote a more sustainable future development of human society. However, current researchers study urbanization issues based on the perspectives and tools of their respective disciplines; therefore, a holistic and comprehensive understanding of urbanization is lacking due to the insufficient integration of multidisciplinary study perspectives. We explored the construction of interdisciplinary computable sustainable urbanization and introduces a conceptual framework for interdisciplinary urbanization, as scientific computing supports and integrates the natural sciences and humanities to simulate urban evolution and further observe, explain, and optimize human and environment interactions in urban areas. We advocated for the establishment of major international research programs and organizations in the field of sustainable urbanization, and the cultivation of talented young professionals with broad-ranging interdisciplinary interests. Expectantly, we hope a livable planet in the Anthropocene era could be created by developing sustaina</w:t>
      </w:r>
    </w:p>
    <w:p>
      <w:pPr/>
      <w:r>
        <w:rPr>
          <w:b/>
        </w:rPr>
        <w:t>POSSIBLE 2021:</w:t>
      </w:r>
      <w:r>
        <w:t xml:space="preserve"> FBG‐Based Sensing for Structural Health Monitoring of Road Infrastructure — https://doi.org/10.1155/2021/8850368</w:t>
      </w:r>
    </w:p>
    <w:p>
      <w:pPr/>
      <w:r>
        <w:rPr>
          <w:b/>
        </w:rPr>
        <w:t>Shared claim-specific concepts:</w:t>
      </w:r>
      <w:r>
        <w:t xml:space="preserve"> interdisciplinary, road, based; EU scope not established. This is a provisional connection, not an outcome finding.</w:t>
      </w:r>
    </w:p>
    <w:p>
      <w:pPr>
        <w:pStyle w:val="SourceNote"/>
      </w:pPr>
      <w:r>
        <w:rPr>
          <w:b/>
        </w:rPr>
        <w:t>Available abstract (not full text):</w:t>
      </w:r>
      <w:r>
        <w:t xml:space="preserve"> Public road infrastructure is developed all around the world. To save resources, ensure public safety, and provide longer‐lasting road infrastructure, structural health monitoring (SHM) applications for roads have to be researched and developed. Asphalt is one of the largest used surface materials for the road building industry. This material also provides relatively easy fiber optical sensor technology installment, which can be effectively used for SHM applications—road infrastructure monitoring as well as for resource optimization when road building or their repairs are planned. This article focuses on the research of the fiber Bragg grating (FBG) optical temperature and strain sensor applications in road SHM, which is part of the greater interdisciplinary research project started at the Riga Technical University in the year 2017. Experimental work described in this article was realized in one of the largest Latvian road sites where the FBG strain and temperature sensors were installed into asphalt pavement, and experiments were carried out in two main scenarios. Firstly, in a controlled environment with a calibrated falling weight deflectometer (FWD) to test the installed FBG sensors. Secondly, by evaluating the real‐time traffic impact on the measured strain and temperature, where different types of vehicles passed the asphalt span in which the sensors were embedded. The fi</w:t>
      </w:r>
    </w:p>
    <w:p>
      <w:pPr/>
      <w:r>
        <w:rPr>
          <w:b/>
        </w:rPr>
        <w:t>POSSIBLE 2020:</w:t>
      </w:r>
      <w:r>
        <w:t xml:space="preserve"> Interdisciplinary Approaches to Road Safety Improvement — https://doi.org/10.67228/30715636/ijetmr-2020pii7j5e</w:t>
      </w:r>
    </w:p>
    <w:p>
      <w:pPr/>
      <w:r>
        <w:rPr>
          <w:b/>
        </w:rPr>
        <w:t>Shared claim-specific concepts:</w:t>
      </w:r>
      <w:r>
        <w:t xml:space="preserve"> interdisciplinary, road, integrated, best, based; EU scope not established. This is a provisional connection, not an outcome finding.</w:t>
      </w:r>
    </w:p>
    <w:p>
      <w:pPr>
        <w:pStyle w:val="SourceNote"/>
      </w:pPr>
      <w:r>
        <w:rPr>
          <w:b/>
        </w:rPr>
        <w:t>Available abstract (not full text):</w:t>
      </w:r>
      <w:r>
        <w:t xml:space="preserve"> Road traffic injuries are one of the most important socio-economic and public health issues on the global level. Road crashes based on reports made by the World Health Organization cause a death of more than 1.19 million people every year and this is highly disfavored to the low- and middle-income countries. Traditional methods of safety on the road, which have focused mainly on engineering and enforcement, have proved inadequate in the regard of the multifactorial and intricate nature of the traffic accidents. The paper provides a theoretical explanation of an interdisciplinary approach that incorporates engineering, data science, behavior psychology, and the social policy, urban planning, and healthcare to improve road safety scores. The paper includes an overview of the contemporary paradigms of road safety and outlines the need to have systematic and interdisciplinary interventions. The proposed model will integrate the knowledge of transportation engineering, artificial intelligence, social health, and social science to deliver the best infrastructure design, driver behavior, emergency response, and inform the evidence-based policymaking. High-tech means of data analytics and machine learning are used to forecast areas vulnerable to accidents and risky behaviors, and the behavioral interventions are aimed at human error, which is the most common cause of accidents. The res</w:t>
      </w:r>
    </w:p>
    <w:p>
      <w:pPr/>
      <w:r>
        <w:rPr>
          <w:b/>
        </w:rPr>
        <w:t>POSSIBLE 2020:</w:t>
      </w:r>
      <w:r>
        <w:t xml:space="preserve"> Road To Nano Technology Education In Engineering Technology: An Area Of Interdisciplinary Studies — https://doi.org/10.18260/1-2--2088</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Abstract NOTE: The first page of text has been automatically extracted and included below in lieu of an abstract Road to Nano-Technology Education in Engineering Technology: An Area of Interdisciplinary Studies Abstract “Nano-scale science and engineering most likely will produce the strategic technology breakthroughs of tomorrow,” says David Swain, Senior Vice President of Engineering and Technology at Boeing. The development of micro-scale engineering in the area of electronics and computer technology demonstrates low cost and high efficiency technology advancements in miniaturization. These efforts have led to the emergence of nanotechnology dealing with a wide range of engineering applications at the nano scale. Nanotechnology has future impacts in the application markets such as medicine, healthcare, biotechnology, communications, and electronics. Due to rapid development and broad impact of nanotechnology, education and training of a new generation of workforce skilled in this field will play an important role in the development and applications of nanotechnology. It is a challenge for educators, especially for engineering technology educators, to provide an appropriate curriculum and effective learning environment including state-of-the-art laboratories for students who want to enter the nano field after their graduation. This paper will discuss the objectives of nano-te</w:t>
      </w:r>
    </w:p>
    <w:p>
      <w:pPr/>
      <w:r>
        <w:rPr>
          <w:b/>
        </w:rPr>
        <w:t>POSSIBLE 2020:</w:t>
      </w:r>
      <w:r>
        <w:t xml:space="preserve"> Interdisciplinary and Transdisciplinary Perspectives: On the Road to a Holistic Approach to Dementia Prevention and Care — https://doi.org/10.3233/adr-180070</w:t>
      </w:r>
    </w:p>
    <w:p>
      <w:pPr/>
      <w:r>
        <w:rPr>
          <w:b/>
        </w:rPr>
        <w:t>Shared claim-specific concepts:</w:t>
      </w:r>
      <w:r>
        <w:t xml:space="preserve"> interdisciplinary, road, opportunities; EU scope not established. This is a provisional connection, not an outcome finding.</w:t>
      </w:r>
    </w:p>
    <w:p>
      <w:pPr>
        <w:pStyle w:val="SourceNote"/>
      </w:pPr>
      <w:r>
        <w:rPr>
          <w:b/>
        </w:rPr>
        <w:t>Available abstract (not full text):</w:t>
      </w:r>
      <w:r>
        <w:t xml:space="preserve"> Dementia, of which the most frequent form is Alzheimer's disease, is a chronic and terminal condition with multi-factorial causes and numerous consequences on a patient's life. Combining perspectives from different disciplines seems necessary for unraveling dementia's entangled issues. Current dementia management is a multidisciplinary effort; however, integrating different disciplines as a holistic treatment process is often hindered due to different responsibilities, various conceptual approaches, and distinctive research methods. With this paper, we raise some of the challenges that need to be addressed in order to initiate an interdisciplinary or even transdisciplinary research agenda. We also outline recommendations on how to integrate multiple disciplinary perspectives in dementia care and research. We see opportunities for young investigators to draw from different fields of research in dementia as their research focus is still developing. By establishing common objectives with investigators from other fields, we can pursue the goal of improving treatment and care as a team-meaning accomplishing different tasks but sharing a common purpose. It is necessary to address the communication between fields that limits the understanding of connections between cognitive symptoms, biological processes, treatment, lifestyle, and care giving in order to reach the aim of developing a</w:t>
      </w:r>
    </w:p>
    <w:p>
      <w:pPr>
        <w:pStyle w:val="Heading2"/>
      </w:pPr>
      <w:r>
        <w:t>725.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2021:</w:t>
      </w:r>
      <w:r>
        <w:t xml:space="preserve"> Using the Systems Engineering Initiative for Patient Safety (SEIPS) model to describe the planning and management of the COVID-19 pandemic in Hong Kong — https://doi.org/10.1093/intqhc/mzab042</w:t>
      </w:r>
    </w:p>
    <w:p>
      <w:pPr/>
      <w:r>
        <w:rPr>
          <w:b/>
        </w:rPr>
        <w:t>Shared claim-specific concepts:</w:t>
      </w:r>
      <w:r>
        <w:t xml:space="preserve"> describe, use, planning, tool, five, private; EU scope not established. This is a provisional connection, not an outcome finding.</w:t>
      </w:r>
    </w:p>
    <w:p>
      <w:pPr>
        <w:pStyle w:val="SourceNote"/>
      </w:pPr>
      <w:r>
        <w:rPr>
          <w:b/>
        </w:rPr>
        <w:t>Available abstract (not full text):</w:t>
      </w:r>
      <w:r>
        <w:t xml:space="preserve">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pPr/>
      <w:r>
        <w:rPr>
          <w:b/>
        </w:rPr>
        <w:t>POSSIBLE 2020:</w:t>
      </w:r>
      <w:r>
        <w:t xml:space="preserve"> Reasoning versus Planning — https://doi.org/10.1002/9781119720348.ch5</w:t>
      </w:r>
    </w:p>
    <w:p>
      <w:pPr/>
      <w:r>
        <w:rPr>
          <w:b/>
        </w:rPr>
        <w:t>Shared claim-specific concepts:</w:t>
      </w:r>
      <w:r>
        <w:t xml:space="preserve"> use, planning, tool, versus; EU scope not established. This is a provisional connection, not an outcome finding.</w:t>
      </w:r>
    </w:p>
    <w:p>
      <w:pPr>
        <w:pStyle w:val="SourceNote"/>
      </w:pPr>
      <w:r>
        <w:rPr>
          <w:b/>
        </w:rPr>
        <w:t>Available abstract (not full text):</w:t>
      </w:r>
      <w:r>
        <w:t xml:space="preserve">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pPr/>
      <w:r>
        <w:rPr>
          <w:b/>
        </w:rPr>
        <w:t>POSSIBLE 2019:</w:t>
      </w:r>
      <w:r>
        <w:t xml:space="preserve"> The Planning in Life and Adapting to Novel Situations (PLANS): An Ecologically Valid Measure of Every-day Planning — https://openalex.org/W3034860865</w:t>
      </w:r>
    </w:p>
    <w:p>
      <w:pPr/>
      <w:r>
        <w:rPr>
          <w:b/>
        </w:rPr>
        <w:t>Shared claim-specific concepts:</w:t>
      </w:r>
      <w:r>
        <w:t xml:space="preserve"> use, planning, effective, capacity; EU scope not established. This is a provisional connection, not an outcome finding.</w:t>
      </w:r>
    </w:p>
    <w:p>
      <w:pPr>
        <w:pStyle w:val="SourceNote"/>
      </w:pPr>
      <w:r>
        <w:rPr>
          <w:b/>
        </w:rPr>
        <w:t>Available abstract (not full text):</w:t>
      </w:r>
      <w:r>
        <w:t xml:space="preserve">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pPr/>
      <w:r>
        <w:rPr>
          <w:b/>
        </w:rPr>
        <w:t>POSSIBLE 2019:</w:t>
      </w:r>
      <w:r>
        <w:t xml:space="preserve"> Acting and Planning Using Operational Models — https://doi.org/10.1609/aaai.v33i01.33017691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pPr/>
      <w:r>
        <w:rPr>
          <w:b/>
        </w:rPr>
        <w:t>POSSIBLE 2018:</w:t>
      </w:r>
      <w:r>
        <w:t xml:space="preserve"> Planning and navigation as active inference — https://doi.org/10.1007/s00422-018-0753-2</w:t>
      </w:r>
    </w:p>
    <w:p>
      <w:pPr/>
      <w:r>
        <w:rPr>
          <w:b/>
        </w:rPr>
        <w:t>Shared claim-specific concepts:</w:t>
      </w:r>
      <w:r>
        <w:t xml:space="preserve"> use, planning, exploration; EU scope not established. This is a provisional connection, not an outcome finding.</w:t>
      </w:r>
    </w:p>
    <w:p>
      <w:pPr>
        <w:pStyle w:val="SourceNote"/>
      </w:pPr>
      <w:r>
        <w:rPr>
          <w:b/>
        </w:rPr>
        <w:t>Available abstract (not full text):</w:t>
      </w:r>
      <w:r>
        <w:t xml:space="preserve"> This paper introduces an active inference formulation of planning and navigation. It illustrates how the exploitation-exploration dilemma is dissolved by acting to minimise uncertainty (i.e. expected surprise or free energy). We use simulations of a maze problem to illustrate how agents can solve quite complicated problems using context sensitive prior preferences to form subgoals. Our focus is on how epistemic behaviour-driven by novelty and the imperative to reduce uncertainty about the world-contextualises pragmatic or goal-directed behaviour. Using simulations, we illustrate the underlying process theory with synthetic behavioural and electrophysiological responses during exploration of a maze and subsequent navigation to a target location. An interesting phenomenon that emerged from the simulations was a putative distinction between 'place cells'-that fire when a subgoal is reached-and 'path cells'-that fire until a subgoal is reached.</w:t>
      </w:r>
    </w:p>
    <w:p>
      <w:pPr/>
      <w:r>
        <w:rPr>
          <w:b/>
        </w:rPr>
        <w:t>POSSIBLE 2018:</w:t>
      </w:r>
      <w:r>
        <w:t xml:space="preserve"> Using public participatory mapping to inform general land use planning and zoning — https://doi.org/10.1016/j.landurbplan.2018.04.011</w:t>
      </w:r>
    </w:p>
    <w:p>
      <w:pPr/>
      <w:r>
        <w:rPr>
          <w:b/>
        </w:rPr>
        <w:t>Shared claim-specific concepts:</w:t>
      </w:r>
      <w:r>
        <w:t xml:space="preserve"> use, planning;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Search Reduction in Planning with Primary Effects — https://doi.org/10.1184/r1/6609317</w:t>
      </w:r>
    </w:p>
    <w:p>
      <w:pPr/>
      <w:r>
        <w:rPr>
          <w:b/>
        </w:rPr>
        <w:t>Shared claim-specific concepts:</w:t>
      </w:r>
      <w:r>
        <w:t xml:space="preserve"> describe, use, planning, effective; EU scope not established. This is a provisional connection, not an outcome finding.</w:t>
      </w:r>
    </w:p>
    <w:p>
      <w:pPr>
        <w:pStyle w:val="SourceNote"/>
      </w:pPr>
      <w:r>
        <w:rPr>
          <w:b/>
        </w:rPr>
        <w:t>Available abstract (not full text):</w:t>
      </w:r>
      <w:r>
        <w:t xml:space="preserve"> The use of primary effects in planning is an effective approach for reducing search costs, closely related to abstraction planning. However, there has been little analysis of planning with primary effects and few experimental results. In this paper we demonstrate the connection between primary effects and abstraction hierarchies and provide analytical and empirical results on the efficiency of planning with primary effects. First, we show how the relationship between primary effects and abstraction can be used for automatically selecting primary effects and generating good abstraction hierarchies. Then we analytically demonstrate that the use of primary effects may lead to an exponential reduction of the running time and identify factors that influence the efficiency of planning with primary effects. Finally, we describe experiments that confirm our analysis and demonstrate the practical efficiency of using primary effects.</w:t>
      </w:r>
    </w:p>
    <w:p>
      <w:pPr>
        <w:pStyle w:val="Heading2"/>
      </w:pPr>
      <w:r>
        <w:t>726.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r>
        <w:rPr>
          <w:b/>
        </w:rPr>
        <w:t>POSSIBLE 2020:</w:t>
      </w:r>
      <w:r>
        <w:t xml:space="preserve"> Potential for Early Forecast of Moroccan Wheat Yields Based on Climatic Drivers — https://doi.org/10.1029/2020gl087516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pPr/>
      <w:r>
        <w:rPr>
          <w:b/>
        </w:rPr>
        <w:t>POSSIBLE 2019:</w:t>
      </w:r>
      <w:r>
        <w:t xml:space="preserve"> Current and potential use of ensemble forecasts in operational TC forecasting: results from a global forecaster survey — https://doi.org/10.1016/j.tcrr.2019.10.005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pPr/>
      <w:r>
        <w:rPr>
          <w:b/>
        </w:rPr>
        <w:t>POSSIBLE 2019:</w:t>
      </w:r>
      <w:r>
        <w:t xml:space="preserve"> The future of forecasting for renewable energy — https://doi.org/10.1002/wene.365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r>
        <w:rPr>
          <w:b/>
        </w:rPr>
        <w:t>POSSIBLE 2019:</w:t>
      </w:r>
      <w:r>
        <w:t xml:space="preserve"> The intrinsic predictability of ecological time series and its potential to guide forecasting — https://doi.org/10.1002/ecm.1359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Successfully predicting the future states of systems that are complex, stochastic and potentially chaotic is a major challenge. Model forecasting error (FE) is the usual measure of success; however model predictions provide no insights into the potential for improvement. In short, the realized predictability of a specific model is uninformative about whether the system is inherently predictable or whether the chosen model is a poor match for the system and our observations thereof. Ideally, model proficiency would be judged with respect to the systems’ intrinsic predictability – the highest achievable predictability given the degree to which system dynamics are the result of deterministic v. stochastic processes. Intrinsic predictability may be quantified with permutation entropy (PE), a model-free, information-theoretic measure of the complexity of a time series. By means of simulations we show that a correlation exists between estimated PE and FE and show how stochasticity, process error, and chaotic dynamics affect the relationship. This relationship is verified for a dataset of 461 empirical ecological time series. We show how deviations from the expected PE-FE relationship are related to covariates of data quality and the nonlinearity of ecological dynamics. These results demonstrate a theoretically-grounded basis for a model-free evaluation of a system’s intrinsi</w:t>
      </w:r>
    </w:p>
    <w:p>
      <w:pPr>
        <w:pStyle w:val="Heading2"/>
      </w:pPr>
      <w:r>
        <w:t>727.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r>
        <w:rPr>
          <w:b/>
        </w:rPr>
        <w:t>POSSIBLE 2022:</w:t>
      </w:r>
      <w:r>
        <w:t xml:space="preserve"> Incentives and constraints: a configurational account of European involvement in the anti-Daesh coalition — https://doi.org/10.1017/s1755773921000333</w:t>
      </w:r>
    </w:p>
    <w:p>
      <w:pPr/>
      <w:r>
        <w:rPr>
          <w:b/>
        </w:rPr>
        <w:t>Shared claim-specific concepts:</w:t>
      </w:r>
      <w:r>
        <w:t xml:space="preserve"> incentives, member, states, literature, legislative; EU scope visible. This is a provisional connection, not an outcome finding.</w:t>
      </w:r>
    </w:p>
    <w:p>
      <w:pPr>
        <w:pStyle w:val="SourceNote"/>
      </w:pPr>
      <w:r>
        <w:rPr>
          <w:b/>
        </w:rPr>
        <w:t>Available abstract (not full text):</w:t>
      </w:r>
      <w:r>
        <w:t xml:space="preserve">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pPr/>
      <w:r>
        <w:rPr>
          <w:b/>
        </w:rPr>
        <w:t>POSSIBLE 2021:</w:t>
      </w:r>
      <w:r>
        <w:t xml:space="preserve"> OPTIMAL INCENTIVES FOR ECONOMIC GROWTH IN CENTRAL EUROPEAN COUNTRIES: A MICRO APPROACH — https://doi.org/10.12775/cjfa.2021.009</w:t>
      </w:r>
    </w:p>
    <w:p>
      <w:pPr/>
      <w:r>
        <w:rPr>
          <w:b/>
        </w:rPr>
        <w:t>Shared claim-specific concepts:</w:t>
      </w:r>
      <w:r>
        <w:t xml:space="preserve"> incentives, view; EU scope visible. This is a provisional connection, not an outcome finding.</w:t>
      </w:r>
    </w:p>
    <w:p>
      <w:pPr>
        <w:pStyle w:val="SourceNote"/>
      </w:pPr>
      <w:r>
        <w:rPr>
          <w:b/>
        </w:rPr>
        <w:t>Available abstract (not full text):</w:t>
      </w:r>
      <w:r>
        <w:t xml:space="preserve">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pPr/>
      <w:r>
        <w:rPr>
          <w:b/>
        </w:rPr>
        <w:t>POSSIBLE 2021:</w:t>
      </w:r>
      <w:r>
        <w:t xml:space="preserve"> Encouraging the Development of New Antibiotics: Are Financial Incentives the Right Way Forward? A Systematic Review and Case Study — https://doi.org/10.2147/idr.s287792</w:t>
      </w:r>
    </w:p>
    <w:p>
      <w:pPr/>
      <w:r>
        <w:rPr>
          <w:b/>
        </w:rPr>
        <w:t>Shared claim-specific concepts:</w:t>
      </w:r>
      <w:r>
        <w:t xml:space="preserve"> right, incentives, literature; EU scope not established. This is a provisional connection, not an outcome finding.</w:t>
      </w:r>
    </w:p>
    <w:p>
      <w:pPr>
        <w:pStyle w:val="SourceNote"/>
      </w:pPr>
      <w:r>
        <w:rPr>
          <w:b/>
        </w:rPr>
        <w:t>Available abstract (not full text):</w:t>
      </w:r>
      <w:r>
        <w:t xml:space="preserve">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pPr/>
      <w:r>
        <w:rPr>
          <w:b/>
        </w:rPr>
        <w:t>POSSIBLE 2021:</w:t>
      </w:r>
      <w:r>
        <w:t xml:space="preserve"> Openness to Industry 4.0 and performance: The impact of barriers and incentives — https://doi.org/10.1016/j.techfore.2021.120756</w:t>
      </w:r>
    </w:p>
    <w:p>
      <w:pPr/>
      <w:r>
        <w:rPr>
          <w:b/>
        </w:rPr>
        <w:t>Shared claim-specific concepts:</w:t>
      </w:r>
      <w:r>
        <w:t xml:space="preserve"> incentives, literature; EU scope visible. This is a provisional connection, not an outcome finding.</w:t>
      </w:r>
    </w:p>
    <w:p>
      <w:pPr>
        <w:pStyle w:val="SourceNote"/>
      </w:pPr>
      <w:r>
        <w:rPr>
          <w:b/>
        </w:rPr>
        <w:t>Available abstract (not full text):</w:t>
      </w:r>
      <w:r>
        <w:t xml:space="preserve">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pPr/>
      <w:r>
        <w:rPr>
          <w:b/>
        </w:rPr>
        <w:t>POSSIBLE 2019:</w:t>
      </w:r>
      <w:r>
        <w:t xml:space="preserve"> Issue Competition without Electoral Incentives? A Study of Issue Emphasis in the European Parliament — https://doi.org/10.1086/704224</w:t>
      </w:r>
    </w:p>
    <w:p>
      <w:pPr/>
      <w:r>
        <w:rPr>
          <w:b/>
        </w:rPr>
        <w:t>Shared claim-specific concepts:</w:t>
      </w:r>
      <w:r>
        <w:t xml:space="preserve"> right, set, incentives, find, literature; EU scope visible. This is a provisional connection, not an outcome finding.</w:t>
      </w:r>
    </w:p>
    <w:p>
      <w:pPr>
        <w:pStyle w:val="SourceNote"/>
      </w:pPr>
      <w:r>
        <w:rPr>
          <w:b/>
        </w:rPr>
        <w:t>Available abstract (not full text):</w:t>
      </w:r>
      <w:r>
        <w:t xml:space="preserve"> Niche party leverage over mainstream party policy agendas is a central theme in the issue competition literature. The literature has underlined that the electoral threat associated with niche party issue mobilization guides mainstream party responses to such niche parties. Yet how do political parties react to issue mobilization in an institutional setting not primarily steered by electoral considerations? We argue that the European Parliament constitutes such a case and study issue competition on the radical right’s core issue: immigration. To establish the leverage of radical right members of the European Parliament (MEPs), we use an original data set of parliamentary questions and motions between 2004 and 2016. Using time-series regression analysis, we find that mainstream party groups do not increase their emphasis of immigration issues in response to radical right MEPs’ issue emphasis. These findings indicate that the institutional context and the perceived electoral threat are crucial for issue competition dynamics.</w:t>
      </w:r>
    </w:p>
    <w:p>
      <w:pPr/>
      <w:r>
        <w:rPr>
          <w:b/>
        </w:rPr>
        <w:t>POSSIBLE 2019:</w:t>
      </w:r>
      <w:r>
        <w:t xml:space="preserve"> Constrained Waiver of Trial Rights? Incentives to Plead Guilty and the Right to a Fair Trial — https://doi.org/10.1111/jols.12169</w:t>
      </w:r>
    </w:p>
    <w:p>
      <w:pPr/>
      <w:r>
        <w:rPr>
          <w:b/>
        </w:rPr>
        <w:t>Shared claim-specific concepts:</w:t>
      </w:r>
      <w:r>
        <w:t xml:space="preserve"> right, incentives, literature; EU scope visible. This is a provisional connection, not an outcome finding.</w:t>
      </w:r>
    </w:p>
    <w:p>
      <w:pPr>
        <w:pStyle w:val="SourceNote"/>
      </w:pPr>
      <w:r>
        <w:rPr>
          <w:b/>
        </w:rPr>
        <w:t>Available abstract (not full text):</w:t>
      </w:r>
      <w:r>
        <w:t xml:space="preserve"> This article develops an interpretative framework to examine when incentives to plead guilty should be found to constrain defendant choice to waive fair trial rights under the European Convention on Human Rights. This framework is informed by existing jurisprudence, specifically the judgments of the European Court of Human Rights in Natsvlishvili and Togonidze v. Georgia and Deweer v. Belgium , and socio‐legal literature. According to the framework, an incentive to plead guilty should be found to violate fair trial rights where it makes it unreasonable to expect defendants to exercise their right to a full trial, is independent of the projected outcome at trial, and causes the defendant to plead guilty. An empirical analysis of guilty‐plea practice in England and Wales informed by this new framework identifies problematic incentives and suggests such incentives may disproportionately influence vulnerable defendants.</w:t>
      </w:r>
    </w:p>
    <w:p>
      <w:pPr/>
      <w:r>
        <w:rPr>
          <w:b/>
        </w:rPr>
        <w:t>POSSIBLE 2018:</w:t>
      </w:r>
      <w:r>
        <w:t xml:space="preserve"> Did Europe Move in the Right Direction on E‐waste Legislation? — https://doi.org/10.1111/poms.12894</w:t>
      </w:r>
    </w:p>
    <w:p>
      <w:pPr/>
      <w:r>
        <w:rPr>
          <w:b/>
        </w:rPr>
        <w:t>Shared claim-specific concepts:</w:t>
      </w:r>
      <w:r>
        <w:t xml:space="preserve"> right, set, incentives, levels, find, additional; EU scope visible. This is a provisional connection, not an outcome finding.</w:t>
      </w:r>
    </w:p>
    <w:p>
      <w:pPr>
        <w:pStyle w:val="SourceNote"/>
      </w:pPr>
      <w:r>
        <w:rPr>
          <w:b/>
        </w:rPr>
        <w:t>Available abstract (not full text):</w:t>
      </w:r>
      <w:r>
        <w:t xml:space="preserve"> This study presents an analytical framework of the product take back legislation in the context of product reuse. We characterize existing and proposed forms of E‐waste legislation and compare their environmental and economic performance. Using stylized models, we analyze an OEM's decision about new and remanufactured product quantity in response to the legislative mechanism. We focus on the 2012 waste electrical and electronic equipment directive in Europe, where the policy makers intended to create additional incentives for the product reuse. Through a comparison to the Original 2002 version of the directive, we find that these incentives translate into improved environmental outcomes only for a limited set of products. We also study a proposed policy that advocates a separate target for the product reuse. Our analysis reveals that from an environmental standpoint, the Recast version is always dominated either by the Original policy or by the one that advocates a separate target for product reuse. We show that the benefits of a separate reuse target scheme can be fully replicated with the aid of fiscal levers. Our main message is that there cannot be a single best environmental policy that is suitable for all products. Therefore, the consideration of product attributes is essential in identification of the most appropriate policy tool. This can be done either by the implement</w:t>
      </w:r>
    </w:p>
    <w:p>
      <w:pPr>
        <w:pStyle w:val="Heading2"/>
      </w:pPr>
      <w:r>
        <w:t>728.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2021:</w:t>
      </w:r>
      <w:r>
        <w:t xml:space="preserve"> Why radical transformation is necessary for gender equality and a zero carbon European construction sector — https://doi.org/10.4324/9781003052821-12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pPr/>
      <w:r>
        <w:rPr>
          <w:b/>
        </w:rPr>
        <w:t>POSSIBLE 2019:</w:t>
      </w:r>
      <w:r>
        <w:t xml:space="preserve"> Continuous Transformation and Neo-Carbon Energy Scenarios — https://openalex.org/W2946377064</w:t>
      </w:r>
    </w:p>
    <w:p>
      <w:pPr/>
      <w:r>
        <w:rPr>
          <w:b/>
        </w:rPr>
        <w:t>Shared claim-specific concepts:</w:t>
      </w:r>
      <w:r>
        <w:t xml:space="preserve"> four, neo-carbon, energy, project, groups; EU scope not established. This is a provisional connection, not an outcome finding.</w:t>
      </w:r>
    </w:p>
    <w:p>
      <w:pPr>
        <w:pStyle w:val="SourceNote"/>
      </w:pPr>
      <w:r>
        <w:rPr>
          <w:b/>
        </w:rPr>
        <w:t>Available abstract (not full text):</w:t>
      </w:r>
      <w:r>
        <w:t xml:space="preserve">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pPr/>
      <w:r>
        <w:rPr>
          <w:b/>
        </w:rPr>
        <w:t>POSSIBLE 2019:</w:t>
      </w:r>
      <w:r>
        <w:t xml:space="preserve"> TRANSFORMATIONAL ENERGY FUTURES : Neo-Carbon Energy Societal Scenarios — https://openalex.org/W2953412228</w:t>
      </w:r>
    </w:p>
    <w:p>
      <w:pPr/>
      <w:r>
        <w:rPr>
          <w:b/>
        </w:rPr>
        <w:t>Shared claim-specific concepts:</w:t>
      </w:r>
      <w:r>
        <w:t xml:space="preserve"> four, transformational, neo-carbon, energy, project, used; EU scope visible. This is a provisional connection, not an outcome finding.</w:t>
      </w:r>
    </w:p>
    <w:p>
      <w:pPr>
        <w:pStyle w:val="SourceNote"/>
      </w:pPr>
      <w:r>
        <w:rPr>
          <w:b/>
        </w:rPr>
        <w:t>Available abstract (not full text):</w:t>
      </w:r>
      <w:r>
        <w:t xml:space="preserve"> This report presents a set of transformative Neo-Carbon Energy scenarios within a societal context. The scenarios describe how society – social relations, culture, values, economy etc. – may change in a renewable energy system. They depict four different avenues and vistas to the world in 2050 where the energy system is decentralised, based almost 100% on renewable energy and prosumeristic citizens play a central role in a peer-to-peer fashion. The scenarios have been constructed within a Tekes-funded research project Neo-Carbon Energy in co-operation with VTT Technical Research Centre of Finland, Lappeenranta University of Technology (LUT), and Finland Futures Research Centre (FFRC) at University of Turku. The foresight part of the research project explores the futures of an economy based on a new energy system and peer-to-peer society in 2050. The project is one of the strategic research openings of Tekes – the Finnish Funding Agency for Innovation. The report also provides a list of 10 key recommendations, as a reflection to the scenarios, for various stakeholders in order to prepare for the emerging renewable energy transformation – to proactively surf on the winning side in this futures turbulence. They can be used to support and test strategies and decision-making for the transition towards renewable energy world, as well as to identify game changers – transformative lead</w:t>
      </w:r>
    </w:p>
    <w:p>
      <w:pPr/>
      <w:r>
        <w:rPr>
          <w:b/>
        </w:rPr>
        <w:t>POSSIBLE 2019:</w:t>
      </w:r>
      <w:r>
        <w:t xml:space="preserve"> CLA GAME REPORT : Causal Layered Analysis Game on Neo-Carbon Energy Scenarios — https://openalex.org/W2981863467</w:t>
      </w:r>
    </w:p>
    <w:p>
      <w:pPr/>
      <w:r>
        <w:rPr>
          <w:b/>
        </w:rPr>
        <w:t>Shared claim-specific concepts:</w:t>
      </w:r>
      <w:r>
        <w:t xml:space="preserve"> four, transformational, neo-carbon, energy, project, used; EU scope visible. This is a provisional connection, not an outcome finding.</w:t>
      </w:r>
    </w:p>
    <w:p>
      <w:pPr>
        <w:pStyle w:val="SourceNote"/>
      </w:pPr>
      <w:r>
        <w:rPr>
          <w:b/>
        </w:rPr>
        <w:t>Available abstract (not full text):</w:t>
      </w:r>
      <w:r>
        <w:t xml:space="preserve"> This report describes the process and results of Causal Layered Analysis (CLA) game session held on 11 June 2015 in the International Conference of “Futures Studies Tackling Wicked Problems”, organized by Finland Futures Research Centre in Turku. CLA is a qualitative method developed by Sohail Inayatullah. It enables a deeper investigation of alternative futures through an analysis done through four different layers; litany, system, worldview and myth/metaphor. The method functioned as the theoretical framework for the experimental game session conducted during the conference. The aim of the CLA game was to elaborate on and experiment with four transformational scenarios being developed by Finland Futures Research Centre for an ongoing Neo-Carbon Energy project. The tentative scenarios were constructed in the futures-orientated part of the project “Neo-Carbon Enabling Neo-Growth Society – Transformative Scenarios 2050”. The research project proposes a new emission-free energy solution based on renewables, mainly solar and wind. In the Neo-Carbon Energy system, solar and wind technologies produce energy that is stored in synthetic methane or other synthetic hydrocarbons. Carbon dioxide and hydrogen can also be used as feedstock for chemicals and materials. The society as a whole is expected to be affected by this new mainly distributed production of energy and materials. The for</w:t>
      </w:r>
    </w:p>
    <w:p>
      <w:pPr/>
      <w:r>
        <w:rPr>
          <w:b/>
        </w:rPr>
        <w:t>POSSIBLE 2019:</w:t>
      </w:r>
      <w:r>
        <w:t xml:space="preserve"> The Fuzzy Futures of Neo-Carbon Work : Neo-Carbon Futures Clinique II — https://openalex.org/W3004377575</w:t>
      </w:r>
    </w:p>
    <w:p>
      <w:pPr/>
      <w:r>
        <w:rPr>
          <w:b/>
        </w:rPr>
        <w:t>Shared claim-specific concepts:</w:t>
      </w:r>
      <w:r>
        <w:t xml:space="preserve"> four, neo-carbon, energy, project, groups, foresight; EU scope not established. This is a provisional connection, not an outcome finding.</w:t>
      </w:r>
    </w:p>
    <w:p>
      <w:pPr>
        <w:pStyle w:val="SourceNote"/>
      </w:pPr>
      <w:r>
        <w:rPr>
          <w:b/>
        </w:rPr>
        <w:t>Available abstract (not full text):</w:t>
      </w:r>
      <w:r>
        <w:t xml:space="preserve"> This report documents and analyses the results of a Neo-Carbon Futures Clinique held at Hotel President in Helsinki 13 April 2016. At the Futures Clinique workshop groups anticipated possible futures of peer-to-peer work that is self-organised by the workers. The Futures Clinique is part of the Neo-Carbon Energy research project. The foresight part of the project is concerned with studying the futures of peer-to-peer societies enabled by the proposed Neo-Carbon energy system. Such a system would be a distributed, renewable energy system that empowers citizens by providing them with cheap, clean and abundant energy and materials. In this project, possible futures of a peer-to-peer society are studied through four scenarios (Heinonen et al. 2016), which provided the framework also for this Futures Clinique. The results of the Futures Clinique were summarised and refined into seven categories, each illuminating different aspects of the possible futures of peer-to-peer work. Common to the categories is the strengthening of values other than economic as the main drivers in economy and society.</w:t>
      </w:r>
    </w:p>
    <w:p>
      <w:pPr/>
      <w:r>
        <w:rPr>
          <w:b/>
        </w:rPr>
        <w:t>POSSIBLE 2019:</w:t>
      </w:r>
      <w:r>
        <w:t xml:space="preserve"> SURPRISING ENERGY FUTURES : Neo-Carbon Energy Futures Clinique V — https://openalex.org/W2944828902</w:t>
      </w:r>
    </w:p>
    <w:p>
      <w:pPr/>
      <w:r>
        <w:rPr>
          <w:b/>
        </w:rPr>
        <w:t>Shared claim-specific concepts:</w:t>
      </w:r>
      <w:r>
        <w:t xml:space="preserve"> four, neo-carbon, energy, project, groups, foresight; EU scope visible. This is a provisional connection, not an outcome finding.</w:t>
      </w:r>
    </w:p>
    <w:p>
      <w:pPr>
        <w:pStyle w:val="SourceNote"/>
      </w:pPr>
      <w:r>
        <w:rPr>
          <w:b/>
        </w:rPr>
        <w:t>Available abstract (not full text):</w:t>
      </w:r>
      <w:r>
        <w:t xml:space="preserve"> This report describes the process and results of futures clinique Surprising Energy Futures: Anticipating Discontinuities and Testing Resilience of Renewable Energy World with Black Swans, held on 17 May 2017 at Sitra, Helsinki.The event was the fifth futures clinique within the foresight part of the research project Neo-Carbon Enabling Neo-Growth Society -Transformative Scenarios 2050, conducted by Finland Futures Research Centre.The aim of the event was to contribute to the four transformative societal scenarios of Neo-Carbon Energy project.The event consisted of presentations and intermittent working sessions.Dr. Karlheinz Steinmüller discussed the topic of Black Swans and VUCA World, with comments by Prof. Jarno Limnéll.During the working sessions seven groups co-creatively identified discontinuities and their impacts by utilising different foresight methods.Black swans and wild cards -unexpected events with dramatic impacts -were utilised to test the resilience of the renewable energy world.Each group concentrated on a specific topic, through which the uncertain and discontinuous aspects of societal development were observed.The topics were: 1) Politics: nation-states, governments, geopolitics, new ideologies, 2) Corporations and economy, 3) Civil society &amp; peer-to-peer practices, 4) Robotisation &amp; artificial 7. FEN workshop at session 6 -The future of work: An interactive</w:t>
      </w:r>
    </w:p>
    <w:p>
      <w:pPr/>
      <w:r>
        <w:rPr>
          <w:b/>
        </w:rPr>
        <w:t>POSSIBLE 2019:</w:t>
      </w:r>
      <w:r>
        <w:t xml:space="preserve"> Towards the third industrial revolution : NEO-CARBON ENERGY project Future Clinique I ”Creating the Third Industrial Revolution” 6.5.2015 — https://openalex.org/W2996065642</w:t>
      </w:r>
    </w:p>
    <w:p>
      <w:pPr/>
      <w:r>
        <w:rPr>
          <w:b/>
        </w:rPr>
        <w:t>Shared claim-specific concepts:</w:t>
      </w:r>
      <w:r>
        <w:t xml:space="preserve"> four, neo-carbon, energy, project; EU scope visible. This is a provisional connection, not an outcome finding.</w:t>
      </w:r>
    </w:p>
    <w:p>
      <w:pPr>
        <w:pStyle w:val="SourceNote"/>
      </w:pPr>
      <w:r>
        <w:rPr>
          <w:b/>
        </w:rPr>
        <w:t>Available abstract (not full text):</w:t>
      </w:r>
      <w:r>
        <w:t xml:space="preserve"> This report presents the results of ”Creating the Third Industrial Revolution”, a Futures Clinique organised in Ruoholahti, Helsinki May 6, 2015 at Sitra. Futures Clinique is a distinct futures workshop method. The futures clinique was conducted within a research project NEO-CARBON ENERGY and its futures research part “Neo-Carbon Enabling Neo-Growth Society – Transformative Energy Futures 2050”, funded by Tekes. Around 70 experts participated in the Futures Clinique. The participants included project members, government, business and third sector representatives as well as students. They worked around four tentative scenario sketches until the year 2050 called Radical Startups, Value-driven Techemoths, Green DIY En-gineers and New Consciousness. All of the scenarios are transformative i.e. implying fundamental change and differ more or less radically from the present. The scenario sketches were analysed on a general level and especially with regard to implications for Finland.</w:t>
      </w:r>
    </w:p>
    <w:p>
      <w:pPr/>
      <w:r>
        <w:rPr>
          <w:b/>
        </w:rPr>
        <w:t>POSSIBLE 2019:</w:t>
      </w:r>
      <w:r>
        <w:t xml:space="preserve"> Hidden carbon costs of the “everywhere war”: Logistics, geopolitical ecology, and the carbon boot‐print of the US military — https://doi.org/10.1111/tran.12319</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This paper examines the US military's impact on climate by analysing the geopolitical ecology of its global logistical supply chains. Our geopolitical ecology framework interrogates the material‐ecological metabolic flows (hydrocarbon‐based fuels, water, sand, concrete) that shape geopolitical and geoeconomic power relations. We argue that to account for the US military as a major climate actor, one must understand the logistical supply chain that makes its acquisition and consumption of hydrocarbon‐based fuels possible. Our paper focuses on the US Defense Logistics Agency – Energy (DLA‐E), a large yet virtually unresearched sub‐agency within the US Department of Defense. The DLA‐E is the primary purchase‐point for hydrocarbon‐based fuels for the US military, as well as a powerful actor in the global oil market. After outlining our geopolitical ecology approach, we detail the scope of the DLA‐E's operations, its supply chain, bureaucratic practices, and the physical infrastructure that facilitates the US military's consumption of hydro‐based carbons on a global scale. We show several “path dependencies” – warfighting paradigms, weapons systems, bureaucratic requirements, and waste – that are put in place by military supply chains and undergird a heavy reliance on carbon‐based fuels by the US military for years to come. The paper, based on comprehensive records of bulk fuel purc</w:t>
      </w:r>
    </w:p>
    <w:p>
      <w:pPr/>
      <w:r>
        <w:rPr>
          <w:b/>
        </w:rPr>
        <w:t>POSSIBLE 2018:</w:t>
      </w:r>
      <w:r>
        <w:t xml:space="preserve"> Final Neo-Carbon Energy Countdown – Ready for Renewables — https://doi.org/10.13140/rg.2.2.14147.25129</w:t>
      </w:r>
    </w:p>
    <w:p>
      <w:pPr/>
      <w:r>
        <w:rPr>
          <w:b/>
        </w:rPr>
        <w:t>Shared claim-specific concepts:</w:t>
      </w:r>
      <w:r>
        <w:t xml:space="preserve"> four, neo-carbon, energy, project; EU scope not established. This is a provisional connection, not an outcome finding.</w:t>
      </w:r>
    </w:p>
    <w:p>
      <w:pPr>
        <w:pStyle w:val="SourceNote"/>
      </w:pPr>
      <w:r>
        <w:rPr>
          <w:b/>
        </w:rPr>
        <w:t>Available abstract (not full text):</w:t>
      </w:r>
      <w:r>
        <w:t xml:space="preserve"> Renewables-based Neo-Carbon Vision of the world in 2050 portrays an electrified, resilient and secure society with empowered, prosumeristic citizens who upload their surplus energy into smart grids as well as download energy when needed. The following overview on key insights of the Neo-Carbon Energy project on energy futures helps to frame the academic and societal discourse in the years to come. Four scenarios assume a social perspective to open up very different avenues as transformative manifestations of this vision. The vision shows the pre-ferred goal – a renewables-based society – while the scenarios outline alternative expressions and pathways towards the desired vision. Finally, the actors that can make this change happen have to be identified and supported, especially in policy-making, and the role of energy markets re-thought.</w:t>
      </w:r>
    </w:p>
    <w:p>
      <w:pPr>
        <w:pStyle w:val="Heading2"/>
      </w:pPr>
      <w:r>
        <w:t>729.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2024:</w:t>
      </w:r>
      <w:r>
        <w:t xml:space="preserve"> DECARBONIZING FREIGHT TRANSPORTATION IN BRAZIL: METHODOLOGIES, RESULTS AND PRACTICAL IMPLICATIONS — https://doi.org/10.26668/businessreview/2024.v9i10.4667</w:t>
      </w:r>
    </w:p>
    <w:p>
      <w:pPr/>
      <w:r>
        <w:rPr>
          <w:b/>
        </w:rPr>
        <w:t>Shared claim-specific concepts:</w:t>
      </w:r>
      <w:r>
        <w:t xml:space="preserve"> decarbonizing, transportation, ghg, emissions, two; EU scope not established. This is a provisional connection, not an outcome finding.</w:t>
      </w:r>
    </w:p>
    <w:p>
      <w:pPr>
        <w:pStyle w:val="SourceNote"/>
      </w:pPr>
      <w:r>
        <w:rPr>
          <w:b/>
        </w:rPr>
        <w:t>Available abstract (not full text):</w:t>
      </w:r>
      <w:r>
        <w:t xml:space="preserve">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pPr/>
      <w:r>
        <w:rPr>
          <w:b/>
        </w:rPr>
        <w:t>POSSIBLE 2024:</w:t>
      </w:r>
      <w:r>
        <w:t xml:space="preserve"> Decarbonization with induced technical change: Exploring the niche potential of hydrogen in heavy transportation — https://doi.org/10.1016/j.jclepro.2024.140743</w:t>
      </w:r>
    </w:p>
    <w:p>
      <w:pPr/>
      <w:r>
        <w:rPr>
          <w:b/>
        </w:rPr>
        <w:t>Shared claim-specific concepts:</w:t>
      </w:r>
      <w:r>
        <w:t xml:space="preserve"> transportation, sector, energy, one; EU scope visible. This is a provisional connection, not an outcome finding.</w:t>
      </w:r>
    </w:p>
    <w:p>
      <w:pPr>
        <w:pStyle w:val="SourceNote"/>
      </w:pPr>
      <w:r>
        <w:rPr>
          <w:b/>
        </w:rPr>
        <w:t>Available abstract (not full text):</w:t>
      </w:r>
      <w:r>
        <w:t xml:space="preserve">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pPr/>
      <w:r>
        <w:rPr>
          <w:b/>
        </w:rPr>
        <w:t>POSSIBLE 2024:</w:t>
      </w:r>
      <w:r>
        <w:t xml:space="preserve"> The Significance of Economic Complexity and Renewable Energy for Decarbonization in Eastern European Countries — https://doi.org/10.3390/en17215271</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pPr/>
      <w:r>
        <w:rPr>
          <w:b/>
        </w:rPr>
        <w:t>POSSIBLE 2024:</w:t>
      </w:r>
      <w:r>
        <w:t xml:space="preserve"> The Impact of Deep Decarbonization Policy on the Level of Greenhouse Gas Emissions in the European Union — https://doi.org/10.3390/en17051245</w:t>
      </w:r>
    </w:p>
    <w:p>
      <w:pPr/>
      <w:r>
        <w:rPr>
          <w:b/>
        </w:rPr>
        <w:t>Shared claim-specific concepts:</w:t>
      </w:r>
      <w:r>
        <w:t xml:space="preserve"> greenhouse, gas, emissions, energy, within; EU scope visible. This is a provisional connection, not an outcome finding.</w:t>
      </w:r>
    </w:p>
    <w:p>
      <w:pPr>
        <w:pStyle w:val="SourceNote"/>
      </w:pPr>
      <w:r>
        <w:rPr>
          <w:b/>
        </w:rPr>
        <w:t>Available abstract (not full text):</w:t>
      </w:r>
      <w:r>
        <w:t xml:space="preserve">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pPr/>
      <w:r>
        <w:rPr>
          <w:b/>
        </w:rPr>
        <w:t>POSSIBLE 2023:</w:t>
      </w:r>
      <w:r>
        <w:t xml:space="preserve"> Decarbonization potential of future sustainable propulsion—A review of road transportation — https://doi.org/10.1002/ese3.1434</w:t>
      </w:r>
    </w:p>
    <w:p>
      <w:pPr/>
      <w:r>
        <w:rPr>
          <w:b/>
        </w:rPr>
        <w:t>Shared claim-specific concepts:</w:t>
      </w:r>
      <w:r>
        <w:t xml:space="preserve"> transportation, greenhouse, gas, emissions, energy, system; EU scope not established. This is a provisional connection, not an outcome finding.</w:t>
      </w:r>
    </w:p>
    <w:p>
      <w:pPr>
        <w:pStyle w:val="SourceNote"/>
      </w:pPr>
      <w:r>
        <w:rPr>
          <w:b/>
        </w:rPr>
        <w:t>Available abstract (not full text):</w:t>
      </w:r>
      <w:r>
        <w:t xml:space="preserve"> Abstract Modern automotive propulsion technologies must achieve the highest CO 2 reduction potential quickly to abide by the requirements of the Paris Climate Agreement. A collective utilization of renewable fuels, e‐fuels, hydrogen, and electrical energy will be able to meet different mobility and transport requirements in an optimal and CO 2 ‐neutral approach. The well‐to‐wheel greenhouse gas emissions of a propulsion system are determined by two factors, that is, the energy efficiency of the system and the carbon intensity of the energy source. Regardless of the CO 2 emission generated during the battery manufacturing and recycling process, the carbon intensity of the battery electric vehicles during operation is mainly decided by the carbon intensity of the electricity being consumed. The relatively low fleet ratios of battery electric and hydrogen‐powered vehicles and the massive remaining useful life of current internal combustion engine vehicle stock limit their impact on decarbonization in the near term. The expansion of charging infrastructure requires significant acceleration for the success of large‐scale and rapid electric vehicle adoption. For internal combustion engines, the focus is to further improve energy efficiency and the adoption of low‐to‐zero carbon renewable fuels. Hybrid and plug‐in hybrid vehicles are demonstrating the advantages of combining state‐of‐</w:t>
      </w:r>
    </w:p>
    <w:p>
      <w:pPr/>
      <w:r>
        <w:rPr>
          <w:b/>
        </w:rPr>
        <w:t>POSSIBLE 2023:</w:t>
      </w:r>
      <w:r>
        <w:t xml:space="preserve"> Electrification of onshore power systems in maritime transportation towards decarbonization of ports: A review of the cold ironing technology — https://doi.org/10.1016/j.rser.2023.113243</w:t>
      </w:r>
    </w:p>
    <w:p>
      <w:pPr/>
      <w:r>
        <w:rPr>
          <w:b/>
        </w:rPr>
        <w:t>Shared claim-specific concepts:</w:t>
      </w:r>
      <w:r>
        <w:t xml:space="preserve"> transportation, high, electrification; EU scope not established. This is a provisional connection, not an outcome finding.</w:t>
      </w:r>
    </w:p>
    <w:p>
      <w:pPr>
        <w:pStyle w:val="SourceNote"/>
      </w:pPr>
      <w:r>
        <w:rPr>
          <w:b/>
        </w:rPr>
        <w:t>Available abstract (not full text):</w:t>
      </w:r>
      <w:r>
        <w:t xml:space="preserve"> Cold ironing is a remarkable electrification innovation in the maritime industry for ship transportation, in which diesel engines driving ship generators for onboard load are switched to shore-supplied electricity during berthing. This facility serves not only as an alternative power supply for electric ships but also as part of the green port's strategy. Cold ironing installation is expected to be unavoidable in the long term for all port operators due to stringent emission policies. Even though cold ironing is used by a few ports across the world, it is still regarded as an underutilized technology due to the high upfront cost associated with the shoreside installation and ship's retrofitting, as well as unclear benefits for both sides. The involvement of diverse types of ships with different power requirements, various operational schemes, unpredictable berthing hours, uncertainty in the availability of local power sources, and synchronization issues among others make it very complex to coordinate for optimal cold ironing operations, which necessitate further investigations. This review gives an overview of cold ironing technology, including its operation, power requirement, standardization, challenges, and important assessment for evaluation. A cold ironing implementation strategy to achieve the ultimate seaport decarbonization goal through a synergy between cold ironing an</w:t>
      </w:r>
    </w:p>
    <w:p>
      <w:pPr/>
      <w:r>
        <w:rPr>
          <w:b/>
        </w:rPr>
        <w:t>POSSIBLE 2023:</w:t>
      </w:r>
      <w:r>
        <w:t xml:space="preserve"> Decarbonization Prospects for the European Pulp and Paper Industry: Different Development Pathways and Needed Actions — https://doi.org/10.3390/en16020746</w:t>
      </w:r>
    </w:p>
    <w:p>
      <w:pPr/>
      <w:r>
        <w:rPr>
          <w:b/>
        </w:rPr>
        <w:t>Shared claim-specific concepts:</w:t>
      </w:r>
      <w:r>
        <w:t xml:space="preserve"> sector, emissions, energy, electrification, other; EU scope visible. This is a provisional connection, not an outcome finding.</w:t>
      </w:r>
    </w:p>
    <w:p>
      <w:pPr>
        <w:pStyle w:val="SourceNote"/>
      </w:pPr>
      <w:r>
        <w:rPr>
          <w:b/>
        </w:rPr>
        <w:t>Available abstract (not full text):</w:t>
      </w:r>
      <w:r>
        <w:t xml:space="preserve"> The pulp and paper industry (PPI) has several opportunities to contribute to meeting prevailing climate targets. It can cut its own CO2 emissions, which currently account for 2% of global industrial fossil CO2 emissions, and it has an opportunity to produce renewable energy, fuels, and materials for other sectors. The purpose of this study is to improve understanding of the decarbonization prospects of the PPI. The study provides insights on the magnitude of needed annual renewal rates for several possible net-zero target years of industrial fossil CO2 emissions in the PPI and discusses decarbonization opportunities, namely, energy and material efficiency improvement, fuel switching, electrification, renewable energy production, carbon capture, and new products. The effects of climate policies on the decarbonization opportunities are critically evaluated to provide an overview of the current and future business environment of the European PPI. The focus is on Europe, but other regions are analyzed briefly to widen the view. The analysis shows that there are no major technical barriers to the fossil-free operation of the PPI, but the sector renovates slowly, and many new opportunities are not implemented on a large scale due to immature technology, poor economic feasibility, or unclear political environment.</w:t>
      </w:r>
    </w:p>
    <w:p>
      <w:pPr/>
      <w:r>
        <w:rPr>
          <w:b/>
        </w:rPr>
        <w:t>POSSIBLE 2021:</w:t>
      </w:r>
      <w:r>
        <w:t xml:space="preserve"> Hydrogen is Essential for Industry and Transportation Decarbonization — https://doi.org/10.1149/2.f18214if</w:t>
      </w:r>
    </w:p>
    <w:p>
      <w:pPr/>
      <w:r>
        <w:rPr>
          <w:b/>
        </w:rPr>
        <w:t>Shared claim-specific concepts:</w:t>
      </w:r>
      <w:r>
        <w:t xml:space="preserve"> decarbonizing, transportation, sector, energy, high; EU scope not established. This is a provisional connection, not an outcome finding.</w:t>
      </w:r>
    </w:p>
    <w:p>
      <w:pPr>
        <w:pStyle w:val="SourceNote"/>
      </w:pPr>
      <w:r>
        <w:rPr>
          <w:b/>
        </w:rPr>
        <w:t>Available abstract (not full text):</w:t>
      </w:r>
      <w:r>
        <w:t xml:space="preserve"> Hydrogen will play a critical role in a future comprehensive energy portfolio; hydrogen will be the decarbonizing tie between the different energy production sources and their end uses. Hydrogen acts as a zero-carbon energy carrier to couple energy sources and end uses. This provides the methodology to decarbonize the major energy consumption sectors of (1) the electric grid, (2) transportation and (3) industrial processes. It can provide energy storage supporting intermittent renewable power and cost-effective energy resilience; it enables the massive and seasonal energy storage that is required for a zero-emissions electric grid. It can be used in the transportation sector, especially for heavy-duty transportation where long ranges and fast refueling are critical. Renewable hydrogen is critical to decarbonize industrial processes that have needs for high temperature, chemical reduction and refining and chemical feedstocks. Hydrogen is potentially the only viable method to decarbonize all sectors of the economy simultaneously.</w:t>
      </w:r>
    </w:p>
    <w:p>
      <w:pPr>
        <w:pStyle w:val="Heading2"/>
      </w:pPr>
      <w:r>
        <w:t>730.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2023:</w:t>
      </w:r>
      <w:r>
        <w:t xml:space="preserve"> Investigation into Factors Affecting Penetration Rate and Favorable Ground Types of Pipe Jacking — https://doi.org/10.2174/18748368-v17-2305300-2022-24</w:t>
      </w:r>
    </w:p>
    <w:p>
      <w:pPr/>
      <w:r>
        <w:rPr>
          <w:b/>
        </w:rPr>
        <w:t>Shared claim-specific concepts:</w:t>
      </w:r>
      <w:r>
        <w:t xml:space="preserve"> penetration, among, identify; EU scope not established. This is a provisional connection, not an outcome finding.</w:t>
      </w:r>
    </w:p>
    <w:p>
      <w:pPr>
        <w:pStyle w:val="SourceNote"/>
      </w:pPr>
      <w:r>
        <w:rPr>
          <w:b/>
        </w:rPr>
        <w:t>Available abstract (not full text):</w:t>
      </w:r>
      <w:r>
        <w:t xml:space="preserve">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pPr/>
      <w:r>
        <w:rPr>
          <w:b/>
        </w:rPr>
        <w:t>POSSIBLE 2021:</w:t>
      </w:r>
      <w:r>
        <w:t xml:space="preserve"> The Broadband Penetration in Europe — https://doi.org/10.57017/jaes.v16.3(73).07</w:t>
      </w:r>
    </w:p>
    <w:p>
      <w:pPr/>
      <w:r>
        <w:rPr>
          <w:b/>
        </w:rPr>
        <w:t>Shared claim-specific concepts:</w:t>
      </w:r>
      <w:r>
        <w:t xml:space="preserve"> penetration, expected, different, estimate; EU scope visible. This is a provisional connection, not an outcome finding.</w:t>
      </w:r>
    </w:p>
    <w:p>
      <w:pPr>
        <w:pStyle w:val="SourceNote"/>
      </w:pPr>
      <w:r>
        <w:rPr>
          <w:b/>
        </w:rPr>
        <w:t>Available abstract (not full text):</w:t>
      </w:r>
      <w:r>
        <w:t xml:space="preserve">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pPr/>
      <w:r>
        <w:rPr>
          <w:b/>
        </w:rPr>
        <w:t>POSSIBLE 2021:</w:t>
      </w:r>
      <w:r>
        <w:t xml:space="preserve"> DEM study of particle scale and penetration rate on the installation mechanisms of screw piles in sand — https://doi.org/10.1016/j.compgeo.2021.104380</w:t>
      </w:r>
    </w:p>
    <w:p>
      <w:pPr/>
      <w:r>
        <w:rPr>
          <w:b/>
        </w:rPr>
        <w:t>Shared claim-specific concepts:</w:t>
      </w:r>
      <w:r>
        <w:t xml:space="preserve"> penetration, different, behaviour; EU scope not established. This is a provisional connection, not an outcome finding.</w:t>
      </w:r>
    </w:p>
    <w:p>
      <w:pPr>
        <w:pStyle w:val="SourceNote"/>
      </w:pPr>
      <w:r>
        <w:rPr>
          <w:b/>
        </w:rPr>
        <w:t>Available abstract (not full text):</w:t>
      </w:r>
      <w:r>
        <w:t xml:space="preserve">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pPr/>
      <w:r>
        <w:rPr>
          <w:b/>
        </w:rPr>
        <w:t>POSSIBLE 2021:</w:t>
      </w:r>
      <w:r>
        <w:t xml:space="preserve"> Cosmetics Europe evaluation of 6 in silico skin penetration models — https://doi.org/10.1016/j.comtox.2021.100177</w:t>
      </w:r>
    </w:p>
    <w:p>
      <w:pPr/>
      <w:r>
        <w:rPr>
          <w:b/>
        </w:rPr>
        <w:t>Shared claim-specific concepts:</w:t>
      </w:r>
      <w:r>
        <w:t xml:space="preserve"> penetration, different, between; EU scope visible. This is a provisional connection, not an outcome finding.</w:t>
      </w:r>
    </w:p>
    <w:p>
      <w:pPr>
        <w:pStyle w:val="SourceNote"/>
      </w:pPr>
      <w:r>
        <w:rPr>
          <w:b/>
        </w:rPr>
        <w:t>Available abstract (not full text):</w:t>
      </w:r>
      <w:r>
        <w:t xml:space="preserve">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pPr/>
      <w:r>
        <w:rPr>
          <w:b/>
        </w:rPr>
        <w:t>POSSIBLE 2021:</w:t>
      </w:r>
      <w:r>
        <w:t xml:space="preserve"> Experimental and HIL investigation of under-frequency and rate of change of frequency load shedding schemes in interconnected networks with high penetration of renewable generation — https://doi.org/10.1049/icp.2021.1898</w:t>
      </w:r>
    </w:p>
    <w:p>
      <w:pPr/>
      <w:r>
        <w:rPr>
          <w:b/>
        </w:rPr>
        <w:t>Shared claim-specific concepts:</w:t>
      </w:r>
      <w:r>
        <w:t xml:space="preserve"> penetration, expected, different; EU scope visible. This is a provisional connection, not an outcome finding.</w:t>
      </w:r>
    </w:p>
    <w:p>
      <w:pPr>
        <w:pStyle w:val="SourceNote"/>
      </w:pPr>
      <w:r>
        <w:rPr>
          <w:b/>
        </w:rPr>
        <w:t>Available abstract (not full text):</w:t>
      </w:r>
      <w:r>
        <w:t xml:space="preserve"> Under-frequency Load Shedding Schemes (UFLS) are a well-established part of any under-frequency defence plan. Their future effectiveness in systems with increased penetration of renewable energy sources without rotating mass should however be questioned: lower inertia implies higher frequency gradients; more power electronics implies higher harmonics. Both factors will concur to make frequency measurements and short relay operation times more challenging: In this contribution, the impact of the penetration of renewable sources on the rate of change of frequency (RoCoF) in continental Europe has been simulated with the dynamic ENTSO-E model for different penetration levels, confirming the higher RoCoF and lower frequency nadir to be expected in case of large disturbances. The operation of the current UFLS scheme is included in the model and has been compared with a scheme incorporating a RoCoF criterion. The authors have also performed laboratory tests in order to assess the use of RoCoF-based load shedding as an improvement to frequency-only based load shedding schemes. Central European transmission and distribution system operators have established joint bodies for agreeing on the best evolution of underfrequency defence plans: challenges include frequency measurement and correct coordination of several control schemes and approaches within the CE transmission system community</w:t>
      </w:r>
    </w:p>
    <w:p>
      <w:pPr/>
      <w:r>
        <w:rPr>
          <w:b/>
        </w:rPr>
        <w:t>POSSIBLE 2021:</w:t>
      </w:r>
      <w:r>
        <w:t xml:space="preserve"> Penetration rates of new pharmaceutical products in Europe: A comparative study of several classes recently launched in type-2 diabetes — https://doi.org/10.1016/j.ando.2020.12.009</w:t>
      </w:r>
    </w:p>
    <w:p>
      <w:pPr/>
      <w:r>
        <w:rPr>
          <w:b/>
        </w:rPr>
        <w:t>Shared claim-specific concepts:</w:t>
      </w:r>
      <w:r>
        <w:t xml:space="preserve"> penetration, rates, different, between, potential; EU scope visible. This is a provisional connection, not an outcome finding.</w:t>
      </w:r>
    </w:p>
    <w:p>
      <w:pPr>
        <w:pStyle w:val="SourceNote"/>
      </w:pPr>
      <w:r>
        <w:rPr>
          <w:b/>
        </w:rPr>
        <w:t>Available abstract (not full text):</w:t>
      </w:r>
      <w:r>
        <w:t xml:space="preserve"> Different countries have their own systems for evaluating new medicines, and they make decisions as to when and how each new medicine is adopted. To compare the rate of uptake of new diabetes medicines (dipeptidyl peptidase-4 inhibitors [DPP-4Is], glucagon-like peptide-1 receptor agonists [GLP1-RAs], and sodium-glucose co-transporter-2 inhibitors [SGLT2Is]) in the five most populated European countries. The monthly volume of sales of antidiabetic drugs was extracted for each country from the IQVIA™ MIDAS® database for the period 2007 to 2016 and the defined daily doses (DDDs) were calculated. For each new drug, market shares were expressed as a percentage of the total market of non-insulin antidiabetic agents. Sharp differences were observed between the countries. Overall, the highest and fastest rates of uptake were seen for Germany and Spain, compared to lower rates for the UK and Italy. This was especially marked for DPP-4Is, where the market share reached over 30% of non-insulin antidiabetic drugs in Germany and Spain, compared to around 10% in the UK and Italy. In France, there was an initial rapid uptake, which stabilized at around 20% after three years. Rates of uptake were lower for the other drugs, with the GLP1-RAs reaching a market share of 2.5–4.5% in Germany, Spain and France, compared to less than 2.5% in the UK and Italy. The SGLT2Is reached a market share of 5–8</w:t>
      </w:r>
    </w:p>
    <w:p>
      <w:pPr/>
      <w:r>
        <w:rPr>
          <w:b/>
        </w:rPr>
        <w:t>POSSIBLE 2020:</w:t>
      </w:r>
      <w:r>
        <w:t xml:space="preserve"> Electricity demand and carbon emission in power generation under high penetration of electric vehicles. A European Union perspective — https://doi.org/10.1016/j.egyr.2020.09.025</w:t>
      </w:r>
    </w:p>
    <w:p>
      <w:pPr/>
      <w:r>
        <w:rPr>
          <w:b/>
        </w:rPr>
        <w:t>Shared claim-specific concepts:</w:t>
      </w:r>
      <w:r>
        <w:t xml:space="preserve"> penetration, expected, vehicles, identify, transport; EU scope visible. This is a provisional connection, not an outcome finding.</w:t>
      </w:r>
    </w:p>
    <w:p>
      <w:pPr>
        <w:pStyle w:val="SourceNote"/>
      </w:pPr>
      <w:r>
        <w:rPr>
          <w:b/>
        </w:rPr>
        <w:t>Available abstract (not full text):</w:t>
      </w:r>
      <w:r>
        <w:t xml:space="preserve"> The European Union has set targets to reduce the greenhouse gases emissions in total energy consumption as a part of the securing the clean energy initiative and the efforts of carbon emissions reductions of 90%, compared to the 1990 ones, until 2050. The transport sector is particularly exacerbating the above problems. Focusing on their fight, European authorities have invested and continue to invest in electric propulsion. In the European Union, electric mobility has grown tremendously in the last decade. Specifically, more and more automobile industries are turning their interest in electric technology to replace conventional cars which they use internal combustion engine. This study tries to evaluate the impact of the electric vehicle penetration in the electricity demand and related emissions inside the EU, in three steps. First, the penetration of electric vehicles into the Union is evaluated through literature review, then the impact in electricity demand due to the electric vehicles penetration is estimated and finally the emission of carbon dioxide gases allocated to these changes in the electricity demand are calculated based on official data published by EuroStat. The results were calculated using the most common prognostic tools in order to identify the expected trends, and showed that the future electrification in transportation will support the efforts on reducing</w:t>
      </w:r>
    </w:p>
    <w:p>
      <w:pPr/>
      <w:r>
        <w:rPr>
          <w:b/>
        </w:rPr>
        <w:t>POSSIBLE 2019:</w:t>
      </w:r>
      <w:r>
        <w:t xml:space="preserve"> Adoption of Cooperative Intelligent Transport Systems in Flemish passenger cars: a review of European Policy Options — https://doi.org/10.1109/ctte-fitce.2019.8894817</w:t>
      </w:r>
    </w:p>
    <w:p>
      <w:pPr/>
      <w:r>
        <w:rPr>
          <w:b/>
        </w:rPr>
        <w:t>Shared claim-specific concepts:</w:t>
      </w:r>
      <w:r>
        <w:t xml:space="preserve"> penetration, rates, expected, vehicles, traffic, transport; EU scope visible. This is a provisional connection, not an outcome finding.</w:t>
      </w:r>
    </w:p>
    <w:p>
      <w:pPr>
        <w:pStyle w:val="SourceNote"/>
      </w:pPr>
      <w:r>
        <w:rPr>
          <w:b/>
        </w:rPr>
        <w:t>Available abstract (not full text):</w:t>
      </w:r>
      <w:r>
        <w:t xml:space="preserve"> Cooperative Intelligent Transportation Systems (C-ITS) enable vehicles to be aware of objects that are not in line of sight, by interacting directly with each other and the surrounding road infrastructure. C-ITS promise to reduce traffic congestion, lessen the environmental impact of transportation, and most importantly, significantly reduce the number of (lethal) traffic accidents. As C-ITS is subject to strong network effects, adoption of C-ITS is a key driver of its (societal) benefits. Therefore, this paper estimates penetration rates of C-ITS equipped cars in the car park of Flanders, Belgium. Based on the preferred policy option with mandatory adoption, as proposed in the recent new Delegated Regulation of the European Commission, full penetration of C-ITS in the Flemish car park is expected later than twenty years after the mandate enters into force. Determination of C-ITS adoption numbers is valuable for a number of stakeholders, such as national and local governments, road authorities, technology providers and network operators. Additionally, penetration numbers allow Member States to ascertain to what extent C-ITS can contribute to the goal of zero traffic mortalities by 2050, as envisioned by the European Commission.</w:t>
      </w:r>
    </w:p>
    <w:p>
      <w:pPr>
        <w:pStyle w:val="Heading2"/>
      </w:pPr>
      <w:r>
        <w:t>731.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2020:</w:t>
      </w:r>
      <w:r>
        <w:t xml:space="preserve"> European Union Responses to the Covid-19 Pandemic: adaptability in times of Permanent Emergency — https://doi.org/10.1080/07036337.2020.1853120</w:t>
      </w:r>
    </w:p>
    <w:p>
      <w:pPr/>
      <w:r>
        <w:rPr>
          <w:b/>
        </w:rPr>
        <w:t>Shared claim-specific concepts:</w:t>
      </w:r>
      <w:r>
        <w:t xml:space="preserve"> permanent, across; EU scope visible. This is a provisional connection, not an outcome finding.</w:t>
      </w:r>
    </w:p>
    <w:p>
      <w:pPr>
        <w:pStyle w:val="SourceNote"/>
      </w:pPr>
      <w:r>
        <w:rPr>
          <w:b/>
        </w:rPr>
        <w:t>Available abstract (not full text):</w:t>
      </w:r>
      <w:r>
        <w:t xml:space="preserve">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pPr/>
      <w:r>
        <w:rPr>
          <w:b/>
        </w:rPr>
        <w:t>POSSIBLE 2018:</w:t>
      </w:r>
      <w:r>
        <w:t xml:space="preserve"> Projected shift of Köppen–Geiger zones in the central Europe: A first insight into the implications for ecosystems and the society — https://doi.org/10.1002/joc.5520</w:t>
      </w:r>
    </w:p>
    <w:p>
      <w:pPr/>
      <w:r>
        <w:rPr>
          <w:b/>
        </w:rPr>
        <w:t>Shared claim-specific concepts:</w:t>
      </w:r>
      <w:r>
        <w:t xml:space="preserve"> permanent, land; EU scope visible. This is a provisional connection, not an outcome finding.</w:t>
      </w:r>
    </w:p>
    <w:p>
      <w:pPr>
        <w:pStyle w:val="SourceNote"/>
      </w:pPr>
      <w:r>
        <w:rPr>
          <w:b/>
        </w:rPr>
        <w:t>Available abstract (not full text):</w:t>
      </w:r>
      <w:r>
        <w:t xml:space="preserve"> We examined a future change of Köppen–Geiger climate classification zones in central Europe in the 21st century using the high‐resolution (10 km) bias‐corrected simulations of two regional climate models following the IPCC SRES A1B emission scenario. Temperate oceanic climate (Cfb) will remain the dominant climate type in central Europe but it will extent into higher altitudes and replace boreal or colder climate types that will practically vanish by the end of the 21st century. There is a risk of large‐scale expansion of humid subtropical (Cfa) climate in lower altitudes where 20–50% of population lives nowadays. In the end of the century the majority of arable land and permanent crops areas will be in the Cfa zone. A growing occurrence of Cfa‐like or Mediterranean climate‐like (Csa) years will reach up to 50% at some locations where 1.4 million people live today. Almost all agriculturally important areas and two thirds of the current population will be exposed to the occurrence of Cfa‐ and Csa‐like years at least once in 10 years which may result into a lower production of rain‐fed crops as it was the case of of Cfa‐ and Csa‐like years of 2000, 2012 and 2015.</w:t>
      </w:r>
    </w:p>
    <w:p>
      <w:pPr>
        <w:pStyle w:val="Heading2"/>
      </w:pPr>
      <w:r>
        <w:t>732.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2022:</w:t>
      </w:r>
      <w:r>
        <w:t xml:space="preserve"> Life expectancy changes since COVID-19 — https://doi.org/10.1038/s41562-022-01450-3</w:t>
      </w:r>
    </w:p>
    <w:p>
      <w:pPr/>
      <w:r>
        <w:rPr>
          <w:b/>
        </w:rPr>
        <w:t>Shared claim-specific concepts:</w:t>
      </w:r>
      <w:r>
        <w:t xml:space="preserve"> life, expectancy, over, chile; EU scope visible. This is a provisional connection, not an outcome finding.</w:t>
      </w:r>
    </w:p>
    <w:p>
      <w:pPr>
        <w:pStyle w:val="SourceNote"/>
      </w:pPr>
      <w:r>
        <w:rPr>
          <w:b/>
        </w:rPr>
        <w:t>Available abstract (not full text):</w:t>
      </w:r>
      <w:r>
        <w:t xml:space="preserve">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pPr/>
      <w:r>
        <w:rPr>
          <w:b/>
        </w:rPr>
        <w:t>POSSIBLE 2021:</w:t>
      </w:r>
      <w:r>
        <w:t xml:space="preserve"> Inequality in life expectancies across Europe and the US — https://doi.org/10.1002/hec.4284</w:t>
      </w:r>
    </w:p>
    <w:p>
      <w:pPr/>
      <w:r>
        <w:rPr>
          <w:b/>
        </w:rPr>
        <w:t>Shared claim-specific concepts:</w:t>
      </w:r>
      <w:r>
        <w:t xml:space="preserve"> life, expectancy, advantage; EU scope visible. This is a provisional connection, not an outcome finding.</w:t>
      </w:r>
    </w:p>
    <w:p>
      <w:pPr>
        <w:pStyle w:val="SourceNote"/>
      </w:pPr>
      <w:r>
        <w:rPr>
          <w:b/>
        </w:rPr>
        <w:t>Available abstract (not full text):</w:t>
      </w:r>
      <w:r>
        <w:t xml:space="preserve">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pPr/>
      <w:r>
        <w:rPr>
          <w:b/>
        </w:rPr>
        <w:t>POSSIBLE 2021:</w:t>
      </w:r>
      <w:r>
        <w:t xml:space="preserve"> Quantifying impacts of the COVID-19 pandemic through life-expectancy losses: a population-level study of 29 countries — https://doi.org/10.1093/ije/dyab207</w:t>
      </w:r>
    </w:p>
    <w:p>
      <w:pPr/>
      <w:r>
        <w:rPr>
          <w:b/>
        </w:rPr>
        <w:t>Shared claim-specific concepts:</w:t>
      </w:r>
      <w:r>
        <w:t xml:space="preserve"> life, expectancy, chile; EU scope visible. This is a provisional connection, not an outcome finding.</w:t>
      </w:r>
    </w:p>
    <w:p>
      <w:pPr>
        <w:pStyle w:val="SourceNote"/>
      </w:pPr>
      <w:r>
        <w:rPr>
          <w:b/>
        </w:rPr>
        <w:t>Available abstract (not full text):</w:t>
      </w:r>
      <w:r>
        <w:t xml:space="preserve">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pPr/>
      <w:r>
        <w:rPr>
          <w:b/>
        </w:rPr>
        <w:t>POSSIBLE 2020:</w:t>
      </w:r>
      <w:r>
        <w:t xml:space="preserve"> The combined impact of smoking, obesity and alcohol on life-expectancy trends in Europe — https://doi.org/10.1093/ije/dyaa273</w:t>
      </w:r>
    </w:p>
    <w:p>
      <w:pPr/>
      <w:r>
        <w:rPr>
          <w:b/>
        </w:rPr>
        <w:t>Shared claim-specific concepts:</w:t>
      </w:r>
      <w:r>
        <w:t xml:space="preserve"> life, expectancy, over, men, increase, gains; EU scope visible. This is a provisional connection, not an outcome finding.</w:t>
      </w:r>
    </w:p>
    <w:p>
      <w:pPr>
        <w:pStyle w:val="SourceNote"/>
      </w:pPr>
      <w:r>
        <w:rPr>
          <w:b/>
        </w:rPr>
        <w:t>Available abstract (not full text):</w:t>
      </w:r>
      <w:r>
        <w:t xml:space="preserve">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pPr/>
      <w:r>
        <w:rPr>
          <w:b/>
        </w:rPr>
        <w:t>POSSIBLE 2020:</w:t>
      </w:r>
      <w:r>
        <w:t xml:space="preserve"> A comparative, correlate analysis and projection of global and regional life expectancy, healthy life expectancy, and their GAP: 1995-2025 — https://doi.org/10.7189/jogh.10.020407</w:t>
      </w:r>
    </w:p>
    <w:p>
      <w:pPr/>
      <w:r>
        <w:rPr>
          <w:b/>
        </w:rPr>
        <w:t>Shared claim-specific concepts:</w:t>
      </w:r>
      <w:r>
        <w:t xml:space="preserve"> life, expectancy, likely, increase; EU scope visible. This is a provisional connection, not an outcome finding.</w:t>
      </w:r>
    </w:p>
    <w:p>
      <w:pPr>
        <w:pStyle w:val="SourceNote"/>
      </w:pPr>
      <w:r>
        <w:rPr>
          <w:b/>
        </w:rPr>
        <w:t>Available abstract (not full text):</w:t>
      </w:r>
      <w:r>
        <w:t xml:space="preserve"> BACKGROUND: Life expectancy (LE) and healthy life expectancy (HALE) are indicators measuring the national health level. GAP is the difference between them. This study systematically analyzed and projected LE, HALE, and GAP across global regions from 1995 to 2025. METHODS: We obtained the data of 195 countries/regions on their LE, HALE, and influencing factors from 1995 to 2017. We compared the overall changes of LE, HALE, and GAP. Multiple linear regression analysis examined relationships among LE, HALE, GAP, and the associated factors. Using the Autoregressive Integrated Moving Average (ARIMA) model, we projected trends in LE, HALE, and GAP for 2017-2025. RESULTS: During 1995-2017, LE, HALE, and their GAP in 195 countries/regions in the world showed overall increasing trends. Global average LE increased from 66.20 to 72.98 years, HALE from 57.59 to 63.25 years, and GAP from 8.62 to 9.72 years. LE and HALE in North America, Europe, and Australia were generally higher, while Africa had the lowest rates. Females' LE, HALE, and GAP were all higher than males', but females' growth rates of LE and HALE were lower. Different factors were included to project LE, HALE, and GAP, respectively, and prediction results showed that approximately 18% of the 195 countries/regions might achieve improved LE and HALE and lower GAP. CONCLUSIONS: LE, HALE will likely continue to increase in most of</w:t>
      </w:r>
    </w:p>
    <w:p>
      <w:pPr/>
      <w:r>
        <w:rPr>
          <w:b/>
        </w:rPr>
        <w:t>POSSIBLE 2020:</w:t>
      </w:r>
      <w:r>
        <w:t xml:space="preserve"> Live longer, retire later? Developments of healthy life expectancies and working life expectancies between age 50–59 and age 60–69 in Europe — https://doi.org/10.1007/s10433-020-00592-5</w:t>
      </w:r>
    </w:p>
    <w:p>
      <w:pPr/>
      <w:r>
        <w:rPr>
          <w:b/>
        </w:rPr>
        <w:t>Shared claim-specific concepts:</w:t>
      </w:r>
      <w:r>
        <w:t xml:space="preserve"> life, expectancy, over, men, increase, sexes; EU scope visible. This is a provisional connection, not an outcome finding.</w:t>
      </w:r>
    </w:p>
    <w:p>
      <w:pPr>
        <w:pStyle w:val="SourceNote"/>
      </w:pPr>
      <w:r>
        <w:rPr>
          <w:b/>
        </w:rPr>
        <w:t>Available abstract (not full text):</w:t>
      </w:r>
      <w:r>
        <w:t xml:space="preserve"> Europe's population is ageing. Statutory retirement ages are commonly raised to account for continuous increases in life expectancy. In order to estimate the potential to increase statutory and consequently effective retirement ages further, in this study, we investigate the relationship between partial working life expectancy (WLE) and three health expectancies that represent health aspects important for work ability and employability between ages 50 and 59 as well as 60 and 69 for women and men in Europe. We also explore the association between these four indicators and the highest level of educational attainment. We apply Sullivan's method to estimate WLE and three selected measures that capture general, physical, and cognitive health status of older adults for 26 European countries since 2004. Over time, WLEs increased significantly in the younger age group for women and in the older age group for both sexes. The expected number of years in good physical health have continuously been higher than any of the other three indicators, while the expected number of years in good cognitive health have shown a noticeable increase over time. The investigation of the relationship between education and each life expectancy confirms the well-established positive correlation between education and economic activity as well as good health. Our results indicate potential to extend working l</w:t>
      </w:r>
    </w:p>
    <w:p>
      <w:pPr/>
      <w:r>
        <w:rPr>
          <w:b/>
        </w:rPr>
        <w:t>POSSIBLE 2020:</w:t>
      </w:r>
      <w:r>
        <w:t xml:space="preserve"> Dynamics of life expectancy and life span equality — https://doi.org/10.1073/pnas.1915884117</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As people live longer, ages at death are becoming more similar. This dual advance over the last two centuries, a central aim of public health policies, is a major achievement of modern civilization. Some recent exceptions to the joint rise of life expectancy and life span equality, however, make it difficult to determine the underlying causes of this relationship. Here, we develop a unifying framework to study life expectancy and life span equality over time, relying on concepts about the pace and shape of aging. We study the dynamic relationship between life expectancy and life span equality with reliable data from the Human Mortality Database for 49 countries and regions with emphasis on the long time series from Sweden. Our results demonstrate that both changes in life expectancy and life span equality are weighted totals of rates of progress in reducing mortality. This finding holds for three different measures of the variability of life spans. The weights evolve over time and indicate the ages at which reductions in mortality increase life expectancy and life span equality: the more progress at the youngest ages, the tighter the relationship. The link between life expectancy and life span equality is especially strong when life expectancy is less than 70 y. In recent decades, life expectancy and life span equality have occasionally moved in opposite directions due to large</w:t>
      </w:r>
    </w:p>
    <w:p>
      <w:pPr/>
      <w:r>
        <w:rPr>
          <w:b/>
        </w:rPr>
        <w:t>POSSIBLE 2019:</w:t>
      </w:r>
      <w:r>
        <w:t xml:space="preserve"> Fruit and vegetable consumption and its contribution to inequalities in life expectancy and disability-free life expectancy in ten European countries — https://doi.org/10.1007/s00038-019-01253-w</w:t>
      </w:r>
    </w:p>
    <w:p>
      <w:pPr/>
      <w:r>
        <w:rPr>
          <w:b/>
        </w:rPr>
        <w:t>Shared claim-specific concepts:</w:t>
      </w:r>
      <w:r>
        <w:t xml:space="preserve"> life, expectancy, men, country, two; EU scope visible. This is a provisional connection, not an outcome finding.</w:t>
      </w:r>
    </w:p>
    <w:p>
      <w:pPr>
        <w:pStyle w:val="SourceNote"/>
      </w:pPr>
      <w:r>
        <w:rPr>
          <w:b/>
        </w:rPr>
        <w:t>Available abstract (not full text):</w:t>
      </w:r>
      <w:r>
        <w:t xml:space="preserve"> OBJECTIVES: To assess to what extent educational differences in total life expectancy (TLE) and disability-free life expectancy (DFLE) could be reduced by improving fruit and vegetable consumption in ten European countries. METHODS: Data from national census or registries with mortality follow-up, EU-SILC, and ESS were used in two scenarios to calculate the impact: the upward levelling scenario (exposure in low educated equals exposure in high educated) and the elimination scenario (no exposure in both groups). Results are estimated for men and women between ages 35 and 79 years. RESULTS: Varying by country, upward levelling reduced inequalities in DFLE by 0.1-1.1 years (1-10%) in males, and by 0.0-1.3 years (0-18%) in females. Eliminating exposure reduced inequalities in DFLE between 0.6 and 1.7 years for males (6-15%), and between 0.1 years and 1.8 years for females (3-20%). CONCLUSIONS: Upward levelling of fruit and vegetable consumption would have a small, positive effect on both TLE and DFLE, and could potentially reduce inequalities in TLE and DFLE.</w:t>
      </w:r>
    </w:p>
    <w:p>
      <w:pPr>
        <w:pStyle w:val="Heading2"/>
      </w:pPr>
      <w:r>
        <w:t>733.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r>
        <w:rPr>
          <w:b/>
        </w:rPr>
        <w:t>POSSIBLE 2020:</w:t>
      </w:r>
      <w:r>
        <w:t xml:space="preserve"> Information Transparency: Approaches to Evaluation, Key Features, Trends — https://doi.org/10.26794/2408-9303-2019-6-6-6-23</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pPr/>
      <w:r>
        <w:rPr>
          <w:b/>
        </w:rPr>
        <w:t>POSSIBLE 2020:</w:t>
      </w:r>
      <w:r>
        <w:t xml:space="preserve"> EVALUATING PERFORMANCE OF REGULATORY ENFORCEMENT ACTIVITIES BY BUSINESSES: KEY TRENDS — https://doi.org/10.17323/1999-5431-2020-0-2-32-53</w:t>
      </w:r>
    </w:p>
    <w:p>
      <w:pPr/>
      <w:r>
        <w:rPr>
          <w:b/>
        </w:rPr>
        <w:t>Shared claim-specific concepts:</w:t>
      </w:r>
      <w:r>
        <w:t xml:space="preserve"> key, trends, regarding; EU scope not established. This is a provisional connection, not an outcome finding.</w:t>
      </w:r>
    </w:p>
    <w:p>
      <w:pPr>
        <w:pStyle w:val="SourceNote"/>
      </w:pPr>
      <w:r>
        <w:rPr>
          <w:b/>
        </w:rPr>
        <w:t>Available abstract (not full text):</w:t>
      </w:r>
      <w:r>
        <w:t xml:space="preserve">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734.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2022:</w:t>
      </w:r>
      <w:r>
        <w:t xml:space="preserve"> Evaluating Research Trends Using Key Term Occurrences and Multivariate Mann-Kendall Test — https://doi.org/10.1109/isetc56213.2022.10010222</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pPr/>
      <w:r>
        <w:rPr>
          <w:b/>
        </w:rPr>
        <w:t>POSSIBLE 2022:</w:t>
      </w:r>
      <w:r>
        <w:t xml:space="preserve"> EVALUATING QUALITY OF GOVERNMENT REGULATORY ENFORCEMENT AND INSPECTION ACTIVITY FROM THE VIEWPOINT OF PRIVAT BUSINESS: KEY TRENDS — https://doi.org/10.5281/zenodo.7333284</w:t>
      </w:r>
    </w:p>
    <w:p>
      <w:pPr/>
      <w:r>
        <w:rPr>
          <w:b/>
        </w:rPr>
        <w:t>Shared claim-specific concepts:</w:t>
      </w:r>
      <w:r>
        <w:t xml:space="preserve"> evaluate, key, trends, regarding; EU scope not established. This is a provisional connection, not an outcome finding.</w:t>
      </w:r>
    </w:p>
    <w:p>
      <w:pPr>
        <w:pStyle w:val="SourceNote"/>
      </w:pPr>
      <w:r>
        <w:rPr>
          <w:b/>
        </w:rPr>
        <w:t>Available abstract (not full text):</w:t>
      </w:r>
      <w:r>
        <w:t xml:space="preserve">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pPr/>
      <w:r>
        <w:rPr>
          <w:b/>
        </w:rPr>
        <w:t>POSSIBLE 2021:</w:t>
      </w:r>
      <w:r>
        <w:t xml:space="preserve"> Evaluating Trends and Issues in Distance Learning — https://doi.org/10.4018/978-1-7998-8047-9.ch098</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pPr/>
      <w:r>
        <w:rPr>
          <w:b/>
        </w:rPr>
        <w:t>POSSIBLE 2020:</w:t>
      </w:r>
      <w:r>
        <w:t xml:space="preserve"> Information Transparency: Approaches to Evaluation, Key Features, Trends — https://doi.org/10.26794/2408-9303-2019-6-6-6-23</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pPr/>
      <w:r>
        <w:rPr>
          <w:b/>
        </w:rPr>
        <w:t>POSSIBLE 2020:</w:t>
      </w:r>
      <w:r>
        <w:t xml:space="preserve"> EVALUATING PERFORMANCE OF REGULATORY ENFORCEMENT ACTIVITIES BY BUSINESSES: KEY TRENDS — https://doi.org/10.17323/1999-5431-2020-0-2-32-53</w:t>
      </w:r>
    </w:p>
    <w:p>
      <w:pPr/>
      <w:r>
        <w:rPr>
          <w:b/>
        </w:rPr>
        <w:t>Shared claim-specific concepts:</w:t>
      </w:r>
      <w:r>
        <w:t xml:space="preserve"> key, trends, regarding; EU scope not established. This is a provisional connection, not an outcome finding.</w:t>
      </w:r>
    </w:p>
    <w:p>
      <w:pPr>
        <w:pStyle w:val="SourceNote"/>
      </w:pPr>
      <w:r>
        <w:rPr>
          <w:b/>
        </w:rPr>
        <w:t>Available abstract (not full text):</w:t>
      </w:r>
      <w:r>
        <w:t xml:space="preserve">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735.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r>
        <w:rPr>
          <w:b/>
        </w:rPr>
        <w:t>POSSIBLE 2021:</w:t>
      </w:r>
      <w:r>
        <w:t xml:space="preserve"> Ordering global governance complexes: The evolution of the governance complex for international civil aviation — https://doi.org/10.1007/s11558-020-09411-z</w:t>
      </w:r>
    </w:p>
    <w:p>
      <w:pPr/>
      <w:r>
        <w:rPr>
          <w:b/>
        </w:rPr>
        <w:t>Shared claim-specific concepts:</w:t>
      </w:r>
      <w:r>
        <w:t xml:space="preserve"> governance, complex, often, conflict; EU scope not established. This is a provisional connection, not an outcome finding.</w:t>
      </w:r>
    </w:p>
    <w:p>
      <w:pPr>
        <w:pStyle w:val="SourceNote"/>
      </w:pPr>
      <w:r>
        <w:rPr>
          <w:b/>
        </w:rPr>
        <w:t>Available abstract (not full text):</w:t>
      </w:r>
      <w:r>
        <w:t xml:space="preserve">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pPr/>
      <w:r>
        <w:rPr>
          <w:b/>
        </w:rPr>
        <w:t>POSSIBLE 2020:</w:t>
      </w:r>
      <w:r>
        <w:t xml:space="preserve"> The Quality of Governance in Europe: A Guide for the Perplexed — https://openalex.org/W3128833016</w:t>
      </w:r>
    </w:p>
    <w:p>
      <w:pPr/>
      <w:r>
        <w:rPr>
          <w:b/>
        </w:rPr>
        <w:t>Shared claim-specific concepts:</w:t>
      </w:r>
      <w:r>
        <w:t xml:space="preserve"> observe, governance, complex; EU scope visible. This is a provisional connection, not an outcome finding.</w:t>
      </w:r>
    </w:p>
    <w:p>
      <w:pPr>
        <w:pStyle w:val="SourceNote"/>
      </w:pPr>
      <w:r>
        <w:rPr>
          <w:b/>
        </w:rPr>
        <w:t>Available abstract (not full text):</w:t>
      </w:r>
      <w:r>
        <w:t xml:space="preserve">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pPr/>
      <w:r>
        <w:rPr>
          <w:b/>
        </w:rPr>
        <w:t>POSSIBLE 2019:</w:t>
      </w:r>
      <w:r>
        <w:t xml:space="preserve"> European Governance in Adult Education — https://doi.org/10.3384/rela.2000-7426.ojs844</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pStyle w:val="Heading2"/>
      </w:pPr>
      <w:r>
        <w:t>736.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three, climate, circulation;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A probabilistic climate change assessment for Europe — https://doi.org/10.1002/joc.7604</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Quantification of the carbon intensity of electricity produced and used in Europe — https://doi.org/10.1016/j.apenergy.2021.117901</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The EU has a comprehensive legislation to facilitate the energy transition towards a low carbon energy system and achieve the EU’s Paris Agreement commitments for reducing greenhouse gas emissions. The European Green Deal is an integral part of the EU strategy for a sustainable and climate neutral economy by 2050. The decarbonisation of the power generation is essential to achieve the goal of decarbonising the energy and transport sectors. This paper presents a study conducted to quantify the carbon emissions associated to the production of electricity produced and used in European countries, based on a comprehensive methodology developed for this purpose. A spreadsheet model has been developed that considers the various sources for electricity generation, the type of plants, conversion efficiencies, upstream emissions and emissions from power plant construction, as well as the electricity trade. The results show the greenhouse gas emissions from the production and use of electricity in all European countries, revealing significant variations between countries. The carbon intensity of electricity shows a clear reduction trend since 1990, for most of the European countries. In the European Union, carbon intensity of electricity used at low voltage degreased from 641 gCO2eq/kWh in 1990 to 334 gCO2eq/kWh in 2019, and this trend is expected to continue in the coming years.</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Quantifying the resilience of European farms using FADN — https://doi.org/10.1093/erae/jbab042</w:t>
      </w:r>
    </w:p>
    <w:p>
      <w:pPr/>
      <w:r>
        <w:rPr>
          <w:b/>
        </w:rPr>
        <w:t>Shared claim-specific concepts:</w:t>
      </w:r>
      <w:r>
        <w:t xml:space="preserve"> quantify, general; EU scope visible. This is a provisional connection, not an outcome finding.</w:t>
      </w:r>
    </w:p>
    <w:p>
      <w:pPr>
        <w:pStyle w:val="SourceNote"/>
      </w:pPr>
      <w:r>
        <w:rPr>
          <w:b/>
        </w:rPr>
        <w:t>Available abstract (not full text):</w:t>
      </w:r>
      <w:r>
        <w:t xml:space="preserve"> Abstract Agricultural policymakers call for the operationalisation of farm resilience as a dynamic concept. Therefore, we quantify farm resilience along the dimensions of robustness, adaptation and transformation. Using the rich Farm Accountancy Data Network panel data set, we explore which farm(er) characteristics affect resilience. We employ a control function approach to address the presence of endogeneity in correlated random effects (fractional) probit models. In general, we find that decoupled payments negatively affect robustness, while rural development payments have a positive effect on robustness. Both decoupled and rural development payments have no effect on adaptation and transformation in most European regions.</w:t>
      </w:r>
    </w:p>
    <w:p>
      <w:pPr/>
      <w:r>
        <w:rPr>
          <w:b/>
        </w:rPr>
        <w:t>POSSIBLE 2020:</w:t>
      </w:r>
      <w:r>
        <w:t xml:space="preserve"> Flood trends in Europe: are changes in small and big floods different? — https://doi.org/10.5194/hess-24-1805-2020</w:t>
      </w:r>
    </w:p>
    <w:p>
      <w:pPr/>
      <w:r>
        <w:rPr>
          <w:b/>
        </w:rPr>
        <w:t>Shared claim-specific concepts:</w:t>
      </w:r>
      <w:r>
        <w:t xml:space="preserve"> quantify, three, period;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Black locust (Robinia pseudoacaciaL.) range contraction and expansion in Europe under changing climate — https://doi.org/10.1111/gcb.15486</w:t>
      </w:r>
    </w:p>
    <w:p>
      <w:pPr/>
      <w:r>
        <w:rPr>
          <w:b/>
        </w:rPr>
        <w:t>Shared claim-specific concepts:</w:t>
      </w:r>
      <w:r>
        <w:t xml:space="preserve"> aimed, quantify, forest, tree, species, climate; EU scope visible. This is a provisional connection, not an outcome finding.</w:t>
      </w:r>
    </w:p>
    <w:p>
      <w:pPr>
        <w:pStyle w:val="SourceNote"/>
      </w:pPr>
      <w:r>
        <w:rPr>
          <w:b/>
        </w:rPr>
        <w:t>Available abstract (not full text):</w:t>
      </w:r>
      <w:r>
        <w:t xml:space="preserve">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pPr/>
      <w:r>
        <w:rPr>
          <w:b/>
        </w:rPr>
        <w:t>POSSIBLE 2019:</w:t>
      </w:r>
      <w:r>
        <w:t xml:space="preserve"> Climate change, reforestation/afforestation, and urbanization impacts on evapotranspiration and streamflow in Europe — https://doi.org/10.5194/hess-23-3631-2019</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pPr/>
      <w:r>
        <w:rPr>
          <w:b/>
        </w:rPr>
        <w:t>POSSIBLE 2019:</w:t>
      </w:r>
      <w:r>
        <w:t xml:space="preserve"> Postglacial change of the floristic diversity gradient in Europe — https://doi.org/10.1038/s41467-019-13233-y</w:t>
      </w:r>
    </w:p>
    <w:p>
      <w:pPr/>
      <w:r>
        <w:rPr>
          <w:b/>
        </w:rPr>
        <w:t>Shared claim-specific concepts:</w:t>
      </w:r>
      <w:r>
        <w:t xml:space="preserve"> species, climate, period; EU scope visible. This is a provisional connection, not an outcome finding.</w:t>
      </w:r>
    </w:p>
    <w:p>
      <w:pPr>
        <w:pStyle w:val="SourceNote"/>
      </w:pPr>
      <w:r>
        <w:rPr>
          <w:b/>
        </w:rPr>
        <w:t>Available abstract (not full text):</w:t>
      </w:r>
      <w:r>
        <w:t xml:space="preserve"> Climate warming is expected to cause a poleward spread of species, resulting in increased richness at mid to high latitudes and weakening the latitudinal diversity gradient. We used pollen data to test if such a change in the latitudinal diversity gradient occurred during the last major poleward shift of plant species in Europe following the end of the last glacial period. In contrast to expectations, the slope of the gradient strengthened during the Holocene. The increase in temperatures around 10 ka ago reduced diversity at mid to high latitude sites due to the gradual closure of forests. Deforestation and the introduction of agriculture during the last 5 ky had a greater impact on richness in central Europe than the earlier climate warming. These results do not support the current view that global warming alone will lead to a loss in biodiversity, and demonstrate that non-climatic human impacts on the latitudinal diversity gradient is of a greater magnitude than climate change.</w:t>
      </w:r>
    </w:p>
    <w:p>
      <w:pPr>
        <w:pStyle w:val="Heading2"/>
      </w:pPr>
      <w:r>
        <w:t>737.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r>
        <w:rPr>
          <w:b/>
        </w:rPr>
        <w:t>POSSIBLE 2024:</w:t>
      </w:r>
      <w:r>
        <w:t xml:space="preserve"> Atmospheric circulation associated with 3D heat wave types in Middle Europe — https://doi.org/10.5194/ems2024-343</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pPr/>
      <w:r>
        <w:rPr>
          <w:b/>
        </w:rPr>
        <w:t>POSSIBLE 2024:</w:t>
      </w:r>
      <w:r>
        <w:t xml:space="preserve"> The role of atmospheric circulation in explaining the summer extreme temperature trends over Europe — https://doi.org/10.5194/ems2024-1069</w:t>
      </w:r>
    </w:p>
    <w:p>
      <w:pPr/>
      <w:r>
        <w:rPr>
          <w:b/>
        </w:rPr>
        <w:t>Shared claim-specific concepts:</w:t>
      </w:r>
      <w:r>
        <w:t xml:space="preserve"> differences, atmospheric, circulation, different, historical, representative; EU scope visible. This is a provisional connection, not an outcome finding.</w:t>
      </w:r>
    </w:p>
    <w:p>
      <w:pPr>
        <w:pStyle w:val="SourceNote"/>
      </w:pPr>
      <w:r>
        <w:rPr>
          <w:b/>
        </w:rPr>
        <w:t>Available abstract (not full text):</w:t>
      </w:r>
      <w:r>
        <w:t xml:space="preserve">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differences, atmospheric, circulation, different, concentration, forcing;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Trends in drought across Europe and their links to atmospheric circulation — https://doi.org/10.5194/egusphere-egu23-6124</w:t>
      </w:r>
    </w:p>
    <w:p>
      <w:pPr/>
      <w:r>
        <w:rPr>
          <w:b/>
        </w:rPr>
        <w:t>Shared claim-specific concepts:</w:t>
      </w:r>
      <w:r>
        <w:t xml:space="preserve"> atmospheric, circulation, sea, level, pressure, identified; EU scope visible. This is a provisional connection, not an outcome finding.</w:t>
      </w:r>
    </w:p>
    <w:p>
      <w:pPr>
        <w:pStyle w:val="SourceNote"/>
      </w:pPr>
      <w:r>
        <w:rPr>
          <w:b/>
        </w:rPr>
        <w:t>Available abstract (not full text):</w:t>
      </w:r>
      <w:r>
        <w:t xml:space="preserve">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pPr/>
      <w:r>
        <w:rPr>
          <w:b/>
        </w:rPr>
        <w:t>POSSIBLE 2023:</w:t>
      </w:r>
      <w:r>
        <w:t xml:space="preserve"> Links between major heat waves, drought, and atmospheric circulation in Central Europe — https://doi.org/10.5194/ems2023-430</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pPr/>
      <w:r>
        <w:rPr>
          <w:b/>
        </w:rPr>
        <w:t>POSSIBLE 2023:</w:t>
      </w:r>
      <w:r>
        <w:t xml:space="preserve"> Stratospheric water vapor affecting atmospheric circulation — https://doi.org/10.1038/s41467-023-39559-2</w:t>
      </w:r>
    </w:p>
    <w:p>
      <w:pPr/>
      <w:r>
        <w:rPr>
          <w:b/>
        </w:rPr>
        <w:t>Shared claim-specific concepts:</w:t>
      </w:r>
      <w:r>
        <w:t xml:space="preserve"> atmospheric, circulation; EU scope not established. This is a provisional connection, not an outcome finding.</w:t>
      </w:r>
    </w:p>
    <w:p>
      <w:pPr>
        <w:pStyle w:val="SourceNote"/>
      </w:pPr>
      <w:r>
        <w:rPr>
          <w:b/>
        </w:rPr>
        <w:t>Available abstract (not full text):</w:t>
      </w:r>
      <w:r>
        <w:t xml:space="preserve"> Water vapor plays an important role in many aspects of the climate system, by affecting radiation, cloud formation, atmospheric chemistry and dynamics. Even the low stratospheric water vapor content provides an important climate feedback, but current climate models show a substantial moist bias in the lowermost stratosphere. Here we report crucial sensitivity of the atmospheric circulation in the stratosphere and troposphere to the abundance of water vapor in the lowermost stratosphere. We show from a mechanistic climate model experiment and inter-model variability that lowermost stratospheric water vapor decreases local temperatures, and thereby causes an upward and poleward shift of subtropical jets, a strengthening of the stratospheric circulation, a poleward shift of the tropospheric eddy-driven jet and regional climate impacts. The mechanistic model experiment in combination with atmospheric observations further shows that the prevailing moist bias in current models is likely caused by the transport scheme, and can be alleviated by employing a less diffusive Lagrangian scheme. The related effects on atmospheric circulation are of similar magnitude as climate change effects. Hence, lowermost stratospheric water vapor exerts a first order effect on atmospheric circulation and improving its representation in models offers promising prospects for future research.</w:t>
      </w:r>
    </w:p>
    <w:p>
      <w:pPr/>
      <w:r>
        <w:rPr>
          <w:b/>
        </w:rPr>
        <w:t>POSSIBLE 2023:</w:t>
      </w:r>
      <w:r>
        <w:t xml:space="preserve"> Atmospheric circulation compounds anthropogenic warming and impacts of climate extremes in Europe — https://doi.org/10.1073/pnas.2214525120</w:t>
      </w:r>
    </w:p>
    <w:p>
      <w:pPr/>
      <w:r>
        <w:rPr>
          <w:b/>
        </w:rPr>
        <w:t>Shared claim-specific concepts:</w:t>
      </w:r>
      <w:r>
        <w:t xml:space="preserve"> atmospheric, circulation, statistically, significant, anthropogenic, identified; EU scope visible. This is a provisional connection, not an outcome finding.</w:t>
      </w:r>
    </w:p>
    <w:p>
      <w:pPr>
        <w:pStyle w:val="SourceNote"/>
      </w:pPr>
      <w:r>
        <w:rPr>
          <w:b/>
        </w:rPr>
        <w:t>Available abstract (not full text):</w:t>
      </w:r>
      <w:r>
        <w:t xml:space="preserve"> Diagnosing dynamical changes in the climate system, such as those in atmospheric circulation patterns, remains challenging. Here, we study 1950 to 2021 trends in the frequency of occurrence of atmospheric circulation patterns over the North Atlantic. Roughly 7% of atmospheric circulation patterns display significant occurrence trends, yet they have major impacts on surface climate. Increasingly frequent patterns drive heatwaves across Europe and enhanced wintertime storminess in the northern part of the continent. Over 91% of recent heatwave-related deaths and 33% of high-impact windstorms in Europe were concurrent with increasingly frequent atmospheric circulation patterns. While the trends identified are statistically significant, they are not necessarily anthropogenic. Atmospheric patterns which are becoming rarer correspond instead to wet, cool summer conditions over northern Europe and wet winter conditions over continental Europe. The combined effect of these circulation changes is that of a strong, dynamically driven year-round warming over most of the continent and large regional and seasonal changes in precipitation and surface wind.</w:t>
      </w:r>
    </w:p>
    <w:p>
      <w:pPr/>
      <w:r>
        <w:rPr>
          <w:b/>
        </w:rPr>
        <w:t>POSSIBLE 2022:</w:t>
      </w:r>
      <w:r>
        <w:t xml:space="preserve"> Bistability of the Atmospheric Circulation on TRAPPIST-1e — https://doi.org/10.3847/psj/ac83be</w:t>
      </w:r>
    </w:p>
    <w:p>
      <w:pPr/>
      <w:r>
        <w:rPr>
          <w:b/>
        </w:rPr>
        <w:t>Shared claim-specific concepts:</w:t>
      </w:r>
      <w:r>
        <w:t xml:space="preserve"> differences, atmospheric, circulation, different, level, multimodel; EU scope not established. This is a provisional connection, not an outcome finding.</w:t>
      </w:r>
    </w:p>
    <w:p>
      <w:pPr>
        <w:pStyle w:val="SourceNote"/>
      </w:pPr>
      <w:r>
        <w:rPr>
          <w:b/>
        </w:rPr>
        <w:t>Available abstract (not full text):</w:t>
      </w:r>
      <w:r>
        <w:t xml:space="preserve"> Abstract Using a 3D general circulation model, we demonstrate that a confirmed rocky exoplanet and a primary observational target, TRAPPIST-1e presents an interesting case of climate bistability. We find that the atmospheric circulation on TRAPPIST-1e can exist in two distinct regimes for a 1 bar nitrogen-dominated atmosphere. One is characterized by a single strong equatorial prograde jet and a large day–night temperature difference; the other is characterized by a pair of mid-latitude prograde jets and a relatively small day–night contrast. The circulation regime appears to be highly sensitive to the model setup, including initial and surface boundary conditions, as well as physical parameterizations of convection and cloud radiative effects. We focus on the emergence of the atmospheric circulation during the early stages of simulations and show that the regime bistability is associated with a delicate balance between the zonally asymmetric heating, mean overturning circulation, and mid-latitude baroclinic instability. The relative strength of these processes places the GCM simulations on different branches of the evolution of atmospheric dynamics. The resulting steady states of the two regimes have consistent differences in the amount of water content and clouds, affecting the water absorption bands as well as the continuum level in the transmission spectrum, although they a</w:t>
      </w:r>
    </w:p>
    <w:p>
      <w:pPr/>
      <w:r>
        <w:rPr>
          <w:b/>
        </w:rPr>
        <w:t>POSSIBLE 2021:</w:t>
      </w:r>
      <w:r>
        <w:t xml:space="preserve"> Improved atmospheric circulation over Europe by the new generation of CMIP6 earth system models — https://doi.org/10.1007/s00382-021-05652-9</w:t>
      </w:r>
    </w:p>
    <w:p>
      <w:pPr/>
      <w:r>
        <w:rPr>
          <w:b/>
        </w:rPr>
        <w:t>Shared claim-specific concepts:</w:t>
      </w:r>
      <w:r>
        <w:t xml:space="preserve"> atmospheric, circulation; EU scope visible. This is a provisional connection, not an outcome finding.</w:t>
      </w:r>
    </w:p>
    <w:p>
      <w:pPr>
        <w:pStyle w:val="SourceNote"/>
      </w:pPr>
      <w:r>
        <w:rPr>
          <w:b/>
        </w:rPr>
        <w:t>Available abstract (not full text):</w:t>
      </w:r>
      <w:r>
        <w:t xml:space="preserve"> Unavailable</w:t>
      </w:r>
    </w:p>
    <w:p>
      <w:pPr>
        <w:pStyle w:val="Heading2"/>
      </w:pPr>
      <w:r>
        <w:t>738.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2019:</w:t>
      </w:r>
      <w:r>
        <w:t xml:space="preserve"> The Ability of Preschoolers to Use Ideas About Other’s Knowledge and the Ways of Changing It — https://doi.org/10.17759/cpse.2019080206</w:t>
      </w:r>
    </w:p>
    <w:p>
      <w:pPr/>
      <w:r>
        <w:rPr>
          <w:b/>
        </w:rPr>
        <w:t>Shared claim-specific concepts:</w:t>
      </w:r>
      <w:r>
        <w:t xml:space="preserve"> contrast, changing, ideas, thinking, about; EU scope not established. This is a provisional connection, not an outcome finding.</w:t>
      </w:r>
    </w:p>
    <w:p>
      <w:pPr>
        <w:pStyle w:val="SourceNote"/>
      </w:pPr>
      <w:r>
        <w:rPr>
          <w:b/>
        </w:rPr>
        <w:t>Available abstract (not full text):</w:t>
      </w:r>
      <w:r>
        <w:t xml:space="preserve">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pPr/>
      <w:r>
        <w:rPr>
          <w:b/>
        </w:rPr>
        <w:t>POSSIBLE 2019:</w:t>
      </w:r>
      <w:r>
        <w:t xml:space="preserve"> Transformations: Change from Learning to Growth — https://doi.org/10.4324/9780429400803-14</w:t>
      </w:r>
    </w:p>
    <w:p>
      <w:pPr/>
      <w:r>
        <w:rPr>
          <w:b/>
        </w:rPr>
        <w:t>Shared claim-specific concepts:</w:t>
      </w:r>
      <w:r>
        <w:t xml:space="preserve"> contrast, ideas, practice; EU scope not established. This is a provisional connection, not an outcome finding.</w:t>
      </w:r>
    </w:p>
    <w:p>
      <w:pPr>
        <w:pStyle w:val="SourceNote"/>
      </w:pPr>
      <w:r>
        <w:rPr>
          <w:b/>
        </w:rPr>
        <w:t>Available abstract (not full text):</w:t>
      </w:r>
      <w:r>
        <w:t xml:space="preserve">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pPr/>
      <w:r>
        <w:rPr>
          <w:b/>
        </w:rPr>
        <w:t>POSSIBLE 2018:</w:t>
      </w:r>
      <w:r>
        <w:t xml:space="preserve"> Arctic and Antarctic Sea Ice Change: Contrasts, Commonalities, and Causes — https://doi.org/10.1146/annurev-marine-010816-060610</w:t>
      </w:r>
    </w:p>
    <w:p>
      <w:pPr/>
      <w:r>
        <w:rPr>
          <w:b/>
        </w:rPr>
        <w:t>Shared claim-specific concepts:</w:t>
      </w:r>
      <w:r>
        <w:t xml:space="preserve"> contrast, largely, processes; EU scope not established. This is a provisional connection, not an outcome finding.</w:t>
      </w:r>
    </w:p>
    <w:p>
      <w:pPr>
        <w:pStyle w:val="SourceNote"/>
      </w:pPr>
      <w:r>
        <w:rPr>
          <w:b/>
        </w:rPr>
        <w:t>Available abstract (not full text):</w:t>
      </w:r>
      <w:r>
        <w:t xml:space="preserve">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739.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2022:</w:t>
      </w:r>
      <w:r>
        <w:t xml:space="preserve"> An Improved Spatiotemporal Weighted Mean Temperature Model over Europe Based on the Nonlinear Least Squares Estimation Method — https://doi.org/10.3390/rs14153609</w:t>
      </w:r>
    </w:p>
    <w:p>
      <w:pPr/>
      <w:r>
        <w:rPr>
          <w:b/>
        </w:rPr>
        <w:t>Shared claim-specific concepts:</w:t>
      </w:r>
      <w:r>
        <w:t xml:space="preserve"> weighted, average, based, respectively; EU scope visible. This is a provisional connection, not an outcome finding.</w:t>
      </w:r>
    </w:p>
    <w:p>
      <w:pPr>
        <w:pStyle w:val="SourceNote"/>
      </w:pPr>
      <w:r>
        <w:rPr>
          <w:b/>
        </w:rPr>
        <w:t>Available abstract (not full text):</w:t>
      </w:r>
      <w:r>
        <w:t xml:space="preserve">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pPr/>
      <w:r>
        <w:rPr>
          <w:b/>
        </w:rPr>
        <w:t>POSSIBLE 2022:</w:t>
      </w:r>
      <w:r>
        <w:t xml:space="preserve"> Political Imaginaries of the Weighted Average Cost of Capital: A Conceptual Analysis — https://doi.org/10.3384/vs.2001-5992.2021.8.2.5-36</w:t>
      </w:r>
    </w:p>
    <w:p>
      <w:pPr/>
      <w:r>
        <w:rPr>
          <w:b/>
        </w:rPr>
        <w:t>Shared claim-specific concepts:</w:t>
      </w:r>
      <w:r>
        <w:t xml:space="preserve"> weighted, average, capital, produced, minimum; EU scope not established. This is a provisional connection, not an outcome finding.</w:t>
      </w:r>
    </w:p>
    <w:p>
      <w:pPr>
        <w:pStyle w:val="SourceNote"/>
      </w:pPr>
      <w:r>
        <w:rPr>
          <w:b/>
        </w:rPr>
        <w:t>Available abstract (not full text):</w:t>
      </w:r>
      <w:r>
        <w:t xml:space="preserve">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pPr/>
      <w:r>
        <w:rPr>
          <w:b/>
        </w:rPr>
        <w:t>POSSIBLE 2021:</w:t>
      </w:r>
      <w:r>
        <w:t xml:space="preserve"> Does it pay to be environmentally responsible? Investigating the effect on the weighted average cost of capital — https://doi.org/10.1002/csr.2164</w:t>
      </w:r>
    </w:p>
    <w:p>
      <w:pPr/>
      <w:r>
        <w:rPr>
          <w:b/>
        </w:rPr>
        <w:t>Shared claim-specific concepts:</w:t>
      </w:r>
      <w:r>
        <w:t xml:space="preserve"> show, weighted, average, capital, wacc; EU scope visible. This is a provisional connection, not an outcome finding.</w:t>
      </w:r>
    </w:p>
    <w:p>
      <w:pPr>
        <w:pStyle w:val="SourceNote"/>
      </w:pPr>
      <w:r>
        <w:rPr>
          <w:b/>
        </w:rPr>
        <w:t>Available abstract (not full text):</w:t>
      </w:r>
      <w:r>
        <w:t xml:space="preserve"> Abstract This research aims at investigating the effect of firms' environmental policies on the weighted average cost of capital (WACC) in order to catch capital markets' reaction towards corporate environmental commitment and effectiveness in reducing carbon emissions. We refer to the European market and analysed a sample of companies listed on the Stoxx Europe 600 Index during the timeframe 2014–2018. Our results show that capital markets have become particularly sensitive to environmental issues and therefore reward environmentally virtuous firms with a lower after tax WACC. We also argue that this effect is prominent for both high emitting and low emitting industries.</w:t>
      </w:r>
    </w:p>
    <w:p>
      <w:pPr/>
      <w:r>
        <w:rPr>
          <w:b/>
        </w:rPr>
        <w:t>POSSIBLE 2020:</w:t>
      </w:r>
      <w:r>
        <w:t xml:space="preserve"> Reliability Ensemble Averaging (REA) of the European regional climate change — https://doi.org/10.5194/egusphere-egu2020-10048</w:t>
      </w:r>
    </w:p>
    <w:p>
      <w:pPr/>
      <w:r>
        <w:rPr>
          <w:b/>
        </w:rPr>
        <w:t>Shared claim-specific concepts:</w:t>
      </w:r>
      <w:r>
        <w:t xml:space="preserve"> show, weighted, average; EU scope visible. This is a provisional connection, not an outcome finding.</w:t>
      </w:r>
    </w:p>
    <w:p>
      <w:pPr>
        <w:pStyle w:val="SourceNote"/>
      </w:pPr>
      <w:r>
        <w:rPr>
          <w:b/>
        </w:rPr>
        <w:t>Available abstract (not full text):</w:t>
      </w:r>
      <w:r>
        <w:t xml:space="preserve"> The Reliability Ensemble Averaging (REA) method calculates average, uncertainty range and a measure of reliability of simulated regional climate changes from ensembles of different model simulations. The REA method is applied to mean seasonal temperature and precipitation changes in three different European spatial regimes in the period 2041-2060 and 2081-2100 relative to the reference period 1995-2014. Regional ensemble results of 55 scenario simulations for the RCP8.5 and RCP2.6 at 0.11 degree resolution over the common EURO-CORDEX domain, using 8 GCMs and 11 RCMs, are compared with the driving CMIP5 global models. For each region we show the median and the 25th-75th and 5th-95th percentile spreads of the weighted temperature and precipitation change. The spread of the changes (both 25th-75th and 5th-95th percentiles) are strongly reduced by the weightening as expected, while the best estimate changes (median) of the projection ranges varies according to the region and the season. The method is also applied to evaluate the reliability of the extreme precipitation simulations.</w:t>
      </w:r>
    </w:p>
    <w:p>
      <w:pPr/>
      <w:r>
        <w:rPr>
          <w:b/>
        </w:rPr>
        <w:t>POSSIBLE 2019:</w:t>
      </w:r>
      <w:r>
        <w:t xml:space="preserve"> Impact of weighted average cost of capital, capital expenditure, and other parameters on future utility‐scale PV levelised cost of electricity — https://doi.org/10.1002/pip.3189</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Abstract Solar photovoltaics (PV) is already the cheapest form of electricity generation in many countries and market segments. Market prices of PV modules and systems have developed so fast that it is difficult to find reliable up to date public data on real PV capital (CAPEX) and operational expenditures (OPEX) on which to base the levelised cost of electricity (LCOE) calculations. This paper projects the future utility‐scale PV LCOE until 2050 in several European countries. It uses the most recent and best available public input data for the PV LCOE calculations and future projections. Utility‐scale PV LCOE in 2019 in Europe with 7% nominal weighted average cost of capital (WACC) ranges from 24 €/MWh in Malaga to 42 €/MWh in Helsinki. This is remarkable since the average electricity day‐ahead market price in Finland was 47 €/MWh and in Spain 57 €/MWh in 2018. This means that PV is already cheaper than average spot market electricity all over Europe. By 2030, PV LCOE will range from 14 €/MWh in Malaga to 24 €/MWh in Helsinki with 7% nominal WACC. This range will be 9 to 15 €/MWh by 2050, making PV clearly the cheapest form of electricity generation everywhere. Sensitivity analysis shows that apart from location, WACC is the most important input parameter in the calculation of PV LCOE. Increasing nominal WACC from 2 to 10% will double the LCOE. Changes in PV CAPEX and OPEX, le</w:t>
      </w:r>
    </w:p>
    <w:p>
      <w:pPr/>
      <w:r>
        <w:rPr>
          <w:b/>
        </w:rPr>
        <w:t>POSSIBLE 2018:</w:t>
      </w:r>
      <w:r>
        <w:t xml:space="preserve"> Monitoring compositional data using multivariate exponentially weighted moving average scheme — https://doi.org/10.1002/qre.2260</w:t>
      </w:r>
    </w:p>
    <w:p>
      <w:pPr/>
      <w:r>
        <w:rPr>
          <w:b/>
        </w:rPr>
        <w:t>Shared claim-specific concepts:</w:t>
      </w:r>
      <w:r>
        <w:t xml:space="preserve"> show, weighted, average, based; EU scope visible. This is a provisional connection, not an outcome finding.</w:t>
      </w:r>
    </w:p>
    <w:p>
      <w:pPr>
        <w:pStyle w:val="SourceNote"/>
      </w:pPr>
      <w:r>
        <w:rPr>
          <w:b/>
        </w:rPr>
        <w:t>Available abstract (not full text):</w:t>
      </w:r>
      <w:r>
        <w:t xml:space="preserve"> Abstract Recently, the monitoring of compositional data by means of control charts has been investigated in the statistical process control literature. In this article, we develop a Phase II multivariate exponentially weighted moving average control chart, for the continuous surveillance of compositional data based on a transformation into coordinate representation. We use a Markov chain approximation to determine the performance of the proposed multivariate control chart. The optimal multivariate exponentially weighted moving average smoothing constants, control limits, and out‐of‐control average run lengths have been computed for different combinations of the in‐control average run lengths and the number of variables. Several tables are presented and enumerated to show the statistical performance of the proposed control chart. An example illustrates the use of this chart on an industrial problem from a plant in Europe.</w:t>
      </w:r>
    </w:p>
    <w:p>
      <w:pPr>
        <w:pStyle w:val="Heading2"/>
      </w:pPr>
      <w:r>
        <w:t>740.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Environmental Investments and Climate Change: How Environmental Protection Expenditure and Gross Domestic Product Affect Emissions in the European Union — https://doi.org/10.13044/j.sdewes.d12.0528</w:t>
      </w:r>
    </w:p>
    <w:p>
      <w:pPr/>
      <w:r>
        <w:rPr>
          <w:b/>
        </w:rPr>
        <w:t>Shared claim-specific concepts:</w:t>
      </w:r>
      <w:r>
        <w:t xml:space="preserve"> climate, affect, many, increased; EU scope visible. This is a provisional connection, not an outcome finding.</w:t>
      </w:r>
    </w:p>
    <w:p>
      <w:pPr>
        <w:pStyle w:val="SourceNote"/>
      </w:pPr>
      <w:r>
        <w:rPr>
          <w:b/>
        </w:rPr>
        <w:t>Available abstract (not full text):</w:t>
      </w:r>
      <w:r>
        <w:t xml:space="preserve">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pPr/>
      <w:r>
        <w:rPr>
          <w:b/>
        </w:rPr>
        <w:t>POSSIBLE 2023:</w:t>
      </w:r>
      <w:r>
        <w:t xml:space="preserve"> Will Climate Change Affect the Disease Progression of Septoria Tritici Blotch in Northern Europe? — https://doi.org/10.3390/agronomy13041005</w:t>
      </w:r>
    </w:p>
    <w:p>
      <w:pPr/>
      <w:r>
        <w:rPr>
          <w:b/>
        </w:rPr>
        <w:t>Shared claim-specific concepts:</w:t>
      </w:r>
      <w:r>
        <w:t xml:space="preserve"> climate, affect, distribution, increased, single; EU scope visible. This is a provisional connection, not an outcome finding.</w:t>
      </w:r>
    </w:p>
    <w:p>
      <w:pPr>
        <w:pStyle w:val="SourceNote"/>
      </w:pPr>
      <w:r>
        <w:rPr>
          <w:b/>
        </w:rPr>
        <w:t>Available abstract (not full text):</w:t>
      </w:r>
      <w:r>
        <w:t xml:space="preserve"> Septoria tritici blotch (STB), caused by the fungus Zymoseptoria tritici Desm., is the most important disease affecting wheat in Northern Europe. There is a strong correlation between STB and weather variables; therefore, research on climate change and epidemiology is essential. In a long-term survey across 25 years, we evaluated the epidemiological development of STB at a representative location under maritime climatic conditions. The surveys conducted between 1996 and 2021 showed an increase in disease severity of STB with respect to time. At the survey location, the plants were also evaluated for other diseases, but other foliar diseases were only observed with negligible severities. However, a continuous increase in the severity of STB was observed throughout the survey. During the survey period, there was no significant relationship between disease severity and single weather parameters (e.g., temperature and precipitation). However, seasonal changes in the progression of conducive STB conditions within the season were observed during the survey. Therefore, STB infections occurred at increased temperatures due to infections later during the growth season. In general, the distribution of conducive weather conditions, which supports an infection, determines the epidemiological behaviour of STB during the growing season. Due to these enhanced STB epidemics, a decline in wheat</w:t>
      </w:r>
    </w:p>
    <w:p>
      <w:pPr/>
      <w:r>
        <w:rPr>
          <w:b/>
        </w:rPr>
        <w:t>POSSIBLE 2023:</w:t>
      </w:r>
      <w:r>
        <w:t xml:space="preserve"> Climate-induced changes in ocean productivity and food-web functioning are projected to markedly affect European fisheries catch — https://doi.org/10.3354/meps14328</w:t>
      </w:r>
    </w:p>
    <w:p>
      <w:pPr/>
      <w:r>
        <w:rPr>
          <w:b/>
        </w:rPr>
        <w:t>Shared claim-specific concepts:</w:t>
      </w:r>
      <w:r>
        <w:t xml:space="preserve"> climate, affect, species, higher; EU scope visible. This is a provisional connection, not an outcome finding.</w:t>
      </w:r>
    </w:p>
    <w:p>
      <w:pPr>
        <w:pStyle w:val="SourceNote"/>
      </w:pPr>
      <w:r>
        <w:rPr>
          <w:b/>
        </w:rPr>
        <w:t>Available abstract (not full text):</w:t>
      </w:r>
      <w:r>
        <w:t xml:space="preserve"> In European waters, climate-induced changes in ocean conditions will alter marine ecosystems, leading to potential repercussions for the European fisheries and the status of exploited species. Here, we used a new version of the EcoTroph model, forced by a regional high-resolution coupled hydrodynamic-ecosystem model, to investigate the effects of climate change on biomass and catch in 15 areas (ICES divisions) of the European Atlantic shelf ecosystems. Based on the projected changes in temperature, zooplankton and benthic secondary producers, we modeled the changes in biomass and catch at each trophic level by the end of the 21st century. We projected that total biomass and catch for the whole Atlantic European seas would decrease by 11.5 and 10.0%, respectively, by 2090-2099 relative to 2013-2017 under a ‘no mitigation’ greenhouse gases emissions scenario (RCP8.5). The projected decrease in catch is 310000 or 240000 t by 2090-2099 under a high (RCP8.5) or a moderate (RCP4.5) emissions scenario, respectively. Some areas, such as the Celtic Sea, would be more affected than others, while the climate impact on the bentho-demersal biomass and catches would be more pronounced, especially toward the higher trophic levels. Our study suggests that climate change may strongly impact European fisheries, with ecological consequences and potential socio-economic repercussions. Future studi</w:t>
      </w:r>
    </w:p>
    <w:p>
      <w:pPr/>
      <w:r>
        <w:rPr>
          <w:b/>
        </w:rPr>
        <w:t>POSSIBLE 2022:</w:t>
      </w:r>
      <w:r>
        <w:t xml:space="preserve"> Climate Change on Extreme Winds Already Affects Wind Energy Availability in Europe — https://doi.org/10.5194/egusphere-egu22-9634</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Climate change is one of the most urgent challenges that humankind confronts nowadays. In order to mitigate its effects, the European Union aims to be climate-neutral, i.e. set the Greenhouse Gas (GHG) emissions to zero, by 2050. In this context, renewable energies (REs) play a key role: on the one hand their development and extensive usage can help to reduce the GHG emissions, on the other hand substantial local changes in atmospheric conditions could modify, for better or for worse, their efficiency. Extreme atmospheric events, in particular, can badly affect the efficiency of the RE infrastructures, preventing them from working or even damaging them. In this work, we focus on wind energy off shore, on the European panorama, with the purpose of estimate the behavior of extreme high winds, over the period 1950-2020, and their impact on wind energy availability. Indeed, the potential wind power production, according to the working regimes of a wind turbine, depends only on the wind speed and, over a certain wind speed threshold, called cut-off speed (25 m s-1), the turbine stops working. By using 6-hourly ERA5 reanalysis data-set and convection permitting simulations, covering the European domain and a period from 1950 to 2020 and from 2000 to 2009 respectively, we analysed the 100 m wind speed over the cut-off threshold and its relation with the geopotential height at 500 hPa,</w:t>
      </w:r>
    </w:p>
    <w:p>
      <w:pPr/>
      <w:r>
        <w:rPr>
          <w:b/>
        </w:rPr>
        <w:t>POSSIBLE 2022:</w:t>
      </w:r>
      <w:r>
        <w:t xml:space="preserve"> Agricultural management, bedrock, and vulnerability of sexual reproduction to climate change affect the occurrence of a European near-endemic moss — https://doi.org/10.11646/bde.45.1.11</w:t>
      </w:r>
    </w:p>
    <w:p>
      <w:pPr/>
      <w:r>
        <w:rPr>
          <w:b/>
        </w:rPr>
        <w:t>Shared claim-specific concepts:</w:t>
      </w:r>
      <w:r>
        <w:t xml:space="preserve"> climate, affect, distribution, species; EU scope visible. This is a provisional connection, not an outcome finding.</w:t>
      </w:r>
    </w:p>
    <w:p>
      <w:pPr>
        <w:pStyle w:val="SourceNote"/>
      </w:pPr>
      <w:r>
        <w:rPr>
          <w:b/>
        </w:rPr>
        <w:t>Available abstract (not full text):</w:t>
      </w:r>
      <w:r>
        <w:t xml:space="preserve"> We investigated whether the European near-endemic moss Drepanocladus lycopodioides has declined in its core distribution area in the southern Baltic Sea region and explored potential explanations for this. First, we re-visited sites with documented records from 1854 to 1957 in the Stockholm archipelago and nearby mainland in southern Sweden. Second, we compared the numbers and distributions of Swedish occurrences, their habitats, and substrates up to 1950 (289 herbarium records), and from 1951 onwards (347) using different map layers. Third, we explored whether inter-annual variation in reproductive performance was related to moisture conditions at five sites on an island in the Stockholm archipelago during nine years. We estimated moisture conditions based on precipitation data and dry days during the time when fertilization occurs in the year prior to sporophyte maturation. Drepanocladus lycopodioides has strongly decreased in intensively managed agricultural landscapes but remains frequent in natural or semi-natural habitats on limestone. Sporophyte development varied between years and depended on the weather condition during the fertilization period. Climate forecasts for the study area predict longer dry spells during late spring to late summer, which coincides with the timing of sexual branch initiation and fertilization in the species. We expect that sporophyte productio</w:t>
      </w:r>
    </w:p>
    <w:p>
      <w:pPr>
        <w:pStyle w:val="Heading2"/>
      </w:pPr>
      <w:r>
        <w:t>741.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2022:</w:t>
      </w:r>
      <w:r>
        <w:t xml:space="preserve"> The Determinants of Internet User Skills in Europe — https://doi.org/10.20944/preprints202205.0263.v1</w:t>
      </w:r>
    </w:p>
    <w:p>
      <w:pPr/>
      <w:r>
        <w:rPr>
          <w:b/>
        </w:rPr>
        <w:t>Shared claim-specific concepts:</w:t>
      </w:r>
      <w:r>
        <w:t xml:space="preserve"> best, obtained, data; EU scope visible. This is a provisional connection, not an outcome finding.</w:t>
      </w:r>
    </w:p>
    <w:p>
      <w:pPr>
        <w:pStyle w:val="SourceNote"/>
      </w:pPr>
      <w:r>
        <w:rPr>
          <w:b/>
        </w:rPr>
        <w:t>Available abstract (not full text):</w:t>
      </w:r>
      <w:r>
        <w:t xml:space="preserve">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pPr/>
      <w:r>
        <w:rPr>
          <w:b/>
        </w:rPr>
        <w:t>POSSIBLE 2021:</w:t>
      </w:r>
      <w:r>
        <w:t xml:space="preserve"> Sensitivity of Skill Score Metric to Validate Lagrangian Simulations in Coastal Areas: Recommendations for Search and Rescue Applications — https://doi.org/10.3389/fmars.2021.630388</w:t>
      </w:r>
    </w:p>
    <w:p>
      <w:pPr/>
      <w:r>
        <w:rPr>
          <w:b/>
        </w:rPr>
        <w:t>Shared claim-specific concepts:</w:t>
      </w:r>
      <w:r>
        <w:t xml:space="preserve"> best, skill, obtained, used, observations; EU scope not established. This is a provisional connection, not an outcome finding.</w:t>
      </w:r>
    </w:p>
    <w:p>
      <w:pPr>
        <w:pStyle w:val="SourceNote"/>
      </w:pPr>
      <w:r>
        <w:rPr>
          <w:b/>
        </w:rPr>
        <w:t>Available abstract (not full text):</w:t>
      </w:r>
      <w:r>
        <w:t xml:space="preserve">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pPr/>
      <w:r>
        <w:rPr>
          <w:b/>
        </w:rPr>
        <w:t>POSSIBLE 2020:</w:t>
      </w:r>
      <w:r>
        <w:t xml:space="preserve"> Best practice for the nuclear medicine technologist in CT-based attenuation correction and calcium score for nuclear cardiology — https://doi.org/10.1186/s41824-020-00080-0</w:t>
      </w:r>
    </w:p>
    <w:p>
      <w:pPr/>
      <w:r>
        <w:rPr>
          <w:b/>
        </w:rPr>
        <w:t>Shared claim-specific concepts:</w:t>
      </w:r>
      <w:r>
        <w:t xml:space="preserve"> best, identify, throughout; EU scope visible. This is a provisional connection, not an outcome finding.</w:t>
      </w:r>
    </w:p>
    <w:p>
      <w:pPr>
        <w:pStyle w:val="SourceNote"/>
      </w:pPr>
      <w:r>
        <w:rPr>
          <w:b/>
        </w:rPr>
        <w:t>Available abstract (not full text):</w:t>
      </w:r>
      <w:r>
        <w:t xml:space="preserve"> The use of hybrid systems is increasingly growing in Europe and this is progressively important for the final result of diagnostic tests. As an integral part of the hybrid imaging system, computed tomography (CT) plays a crucial role in myocardial perfusion imaging diagnostics. Throughout Europe, a variety of equipment is available and also different university curricula of the nuclear medicine technologist are observed. Hence, the Technologist Committee of the European Association of Nuclear Medicine proposes to identify, through a bibliographic review, the recommendations for best practice in computed tomography applied to attenuation correction and calcium score in myocardial perfusion imaging, which courses in the set of knowledge, skills, and competencies for nuclear medicine technologists. This document aims at providing recommendations for CT acquisition protocols and CT image optimization in nuclear cardiology.</w:t>
      </w:r>
    </w:p>
    <w:p>
      <w:pPr/>
      <w:r>
        <w:rPr>
          <w:b/>
        </w:rPr>
        <w:t>POSSIBLE 2020:</w:t>
      </w:r>
      <w:r>
        <w:t xml:space="preserve"> Extratropical Prediction Skill of the Subseasonal‐to‐Seasonal (S2S) Prediction Models — https://doi.org/10.1029/2019jd031273</w:t>
      </w:r>
    </w:p>
    <w:p>
      <w:pPr/>
      <w:r>
        <w:rPr>
          <w:b/>
        </w:rPr>
        <w:t>Shared claim-specific concepts:</w:t>
      </w:r>
      <w:r>
        <w:t xml:space="preserve"> best, skill, forecasts, days; EU scope visible. This is a provisional connection, not an outcome finding.</w:t>
      </w:r>
    </w:p>
    <w:p>
      <w:pPr>
        <w:pStyle w:val="SourceNote"/>
      </w:pPr>
      <w:r>
        <w:rPr>
          <w:b/>
        </w:rPr>
        <w:t>Available abstract (not full text):</w:t>
      </w:r>
      <w:r>
        <w:t xml:space="preserve"> Abstract The deterministic prediction skill of the 10 operational models participating in the subseasonal‐to‐seasonal (S2S) prediction project is assessed for both the extratropical stratosphere and troposphere. Based on the mean squared skill score of 50‐ and 500‐hPa geopotential height forecasts, the overall prediction skill is on average 16 days in the stratosphere and 9 days in the troposphere. The high‐top models with a fully resolved stratosphere typically have a higher prediction skill than the low‐top models. Among them, the European Centre for Medium‐Range Weather Forecasts model shows the best performance in both hemispheres. The decomposition of model errors reveals that eddy errors are more important than zonal‐mean errors in both the stratosphere and troposphere. While the errors in the stratosphere are dominated by planetary‐scale eddies, those in the troposphere are equally influenced by planetary‐ and synoptic‐scale eddies. This result indicates that subseasonal‐to‐seasonal prediction could be improved by better representing planetary‐scale wave activities in the model.</w:t>
      </w:r>
    </w:p>
    <w:p>
      <w:pPr/>
      <w:r>
        <w:rPr>
          <w:b/>
        </w:rPr>
        <w:t>POSSIBLE 2019:</w:t>
      </w:r>
      <w:r>
        <w:t xml:space="preserve"> Seasonal streamflow forecasts for Europe – Part 2: Sources of skill — https://doi.org/10.5194/hess-23-371-2019</w:t>
      </w:r>
    </w:p>
    <w:p>
      <w:pPr/>
      <w:r>
        <w:rPr>
          <w:b/>
        </w:rPr>
        <w:t>Shared claim-specific concepts:</w:t>
      </w:r>
      <w:r>
        <w:t xml:space="preserve"> skill, forecasts;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2018:</w:t>
      </w:r>
      <w:r>
        <w:t xml:space="preserve"> Skill of Subseasonal Forecasts in Europe: Effect of Bias Correction and Downscaling Using Surface Observations — https://doi.org/10.1029/2017jd027923</w:t>
      </w:r>
    </w:p>
    <w:p>
      <w:pPr/>
      <w:r>
        <w:rPr>
          <w:b/>
        </w:rPr>
        <w:t>Shared claim-specific concepts:</w:t>
      </w:r>
      <w:r>
        <w:t xml:space="preserve"> skill, scores, used, observations, forecasts, period; EU scope visible. This is a provisional connection, not an outcome finding.</w:t>
      </w:r>
    </w:p>
    <w:p>
      <w:pPr>
        <w:pStyle w:val="SourceNote"/>
      </w:pPr>
      <w:r>
        <w:rPr>
          <w:b/>
        </w:rPr>
        <w:t>Available abstract (not full text):</w:t>
      </w:r>
      <w:r>
        <w:t xml:space="preserve"> Abstract Subseasonal predictions bridge the gap between medium‐range weather forecasts and seasonal climate predictions. This time horizon is of crucial importance for many planning purposes, including energy production and agriculture. The verification of such predictions is normally done for areal averages of upper‐air parameters. Only few studies exist that verify the forecasts for surface parameters with observational stations, although this is crucial for real‐world applications, which often require such predictions at specific surface locations. With this study we provide an extensive station‐based verification of subseasonal forecasts against 1,637 ground based observational time series across Europe. Twenty years of temperature and precipitation reforecasts of the European Centre for Medium‐Range Weather Forecasts Integrated Forecasting System are used to analyze the period of April 1995 to March 2014. A lead time and seasonally dependent bias correction is performed to correct the daily temperature and precipitation forecasts at all stations individually. Two bias correction techniques are compared, a mean debiasing method and a quantile mapping approach. Commonly used skill scores characterizing different aspects of forecast quality are computed for weekly aggregated forecasts with lead times of 5–32 days. Overall, promising skill is found for temperature in all seaso</w:t>
      </w:r>
    </w:p>
    <w:p>
      <w:pPr>
        <w:pStyle w:val="Heading2"/>
      </w:pPr>
      <w:r>
        <w:t>742.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r>
        <w:rPr>
          <w:b/>
        </w:rPr>
        <w:t>POSSIBLE 2024:</w:t>
      </w:r>
      <w:r>
        <w:t xml:space="preserve"> Sea Level Rise in Europe: Knowledge gaps identified through a participatory approach — https://doi.org/10.5194/sp-3-slre1-3-2024</w:t>
      </w:r>
    </w:p>
    <w:p>
      <w:pPr/>
      <w:r>
        <w:rPr>
          <w:b/>
        </w:rPr>
        <w:t>Shared claim-specific concepts:</w:t>
      </w:r>
      <w:r>
        <w:t xml:space="preserve"> participatory, approach, four, regional, users, understanding; EU scope visible. This is a provisional connection, not an outcome finding.</w:t>
      </w:r>
    </w:p>
    <w:p>
      <w:pPr>
        <w:pStyle w:val="SourceNote"/>
      </w:pPr>
      <w:r>
        <w:rPr>
          <w:b/>
        </w:rPr>
        <w:t>Available abstract (not full text):</w:t>
      </w:r>
      <w:r>
        <w:t xml:space="preserve">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pPr/>
      <w:r>
        <w:rPr>
          <w:b/>
        </w:rPr>
        <w:t>POSSIBLE 2021:</w:t>
      </w:r>
      <w:r>
        <w:t xml:space="preserve"> A participatory data-centric approach to AI Ethics by Design — https://doi.org/10.1080/08839514.2021.2009222</w:t>
      </w:r>
    </w:p>
    <w:p>
      <w:pPr/>
      <w:r>
        <w:rPr>
          <w:b/>
        </w:rPr>
        <w:t>Shared claim-specific concepts:</w:t>
      </w:r>
      <w:r>
        <w:t xml:space="preserve"> participatory, approach, understanding; EU scope not established. This is a provisional connection, not an outcome finding.</w:t>
      </w:r>
    </w:p>
    <w:p>
      <w:pPr>
        <w:pStyle w:val="SourceNote"/>
      </w:pPr>
      <w:r>
        <w:rPr>
          <w:b/>
        </w:rPr>
        <w:t>Available abstract (not full text):</w:t>
      </w:r>
      <w:r>
        <w:t xml:space="preserve"> Data-driven artificial intelligence (AI) based on machine learning techniques (ML) has increasingly become an enabler in critical societal domains. However, the introduction of ML systems is often accompanied by unjustified, biased, and discriminated outcomes with severe consequences for the individuals affected. Consequently, in recent years value-based design methods have sought to anticipate and mitigate moral wrongdoing by drawing attention to ethical and epistemic challenges related to the design of AI systems. This article presents a participatory data-centric approach to AI Ethics by Design by promoting and refining insights from contributions within the family of value-sensitive design methods. The approach provides a practicable outlook on addressing epistemic and ethical issues related to data activities in early ML development project stages. Hence, the article seeks to enhance opportunities for ethically informed AI design by stressing the need for bridge building to cultivate a shared understanding among system developers and domain experts about a given data domain and its relatedness to a specific practice.</w:t>
      </w:r>
    </w:p>
    <w:p>
      <w:pPr/>
      <w:r>
        <w:rPr>
          <w:b/>
        </w:rPr>
        <w:t>POSSIBLE 2021:</w:t>
      </w:r>
      <w:r>
        <w:t xml:space="preserve"> Participatory approaches in the development of health interventions for migrants: a systematic review — https://doi.org/10.1136/bmjopen-2021-053678</w:t>
      </w:r>
    </w:p>
    <w:p>
      <w:pPr/>
      <w:r>
        <w:rPr>
          <w:b/>
        </w:rPr>
        <w:t>Shared claim-specific concepts:</w:t>
      </w:r>
      <w:r>
        <w:t xml:space="preserve"> participatory, approach, stakeholders; EU scope not established. This is a provisional connection, not an outcome finding.</w:t>
      </w:r>
    </w:p>
    <w:p>
      <w:pPr>
        <w:pStyle w:val="SourceNote"/>
      </w:pPr>
      <w:r>
        <w:rPr>
          <w:b/>
        </w:rPr>
        <w:t>Available abstract (not full text):</w:t>
      </w:r>
      <w:r>
        <w:t xml:space="preserve"> Abstract Objective To analyse the use of participatory approaches in research of health interventions for migrants, and how utilised approaches embody core participatory principles of democracy and power-distribution. Design A systematic review of original articles. Electronic searchers were carried out in the databases MEDLINE, Embase, Global Health and PsychINFO (from inception – Nov 2020). Eligibility criteria for study selection The analysis included original peer-reviewed research which reported on attempts to develop and implement a health intervention for migrants using participatory approaches. We defined migrants as foreign-born individuals; studies using definitions demonstrably outside of this were excluded. Only articles reporting the full research cycle (inception, design, implementation, analysis, evaluation, dissemination) were included. Data extraction Information related to who was involved in research (migrants or other non-academic stakeholders), the research stage at which they were involved (inception, design, implementation, analysis, evaluation, dissemination), and how this involvement aligned with the core principles of participatory research – categorising studies as exhibiting active, pseudo, or indirect participation of migrants. Results 1793 publication were screened of which 28 were included in our analysis. We found substantial variation in the app</w:t>
      </w:r>
    </w:p>
    <w:p>
      <w:pPr/>
      <w:r>
        <w:rPr>
          <w:b/>
        </w:rPr>
        <w:t>POSSIBLE 2020:</w:t>
      </w:r>
      <w:r>
        <w:t xml:space="preserve"> A participatory approach: Shifting accountability in microenterprise development — https://doi.org/10.1111/faam.12252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Abstract Although non‐government organisations (NGOs) play an important role in poverty alleviation, their accountability to beneficiaries (the poor) for sustainable poverty alleviation is often criticised. In the literature, a participatory approach to strengthening NGO downward accountability has been widely discussed and various mechanisms for participation are identified; however, it is unclear how a participatory approach is implemented in practice to enhance NGO accountability to beneficiaries. Using accountability concepts, this study examines a participatory approach within the practices of NGOs engaging in microenterprise development in Bangladesh and Indonesia. Findings show that an effective participatory approach needs to address three questions: who participates, what to participate in, and how to participate. Within this approach, participation for beneficiary empowerment involves three stages: consulting, partnership, and delegated control. These stages are not linear, but rather a recurring, iterative process, providing a graduated, progressive approach to empowering beneficiaries. These stages recognise mutual accountability between the poor, as well as the public and private sectors, providing a basis for enhanced NGO accountability to beneficiaries at a strategic level – and enhanced sustainable outcomes for poverty alleviation.</w:t>
      </w:r>
    </w:p>
    <w:p>
      <w:pPr/>
      <w:r>
        <w:rPr>
          <w:b/>
        </w:rPr>
        <w:t>POSSIBLE 2018:</w:t>
      </w:r>
      <w:r>
        <w:t xml:space="preserve"> Sketching sustainable land use in Europe by 2040: a multi-stakeholder participatory approach to elicit cross-sectoral visions — https://doi.org/10.1007/s10113-018-1297-7</w:t>
      </w:r>
    </w:p>
    <w:p>
      <w:pPr/>
      <w:r>
        <w:rPr>
          <w:b/>
        </w:rPr>
        <w:t>Shared claim-specific concepts:</w:t>
      </w:r>
      <w:r>
        <w:t xml:space="preserve"> participatory, iterative, approach, involving, regional, stakeholders; EU scope visible. This is a provisional connection, not an outcome finding.</w:t>
      </w:r>
    </w:p>
    <w:p>
      <w:pPr>
        <w:pStyle w:val="SourceNote"/>
      </w:pPr>
      <w:r>
        <w:rPr>
          <w:b/>
        </w:rPr>
        <w:t>Available abstract (not full text):</w:t>
      </w:r>
      <w:r>
        <w:t xml:space="preserve"> The continuously growing global demands on a finite land resource will require better strategic policies and management of trade-offs to avoid conflicts between different land-use sectors. Visions of the future can support strategic planning by stimulating dialogue, building a consensus on shared priorities and providing long-term targets. We present a novel approach to elicit stakeholder visions of future desired land use, which was applied with a broad range of experts to develop cross-sectoral visions in Europe. The approach is based on (i) combination of software tools and facilitation techniques to stimulate engagement and creativity; (ii) methodical selection of stakeholders; (iii) use of land attributes to deconstruct the multifaceted sectoral visions into land-use changes that can be clustered into few cross-sectoral visions, and (iv) a rigorous iterative process. Three cross-sectoral visions of sustainable land use in Europe in 2040 emerged from applying the approach in participatory workshops involving experts in nature conservation, recreation, agriculture, forestry, settlements, energy, and water. The three visions— Best Land in Europe , Regional Connected and Local Multifunctional —shared a wish to achieve a land use that is sustainable through multifunctionality, resource use efficiency, controlled urban growth, rural renewal and widespread nature. However, they d</w:t>
      </w:r>
    </w:p>
    <w:p>
      <w:pPr>
        <w:pStyle w:val="Heading2"/>
      </w:pPr>
      <w:r>
        <w:t>743.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2022:</w:t>
      </w:r>
      <w:r>
        <w:t xml:space="preserve"> Occupational Therapists and COVID-19 Pandemic: An Observational Survey in Europe — https://doi.org/10.15453/2168-6408.1923</w:t>
      </w:r>
    </w:p>
    <w:p>
      <w:pPr/>
      <w:r>
        <w:rPr>
          <w:b/>
        </w:rPr>
        <w:t>Shared claim-specific concepts:</w:t>
      </w:r>
      <w:r>
        <w:t xml:space="preserve"> main, occupational, professionals, well, health; EU scope visible. This is a provisional connection, not an outcome finding.</w:t>
      </w:r>
    </w:p>
    <w:p>
      <w:pPr>
        <w:pStyle w:val="SourceNote"/>
      </w:pPr>
      <w:r>
        <w:rPr>
          <w:b/>
        </w:rPr>
        <w:t>Available abstract (not full text):</w:t>
      </w:r>
      <w:r>
        <w:t xml:space="preserve">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pPr/>
      <w:r>
        <w:rPr>
          <w:b/>
        </w:rPr>
        <w:t>POSSIBLE 2022:</w:t>
      </w:r>
      <w:r>
        <w:t xml:space="preserve"> Occupational COPD —The most under‐recognized occupational lung disease? — https://doi.org/10.1111/resp.14272</w:t>
      </w:r>
    </w:p>
    <w:p>
      <w:pPr/>
      <w:r>
        <w:rPr>
          <w:b/>
        </w:rPr>
        <w:t>Shared claim-specific concepts:</w:t>
      </w:r>
      <w:r>
        <w:t xml:space="preserve"> main, occupational, health, providing; EU scope not established. This is a provisional connection, not an outcome finding.</w:t>
      </w:r>
    </w:p>
    <w:p>
      <w:pPr>
        <w:pStyle w:val="SourceNote"/>
      </w:pPr>
      <w:r>
        <w:rPr>
          <w:b/>
        </w:rPr>
        <w:t>Available abstract (not full text):</w:t>
      </w:r>
      <w:r>
        <w:t xml:space="preserve">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pPr/>
      <w:r>
        <w:rPr>
          <w:b/>
        </w:rPr>
        <w:t>POSSIBLE 2021:</w:t>
      </w:r>
      <w:r>
        <w:t xml:space="preserve"> Occupational Exposure to Diisocyanates in the European Union — https://doi.org/10.1093/annweh/wxab021</w:t>
      </w:r>
    </w:p>
    <w:p>
      <w:pPr/>
      <w:r>
        <w:rPr>
          <w:b/>
        </w:rPr>
        <w:t>Shared claim-specific concepts:</w:t>
      </w:r>
      <w:r>
        <w:t xml:space="preserve"> main, occupational, health; EU scope visible. This is a provisional connection, not an outcome finding.</w:t>
      </w:r>
    </w:p>
    <w:p>
      <w:pPr>
        <w:pStyle w:val="SourceNote"/>
      </w:pPr>
      <w:r>
        <w:rPr>
          <w:b/>
        </w:rPr>
        <w:t>Available abstract (not full text):</w:t>
      </w:r>
      <w:r>
        <w:t xml:space="preserve">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pPr/>
      <w:r>
        <w:rPr>
          <w:b/>
        </w:rPr>
        <w:t>POSSIBLE 2021:</w:t>
      </w:r>
      <w:r>
        <w:t xml:space="preserve"> Occupational Exposure to Electromagnetic Fields and Health Surveillance according to the European Directive 2013/35/EU — https://doi.org/10.3390/ijerph18041730</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In the European Union, health surveillance (HS) of electromagnetic fields (EMF)-exposed workers is mandatory according to the Directive 2013/35/EU, aimed at the prevention of known direct biophysical effects and indirect EMF’s effects. Long-term effects are not addressed in the Directive as the evidence of a causal relationship is considered inadequate. Objectives of HS are the prevention or early detection of EMF adverse effects, but scant evidence is hitherto available on the specific procedures. A first issue is that no specific laboratory tests or medical investigations have been demonstrated as useful for exposure monitoring and/or prevention of the effects. Another problem is the existence of workers at particular risk (WPR), i.e., subjects with specific conditions inducing an increased susceptibility to the EMF-related risk (e.g., workers with active medical devices or other conditions); exposures within the occupational exposure limit values (ELVs) are usually adequately protective against EMF’s effects, but lower exposures can possibly induce a health risk in WPR. Consequently, the HS of EMF-exposed workers according to the EU Directive should be aimed at the early detection and monitoring of the recognized adverse effects, as well as an early identification of WPR for the adoption of adequate preventive measures.</w:t>
      </w:r>
    </w:p>
    <w:p>
      <w:pPr/>
      <w:r>
        <w:rPr>
          <w:b/>
        </w:rPr>
        <w:t>POSSIBLE 2020:</w:t>
      </w:r>
      <w:r>
        <w:t xml:space="preserve"> Occupational Exposure to Non-Ionizing radiation. Main effects and criteria for health surveillance of workers according to the European Directives — https://doi.org/10.1109/eeeic/icpseurope49358.2020.9160831</w:t>
      </w:r>
    </w:p>
    <w:p>
      <w:pPr/>
      <w:r>
        <w:rPr>
          <w:b/>
        </w:rPr>
        <w:t>Shared claim-specific concepts:</w:t>
      </w:r>
      <w:r>
        <w:t xml:space="preserve"> main, occupational, health, significant; EU scope visible. This is a provisional connection, not an outcome finding.</w:t>
      </w:r>
    </w:p>
    <w:p>
      <w:pPr>
        <w:pStyle w:val="SourceNote"/>
      </w:pPr>
      <w:r>
        <w:rPr>
          <w:b/>
        </w:rPr>
        <w:t>Available abstract (not full text):</w:t>
      </w:r>
      <w:r>
        <w:t xml:space="preserve"> Occupational exposure to Non-Ionizing radiation (NIR), including Electromagnetic fields (EMF) and Optical radiation (OR), is almost ubiquitous. EMF may induce various effects: in the case of direct short term effects, static and low-frequency fields interact with the biological tissues through the induction of currents, while high frequency fields through thermal mechanisms. EMF can also induce indirect effects, as interference, causing a specific risk e.g. in workers with active medical devices as pacemakers. The induction of various long term effects has also been proposed, but up now data supporting a causal effect are considered insufficient by almost all authoritative international agencies. Moving to OR, sources can be artificial (incoherent or coherent in the case of LASER) or natural; the main source of occupational OR exposure is natural: the Sun, exposing millions of outdoor workers worldwide. The main targets of OR effects are the skin and the eye. Among OR bands, the ultraviolet component is of particular relevance, inducing photochemical alterations in human cells that can cause both acute and long term effects as burns and skin cancers or cataract. For all workers NIR risk should be evaluated and, in case of significant risk, an adequate health surveillance (HS) should be implemented, also considering the possible presence of workers with conditions inducing a hig</w:t>
      </w:r>
    </w:p>
    <w:p>
      <w:pPr/>
      <w:r>
        <w:rPr>
          <w:b/>
        </w:rPr>
        <w:t>POSSIBLE 2019:</w:t>
      </w:r>
      <w:r>
        <w:t xml:space="preserve"> Development of Occupational Competence of Employees — https://doi.org/10.31649/2524-1079-2019-4-2-141-159</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The article deals with the main problems that exist in the field of labor protection in Ukraine, including: insufficient financing of measures and means of labor protection, lack of management system in executive branches, improper working conditions, etc. Statistical data demonstrates the state of safety of labor, where most of the main productive assets are physically worn out, morally outdated, and new domestic machines, in absolute majority do not meet safety requirements. It is noted that much attention is paid to occupational safety and health at work in the countries of the European Union, in its structure there are several bodies specially dealing with the problems of working life. Among the topics that are especially studied in the EU, the stress of the workplace has been noted. The modern directions of development of this sphere are analyzed, aimed at updating the state policy of labor protection, introduction of the latest technologies and software, paying special attention to the individual experience of workers and their psychological state. The directions of activity that are dominant in the modern system of labor protection in Ukraine and in the world and ways of using modern technologies to improve the safety of workers in the workplace, namely, the introduction of the concept of digital jobs. The main directions of international cooperation of Ukraine in the fi</w:t>
      </w:r>
    </w:p>
    <w:p>
      <w:pPr/>
      <w:r>
        <w:rPr>
          <w:b/>
        </w:rPr>
        <w:t>POSSIBLE 2018:</w:t>
      </w:r>
      <w:r>
        <w:t xml:space="preserve"> Occupational risk factors for idiopathic pulmonary fibrosis in Southern Europe: a case-control study — https://doi.org/10.1186/s12890-018-0644-2</w:t>
      </w:r>
    </w:p>
    <w:p>
      <w:pPr/>
      <w:r>
        <w:rPr>
          <w:b/>
        </w:rPr>
        <w:t>Shared claim-specific concepts:</w:t>
      </w:r>
      <w:r>
        <w:t xml:space="preserve"> occupational, increasing, occupations; EU scope visible. This is a provisional connection, not an outcome finding.</w:t>
      </w:r>
    </w:p>
    <w:p>
      <w:pPr>
        <w:pStyle w:val="SourceNote"/>
      </w:pPr>
      <w:r>
        <w:rPr>
          <w:b/>
        </w:rPr>
        <w:t>Available abstract (not full text):</w:t>
      </w:r>
      <w:r>
        <w:t xml:space="preserve"> BACKGROUND: Idiopathic pulmonary fibrosis (IPF) is a chronic, progressive fibrosing interstitial pneumonia of unknown cause associated with the histopathologic and/or radiologic pattern of usual interstitial pneumonia (UIP). Occupational risk factors have been proposed to be associated with UIP. The aim of this case-control study is to evaluate the relationship between UIP pattern and occupational exposure in Southern Europe. METHODS: Sixty nine cases with a UIP radiological pattern at CT-scan were selected from a clinical database of the University Hospital of Perugia, Umbria, between January 2010 and December 2013. Controls (n = 277) not reporting doctor diagnosed pulmonary fibrosis, were ascertained casually among general population from the same catching area of cases. Data were collected by a questionnaire used previously in a similar study. Logistic regression models, adjusted for gender, age and smoking, were performed to evaluate the association between UIP and occupational exposure. RESULTS: Farmers, veterinarians and gardeners (OR = 2.73, 95%CI = 1.47-5.10), metallurgical and steel industry workers (OR = 4.80, 95%CI = 1.50-15.33) were occupations associated with UIP. Metal dust and fumes and organic dust were risk factors for UIP. Increasing the length of occupational exposure in jobs at risk of pulmonary fibrosis, increased the risk of having UIP. CONCLUSIONS: This c</w:t>
      </w:r>
    </w:p>
    <w:p>
      <w:pPr>
        <w:pStyle w:val="Heading2"/>
      </w:pPr>
      <w:r>
        <w:t>744.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2023:</w:t>
      </w:r>
      <w:r>
        <w:t xml:space="preserve"> “The impact of energy efficiency and decarbonisation policies on the European road transport sector” — https://doi.org/10.1016/j.tra.2023.103623</w:t>
      </w:r>
    </w:p>
    <w:p>
      <w:pPr/>
      <w:r>
        <w:rPr>
          <w:b/>
        </w:rPr>
        <w:t>Shared claim-specific concepts:</w:t>
      </w:r>
      <w:r>
        <w:t xml:space="preserve"> analyses, decarbonisation, passenger, fleet, vehicles; EU scope visible. This is a provisional connection, not an outcome finding.</w:t>
      </w:r>
    </w:p>
    <w:p>
      <w:pPr>
        <w:pStyle w:val="SourceNote"/>
      </w:pPr>
      <w:r>
        <w:rPr>
          <w:b/>
        </w:rPr>
        <w:t>Available abstract (not full text):</w:t>
      </w:r>
      <w:r>
        <w:t xml:space="preserve">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pPr/>
      <w:r>
        <w:rPr>
          <w:b/>
        </w:rPr>
        <w:t>POSSIBLE 2023:</w:t>
      </w:r>
      <w:r>
        <w:t xml:space="preserve"> Rapid decarbonisation of Paris, Lyon and Marseille's power, transport and building sectors by coupling rooftop solar PV and electric vehicles — https://doi.org/10.1016/j.esd.2023.04.002</w:t>
      </w:r>
    </w:p>
    <w:p>
      <w:pPr/>
      <w:r>
        <w:rPr>
          <w:b/>
        </w:rPr>
        <w:t>Shared claim-specific concepts:</w:t>
      </w:r>
      <w:r>
        <w:t xml:space="preserve"> decarbonisation, electric, vehicles;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Decarbonisation of passenger light-duty vehicles using spatially resolved TIMES-Ireland Model — https://doi.org/10.1016/j.apenergy.2022.119078</w:t>
      </w:r>
    </w:p>
    <w:p>
      <w:pPr/>
      <w:r>
        <w:rPr>
          <w:b/>
        </w:rPr>
        <w:t>Shared claim-specific concepts:</w:t>
      </w:r>
      <w:r>
        <w:t xml:space="preserve"> decarbonisation, passenger, car, fleet, mobility, electric; EU scope visible. This is a provisional connection, not an outcome finding.</w:t>
      </w:r>
    </w:p>
    <w:p>
      <w:pPr>
        <w:pStyle w:val="SourceNote"/>
      </w:pPr>
      <w:r>
        <w:rPr>
          <w:b/>
        </w:rPr>
        <w:t>Available abstract (not full text):</w:t>
      </w:r>
      <w:r>
        <w:t xml:space="preserve"> Higher spatial resolution is becoming a key component of energy system analysis. Existing multi-regional national scale energy systems optimisation models (ESOMs) facilitate an improved understanding of spatial dynamics. Yet, region-specific characteristics of transport technologies and infrastructures along with consumer heterogeneity have remained under-investigated. The current paper addresses this gap by developing a multi-regional transport sector within the system-wide TIMES-Ireland Model (TIM). The transport sector is divided into 26 sub-regions, and each region is characterised by the existing vehicle fleet, public transport availability, scrappage rate, annual mileage, vehicle fuel economy and the corresponding passenger and freight mobility demand. The consumers (car buyers) are disaggregated based on their income level to incorporate a more realistic representation of their behaviour in vehicle purchasing decisions. While TIM ensures carbon neutrality across the whole energy system by mid-century, this study mainly explores the decarbonisation of passenger Light-Duty Vehicles (LDVs). It shows to what extent different measures (i.e, LDV improvements, monetary incentives, modal shift, biofuel obligation, carbon tax and occupancy rate) can contribute to meeting ambitious mitigation targets by 2030. Spatially resolved analysis as the main novelty of this research present</w:t>
      </w:r>
    </w:p>
    <w:p>
      <w:pPr/>
      <w:r>
        <w:rPr>
          <w:b/>
        </w:rPr>
        <w:t>POSSIBLE 2022:</w:t>
      </w:r>
      <w:r>
        <w:t xml:space="preserve"> Electrifying passenger road transport in India requires near-term electricity grid decarbonisation — https://doi.org/10.1038/s41467-022-29620-x</w:t>
      </w:r>
    </w:p>
    <w:p>
      <w:pPr/>
      <w:r>
        <w:rPr>
          <w:b/>
        </w:rPr>
        <w:t>Shared claim-specific concepts:</w:t>
      </w:r>
      <w:r>
        <w:t xml:space="preserve"> decarbonisation, passenger, mobility, increase, battery, electric; EU scope not established. This is a provisional connection, not an outcome finding.</w:t>
      </w:r>
    </w:p>
    <w:p>
      <w:pPr>
        <w:pStyle w:val="SourceNote"/>
      </w:pPr>
      <w:r>
        <w:rPr>
          <w:b/>
        </w:rPr>
        <w:t>Available abstract (not full text):</w:t>
      </w:r>
      <w:r>
        <w:t xml:space="preserve"> Battery-electric vehicles (BEV) have emerged as a favoured technology solution to mitigate transport greenhouse gas (GHG) emissions in many non-Annex 1 countries, including India. GHG mitigation potentials of electric 4-wheelers in India depend critically on when and where they are charged: 40% reduction in the north-eastern states and more than 15% increase in the eastern/western regions today, with higher overall GHGs emitted when charged overnight and in the summer. Self-charging gasoline-electric hybrids can lead to 33% GHG reductions, though they haven't been fully considered a mitigation option in India. Electric 2-wheelers can already enable a 20% reduction in GHG emissions given their small battery size and superior efficiency. India's electrification plan demands up to 125GWh of annual battery capacities by 2030, nearly 10% of projected worldwide productions. India requires a phased electrification with a near-term focus on 2-wheelers and a clear trajectory to phase-out coal-power for an organised mobility transition.</w:t>
      </w:r>
    </w:p>
    <w:p>
      <w:pPr/>
      <w:r>
        <w:rPr>
          <w:b/>
        </w:rPr>
        <w:t>POSSIBLE 2022:</w:t>
      </w:r>
      <w:r>
        <w:t xml:space="preserve"> Just Transition: A whole-systems approach to decarbonisation — https://doi.org/10.1080/14693062.2022.2108365</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Transition to a post-carbon economy implies changes that are both far-reaching and unprecedented. The notion that a decarbonization transition must encompass multiple forms of justice is gaining ground. In response, the concept of Just Transition has become ever more popular – and confusion about its meaning ever greater. We argue in this paper that the term Just Transition needs a rigorous updating to develop its full conceptual power for the analysis and evaluation of the rapid and extensive energy transitions already underway. After reviewing the different uses of Just Transition in practice and scholarship, we propose that the term be used as an analytical concept for an ongoing process of transition. The Just Transition concept can provide an integrated, whole-system perspective on justice (procedural, distributive, recognition, and restorative) that can help in identifying systemic solutions to address environmental and socio-economic concerns. This would differ from reductionist approaches that derive from legacy silo-sectoral or technologically driven approaches; these too often overlook negative side-effects and wider justice implications of reorganizing economic practice. An examination of COVID-19 pandemic responses illustrates our operationalization of the Just Transition concept, highlighting the importance of designing whole-system policies that are equitable, as </w:t>
      </w:r>
    </w:p>
    <w:p>
      <w:pPr/>
      <w:r>
        <w:rPr>
          <w:b/>
        </w:rPr>
        <w:t>POSSIBLE 2022:</w:t>
      </w:r>
      <w:r>
        <w:t xml:space="preserve"> Decarbonisation Pathways for Transport — https://doi.org/10.1007/978-3-030-99177-7_8</w:t>
      </w:r>
    </w:p>
    <w:p>
      <w:pPr/>
      <w:r>
        <w:rPr>
          <w:b/>
        </w:rPr>
        <w:t>Shared claim-specific concepts:</w:t>
      </w:r>
      <w:r>
        <w:t xml:space="preserve"> decarbonisation, passenger; EU scope not established. This is a provisional connection, not an outcome finding.</w:t>
      </w:r>
    </w:p>
    <w:p>
      <w:pPr>
        <w:pStyle w:val="SourceNote"/>
      </w:pPr>
      <w:r>
        <w:rPr>
          <w:b/>
        </w:rPr>
        <w:t>Available abstract (not full text):</w:t>
      </w:r>
      <w:r>
        <w:t xml:space="preserve"> Abstract An overview of the main drivers of the transport energy demand and the assumed socio-economic development (population and GDP) until 2050 for ten world regions are given. The countries in each world region are tabulated. Detailed documentation of projected shifts in transport modes for all world regions, including technological assumptions and energy intensities, by vehicle type is presented. This section contains the OECM 1.5 °C transport scenarios for aviation, shipping, road, and rail, each broken down into passenger and freight transport. The calculated energy demands and energy-related carbon emissions for all transport modes are provided.</w:t>
      </w:r>
    </w:p>
    <w:p>
      <w:pPr/>
      <w:r>
        <w:rPr>
          <w:b/>
        </w:rPr>
        <w:t>POSSIBLE 2022:</w:t>
      </w:r>
      <w:r>
        <w:t xml:space="preserve"> Decarbonisation of Transport – A Challenge for Inland Navigation — https://doi.org/10.35808/ersj/2984</w:t>
      </w:r>
    </w:p>
    <w:p>
      <w:pPr/>
      <w:r>
        <w:rPr>
          <w:b/>
        </w:rPr>
        <w:t>Shared claim-specific concepts:</w:t>
      </w:r>
      <w:r>
        <w:t xml:space="preserve"> decarbonisation, showed, increase; EU scope visible. This is a provisional connection, not an outcome finding.</w:t>
      </w:r>
    </w:p>
    <w:p>
      <w:pPr>
        <w:pStyle w:val="SourceNote"/>
      </w:pPr>
      <w:r>
        <w:rPr>
          <w:b/>
        </w:rPr>
        <w:t>Available abstract (not full text):</w:t>
      </w:r>
      <w:r>
        <w:t xml:space="preserve"> Purpose: The purpose of the article is to identify the directions of activities conducive to the development of low-carbon inland navigation in the EU with a particular focus on Poland.This goal is being pursued taking into account existing regulations at the EU and national levels. Design/Methodology/Approach: The article compares selected research results from the fields of inland navigation and low-carbon economy.A method of analysing found data, a comparative analysis using statistical data, and an analysis of the compatibility of regulations at the EU and national levels were used.Findings: Inland navigation in many countries is undervalued, forgotten and underutilized as an efficient, environmentally friendly means of transportation.The article outlines the formation of transportation policy, the original goal of which was to increase the efficiency of river transportation, stimulate the economy and have a positive impact on the labour market.As the EU's goals have evolved, priorities in the area of transport policy have also changed.There is a growing need to increase eco-efficiency, build intermodal transportation networks, connect systems, or modernize transportation infra-and infostructures.The possibility of integrating Poland's rivers into the TEN-T network is both a challenge and an opportunity for Poland to develop modern, zero-emission inland navigation.Practical</w:t>
      </w:r>
    </w:p>
    <w:p>
      <w:pPr>
        <w:pStyle w:val="Heading2"/>
      </w:pPr>
      <w:r>
        <w:t>745.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2023:</w:t>
      </w:r>
      <w:r>
        <w:t xml:space="preserve"> Agents and Impacts of Interorganizational Transfers between the Council of Europe and the European Union in the Area of Cultural Policy — https://doi.org/10.4000/bssg.3433</w:t>
      </w:r>
    </w:p>
    <w:p>
      <w:pPr/>
      <w:r>
        <w:rPr>
          <w:b/>
        </w:rPr>
        <w:t>Shared claim-specific concepts:</w:t>
      </w:r>
      <w:r>
        <w:t xml:space="preserve"> transfer, other; EU scope visible. This is a provisional connection, not an outcome finding.</w:t>
      </w:r>
    </w:p>
    <w:p>
      <w:pPr>
        <w:pStyle w:val="SourceNote"/>
      </w:pPr>
      <w:r>
        <w:rPr>
          <w:b/>
        </w:rPr>
        <w:t>Available abstract (not full text):</w:t>
      </w:r>
      <w:r>
        <w:t xml:space="preserve">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pPr/>
      <w:r>
        <w:rPr>
          <w:b/>
        </w:rPr>
        <w:t>POSSIBLE 2022:</w:t>
      </w:r>
      <w:r>
        <w:t xml:space="preserve"> Dual vocational education and training and policy transfer in the European Union policy: the case of work-based learning and apprenticeships — https://doi.org/10.1080/2331186x.2022.2154496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pPr/>
      <w:r>
        <w:rPr>
          <w:b/>
        </w:rPr>
        <w:t>POSSIBLE 2021:</w:t>
      </w:r>
      <w:r>
        <w:t xml:space="preserve"> Policy transfer within the European Union and beyond: Europeanization in times of stability and crises — https://doi.org/10.4337/9781789905601.00026</w:t>
      </w:r>
    </w:p>
    <w:p>
      <w:pPr/>
      <w:r>
        <w:rPr>
          <w:b/>
        </w:rPr>
        <w:t>Shared claim-specific concepts:</w:t>
      </w:r>
      <w:r>
        <w:t xml:space="preserve"> then, transfer, member, states, policies; EU scope visible. This is a provisional connection, not an outcome finding.</w:t>
      </w:r>
    </w:p>
    <w:p>
      <w:pPr>
        <w:pStyle w:val="SourceNote"/>
      </w:pPr>
      <w:r>
        <w:rPr>
          <w:b/>
        </w:rPr>
        <w:t>Available abstract (not full text):</w:t>
      </w:r>
      <w:r>
        <w:t xml:space="preserve">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pPr/>
      <w:r>
        <w:rPr>
          <w:b/>
        </w:rPr>
        <w:t>POSSIBLE 2021:</w:t>
      </w:r>
      <w:r>
        <w:t xml:space="preserve"> Community Sponsorship in Europe: Taking Stock, Policy Transfer and What the Future Might Hold — https://doi.org/10.3389/fhumd.2021.564084</w:t>
      </w:r>
    </w:p>
    <w:p>
      <w:pPr/>
      <w:r>
        <w:rPr>
          <w:b/>
        </w:rPr>
        <w:t>Shared claim-specific concepts:</w:t>
      </w:r>
      <w:r>
        <w:t xml:space="preserve"> transfer, states; EU scope visible. This is a provisional connection, not an outcome finding.</w:t>
      </w:r>
    </w:p>
    <w:p>
      <w:pPr>
        <w:pStyle w:val="SourceNote"/>
      </w:pPr>
      <w:r>
        <w:rPr>
          <w:b/>
        </w:rPr>
        <w:t>Available abstract (not full text):</w:t>
      </w:r>
      <w:r>
        <w:t xml:space="preserve">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pPr/>
      <w:r>
        <w:rPr>
          <w:b/>
        </w:rPr>
        <w:t>POSSIBLE 2021:</w:t>
      </w:r>
      <w:r>
        <w:t xml:space="preserve"> Audiovisual policy transfer between Mercosur and the European Union has gone offtrack — https://doi.org/10.1177/17480485211052169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This article analyses the Audiovisual Mercosur Program as a case of policy transfer between Mercosur and the European Union. A qualitative document analysis, expert interviews and the use of policy transfer theory and its constraints made possible the critical evaluation of the program and its impacts. By focusing on the constraints that led to an incomplete and uninformed transfer, we were able to identify an alignment between the underlying ideas of audiovisual policies in Mercosur and the European Union, but also inadequate governance within Mercosur, unbalanced interests between the two trade blocks, and a lack of policy learning. As a result, the transfer of European Union policies reproduced well-documented failures of the European Union's internal market policies relating to the audiovisual sector.</w:t>
      </w:r>
    </w:p>
    <w:p>
      <w:pPr/>
      <w:r>
        <w:rPr>
          <w:b/>
        </w:rPr>
        <w:t>POSSIBLE 2021:</w:t>
      </w:r>
      <w:r>
        <w:t xml:space="preserve"> Technology Transfer to Eastern Europe: Paradoxes, Policies, Prospects — https://doi.org/10.4324/9780429033162-4</w:t>
      </w:r>
    </w:p>
    <w:p>
      <w:pPr/>
      <w:r>
        <w:rPr>
          <w:b/>
        </w:rPr>
        <w:t>Shared claim-specific concepts:</w:t>
      </w:r>
      <w:r>
        <w:t xml:space="preserve"> transfer, states, policies; EU scope visible. This is a provisional connection, not an outcome finding.</w:t>
      </w:r>
    </w:p>
    <w:p>
      <w:pPr>
        <w:pStyle w:val="SourceNote"/>
      </w:pPr>
      <w:r>
        <w:rPr>
          <w:b/>
        </w:rPr>
        <w:t>Available abstract (not full text):</w:t>
      </w:r>
      <w:r>
        <w:t xml:space="preserve"> The United States is concerned about its technological prowess compared to that of Japan; and Western Europe realizes that it is technologically behind the United States in some microelectronic fields. The West wants to maintain its technological lead over the East, although there is disagreement within the North Atlantic Treaty Organization about how great that lead is and should be. The allied disputes highlight the problems in postwar Western policy toward Eastern Europe that go beyond economics. The Federal Republic of Germany is the only Western country that has consistently pursued an active policy toward one Eastern European country in the postwar era, the German Democratic Republic. The United States and Western Europe would have a variety of technologies to offer Eastern Europe if there were no restrictions on technology exports; but a range of export controls limits the nature of the East-West technological exchange.</w:t>
      </w:r>
    </w:p>
    <w:p>
      <w:pPr/>
      <w:r>
        <w:rPr>
          <w:b/>
        </w:rPr>
        <w:t>POSSIBLE 2020:</w:t>
      </w:r>
      <w:r>
        <w:t xml:space="preserve"> Variegated Europeanization and urban policy: Dynamics of policy transfer in France, Italy, Spain and the UK — https://doi.org/10.1177/0969776419898508</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This paper explores the dynamics of urban policy transfer in the European Union (EU), critically examining the process of Europeanization in relation to urban issues. The paper takes a comparative approach, analysing the evolution of urban policy and Europeanization in four member states: France, Italy, Spain and the UK from the 1990s up to the current Cohesion Policy period (2014–2020). Using an analytical framework based on three dimensions of Europeanization (direction, object and impact), we examine the extent to which urban policies are moving towards an integrated approach to sustainable urban development, as supported by the EU. The paper highlights the contradictions between processes of convergence through Europeanization, and path-dependent systems and trajectories that forge alternative paths. In doing so, it advances wider debates on the impact of Europeanization in a neo-liberal context by arguing that member states more likely to be affected by Europeanization are those most impacted by national austerity measures. A process of ‘variegated Europeanization’ is proposed to capture the differential practices taking place within the EU with regard to the circulation of the EU’s approach to urban policy.</w:t>
      </w:r>
    </w:p>
    <w:p>
      <w:pPr/>
      <w:r>
        <w:rPr>
          <w:b/>
        </w:rPr>
        <w:t>POSSIBLE 2019:</w:t>
      </w:r>
      <w:r>
        <w:t xml:space="preserve"> University patenting and the quest for technology transfer policy models in Europe — https://doi.org/10.4337/9781784715717.00015</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European universities have gradually taken a more aggressive stance towards IP appropriation. The policies behind these changes have been largely inspired in a linear model of university knowledge transfer and emulations of the US Bayh Dole Act. Our aim in this chapter is to highlight the heterogeneity of university technology transfer across European countries and the differences with respect to US universities, and describe the impact of policy changes, such as the abolition of the professor’s privilege, in the light of new data and evidence. We challenge the linear model of university technology transfer and show how complex the relations between the actors involved can be, as well as the role that patents play in those relations.</w:t>
      </w:r>
    </w:p>
    <w:p>
      <w:pPr/>
      <w:r>
        <w:rPr>
          <w:b/>
        </w:rPr>
        <w:t>POSSIBLE 2019:</w:t>
      </w:r>
      <w:r>
        <w:t xml:space="preserve"> Policy transfer: the case of European Union–China cooperation in public administration reform — https://doi.org/10.1177/0020852319841427</w:t>
      </w:r>
    </w:p>
    <w:p>
      <w:pPr/>
      <w:r>
        <w:rPr>
          <w:b/>
        </w:rPr>
        <w:t>Shared claim-specific concepts:</w:t>
      </w:r>
      <w:r>
        <w:t xml:space="preserve"> transfer, states, policies; EU scope visible. This is a provisional connection, not an outcome finding.</w:t>
      </w:r>
    </w:p>
    <w:p>
      <w:pPr>
        <w:pStyle w:val="SourceNote"/>
      </w:pPr>
      <w:r>
        <w:rPr>
          <w:b/>
        </w:rPr>
        <w:t>Available abstract (not full text):</w:t>
      </w:r>
      <w:r>
        <w:t xml:space="preserve"> This article addresses the Chinese government’s accelerated process of administrative reform and focuses on the decade-long effort by China to develop transfer policies with selected European nations. Providing more efficient public services and building a broad policy capacity in the face of growing internal and external challenges have prompted the Chinese government’s active engagement in this policy-oriented learning and capacity transfer. New systems of governance through international cooperation programs have been explored, and new initiatives have been adopted. This article presents a case study of the China–Europe Public Administration program, which has served as a rich source of information for government department reform in China. The China–Europe Public Administration program is a policy hub that provides various examples of policy transfer regarding public management from the European Union to China. This article expands the voluntary policy transfer network model as a heuristic approach for understanding the administration reform process, especially regarding personnel sector development in China, and suggests that policy transfer is a rational analytical framework for studying progressive administrative reform in transitional states. In addition, it is observed that policy hubs, like the China–Europe Public Administration program, have become key tools for the </w:t>
      </w:r>
    </w:p>
    <w:p>
      <w:pPr>
        <w:pStyle w:val="Heading2"/>
      </w:pPr>
      <w:r>
        <w:t>746.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2023:</w:t>
      </w:r>
      <w:r>
        <w:t xml:space="preserve"> Climate policy must account for community-specific socio-economic, health, and biophysical conditions—evidence from coastal Alaska — https://doi.org/10.1007/s10113-023-02080-9</w:t>
      </w:r>
    </w:p>
    <w:p>
      <w:pPr/>
      <w:r>
        <w:rPr>
          <w:b/>
        </w:rPr>
        <w:t>Shared claim-specific concepts:</w:t>
      </w:r>
      <w:r>
        <w:t xml:space="preserve"> socio-economic, biophysical, management, factors, moderate; EU scope not established. This is a provisional connection, not an outcome finding.</w:t>
      </w:r>
    </w:p>
    <w:p>
      <w:pPr>
        <w:pStyle w:val="SourceNote"/>
      </w:pPr>
      <w:r>
        <w:rPr>
          <w:b/>
        </w:rPr>
        <w:t>Available abstract (not full text):</w:t>
      </w:r>
      <w:r>
        <w:t xml:space="preserve">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pPr/>
      <w:r>
        <w:rPr>
          <w:b/>
        </w:rPr>
        <w:t>POSSIBLE 2023:</w:t>
      </w:r>
      <w:r>
        <w:t xml:space="preserve"> Integration matters: Combining socio-cultural and biophysical methods for mapping ecosystem service bundles — https://doi.org/10.1007/s13280-023-01830-7</w:t>
      </w:r>
    </w:p>
    <w:p>
      <w:pPr/>
      <w:r>
        <w:rPr>
          <w:b/>
        </w:rPr>
        <w:t>Shared claim-specific concepts:</w:t>
      </w:r>
      <w:r>
        <w:t xml:space="preserve"> biophysical, two, management, sustainable; EU scope visible. This is a provisional connection, not an outcome finding.</w:t>
      </w:r>
    </w:p>
    <w:p>
      <w:pPr>
        <w:pStyle w:val="SourceNote"/>
      </w:pPr>
      <w:r>
        <w:rPr>
          <w:b/>
        </w:rPr>
        <w:t>Available abstract (not full text):</w:t>
      </w:r>
      <w:r>
        <w:t xml:space="preserve">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management, same, practices, sustainable;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2021:</w:t>
      </w:r>
      <w:r>
        <w:t xml:space="preserve"> Analyzing Wildfires and their Socio-economic Factors in Sardinia — https://doi.org/10.21203/rs.3.rs-1131301/v1</w:t>
      </w:r>
    </w:p>
    <w:p>
      <w:pPr/>
      <w:r>
        <w:rPr>
          <w:b/>
        </w:rPr>
        <w:t>Shared claim-specific concepts:</w:t>
      </w:r>
      <w:r>
        <w:t xml:space="preserve"> socio-economic, less, factors; EU scope not established. This is a provisional connection, not an outcome finding.</w:t>
      </w:r>
    </w:p>
    <w:p>
      <w:pPr>
        <w:pStyle w:val="SourceNote"/>
      </w:pPr>
      <w:r>
        <w:rPr>
          <w:b/>
        </w:rPr>
        <w:t>Available abstract (not full text):</w:t>
      </w:r>
      <w:r>
        <w:t xml:space="preserve"> Abstract In the last decades, wildfire hazards have increased to dangerous levels, becoming the focus of debate among policymakers both at the local and national levels. This paper proposes a Spatio-temporal approach to study the determinants of fire size distributions taking Sardinia as a case study in the time span 1998-2009. Special attention is devoted to socioeconomic factors of local communities where wildfires occurred. The main finding of this study is that the proportion of public lands in a given municipality tends to mitigate the extent of the burned area. In addition, communities with a higher percentage of people employed in the primary sector are less likely to experience large burned extents.</w:t>
      </w:r>
    </w:p>
    <w:p>
      <w:pPr/>
      <w:r>
        <w:rPr>
          <w:b/>
        </w:rPr>
        <w:t>POSSIBLE 2021:</w:t>
      </w:r>
      <w:r>
        <w:t xml:space="preserve"> Contrasting biophysical and societal impacts of hydro-meteorological extremes — https://doi.org/10.1088/1748-9326/ac4139</w:t>
      </w:r>
    </w:p>
    <w:p>
      <w:pPr/>
      <w:r>
        <w:rPr>
          <w:b/>
        </w:rPr>
        <w:t>Shared claim-specific concepts:</w:t>
      </w:r>
      <w:r>
        <w:t xml:space="preserve"> biophysical, types, management; EU scope visible. This is a provisional connection, not an outcome finding.</w:t>
      </w:r>
    </w:p>
    <w:p>
      <w:pPr>
        <w:pStyle w:val="SourceNote"/>
      </w:pPr>
      <w:r>
        <w:rPr>
          <w:b/>
        </w:rPr>
        <w:t>Available abstract (not full text):</w:t>
      </w:r>
      <w:r>
        <w:t xml:space="preserve"> Abstract Extreme hydrological and meteorological conditions can severely affect ecosystems, parts of the economy, and consequently society. These impacts are expected to be aggravated by climate change. Here we analyze and compare the impacts of multiple types of extreme events across several domains in Europe, to reveal corresponding impact signatures. We characterize the distinct impacts of droughts, floods, heat waves, frosts and storms on a variety of biophysical and social variables at national level and half-monthly time scale. We find strong biophysical impacts of droughts, floods, heat waves and frosts, while public attention and property damage are more affected by storms and floods. We show unexpected impact patterns such as reduced human mortality during floods and storms. Comparing public attention anomalies with impacts across all other considered domains we find that attention on droughts is comparatively low despite the significant overall impacts. Resolving these impact patterns highlights large-scale vulnerability and supports regional extreme event management to consequently reduce disaster risks.</w:t>
      </w:r>
    </w:p>
    <w:p>
      <w:pPr/>
      <w:r>
        <w:rPr>
          <w:b/>
        </w:rPr>
        <w:t>POSSIBLE 2020:</w:t>
      </w:r>
      <w:r>
        <w:t xml:space="preserve"> Sustainability as an Economic Issue: A BioPhysical Economic Perspective — https://doi.org/10.3390/su12010364</w:t>
      </w:r>
    </w:p>
    <w:p>
      <w:pPr/>
      <w:r>
        <w:rPr>
          <w:b/>
        </w:rPr>
        <w:t>Shared claim-specific concepts:</w:t>
      </w:r>
      <w:r>
        <w:t xml:space="preserve"> biophysical, part, behavioral, sustainable; EU scope not established. This is a provisional connection, not an outcome finding.</w:t>
      </w:r>
    </w:p>
    <w:p>
      <w:pPr>
        <w:pStyle w:val="SourceNote"/>
      </w:pPr>
      <w:r>
        <w:rPr>
          <w:b/>
        </w:rPr>
        <w:t>Available abstract (not full text):</w:t>
      </w:r>
      <w:r>
        <w:t xml:space="preserve"> This essay focuses upon how questions of sustainability are integrated into the teaching of introductory economics. While economics is insufficient by itself to understand the efforts we must take in order to live within nature’s limits, an understanding of economic theory is a vital part of a larger interdisciplinary whole. Yet sustainability is not well integrated into economic theory, especially mainstream, neoclassical, economics. Allocative efficiency and the rate of economic growth are the fundamental metrics while sustainability questions such as the stability of earth systems and the quality of energy resources are relegated to secondary status, if addressed at all. However, in order to address questions such as the earth’s continuing ability to support life, economists need to consider a variety of theoretical perspectives. In the late 1970s, Robert Carson published Economic Issues Today. It presents various economic topics from liberal, radical, and conservative viewpoints, and looking at crucial issues such as sustainability from various ideological perspectives could be an important teaching tool in this era of polarization. This article contends that environmental concerns today are no longer simply microeconomic but biophysical. Biophysical economics sees a sustainable economic theory as one that is grounded in the unity of social and natural sciences. The economy</w:t>
      </w:r>
    </w:p>
    <w:p>
      <w:pPr/>
      <w:r>
        <w:rPr>
          <w:b/>
        </w:rPr>
        <w:t>POSSIBLE 2020:</w:t>
      </w:r>
      <w:r>
        <w:t xml:space="preserve"> Environmental pressure of the European agricultural system: Anticipating the biophysical consequences of internalization — https://doi.org/10.1016/j.ecoser.2020.101195</w:t>
      </w:r>
    </w:p>
    <w:p>
      <w:pPr/>
      <w:r>
        <w:rPr>
          <w:b/>
        </w:rPr>
        <w:t>Shared claim-specific concepts:</w:t>
      </w:r>
      <w:r>
        <w:t xml:space="preserve"> biophysical, quantitative, practices; EU scope visible. This is a provisional connection, not an outcome finding.</w:t>
      </w:r>
    </w:p>
    <w:p>
      <w:pPr>
        <w:pStyle w:val="SourceNote"/>
      </w:pPr>
      <w:r>
        <w:rPr>
          <w:b/>
        </w:rPr>
        <w:t>Available abstract (not full text):</w:t>
      </w:r>
      <w:r>
        <w:t xml:space="preserve"> In the European Union, national-scope efforts to protect local ecosystem services are greatly helped by the externalization of agricultural production. Domestic environmental pressures such as pesticide residue, fertilizer leakage and waterbody overdraft would all significantly increase if European agricultural production were to be re-localized. Those increases would add additional stress on local habitats, soils and freshwater reserves. This work addresses such concerns by anticipating pressure increases associated with a near-complete re-internalization of agricultural production in the European Union. Our results could prove relevant in the event of an end of the era of cheap food imports, or when considering the plausibility of economic circularization efforts (such as suggested by the European Green Deal). Rather than produce quantitative results determined by a given set of supposedly uncontested pre-analytical assumptions, this work presents an innovative approach to scientific representation capable of accommodating several possible results driven by contradictory yet equally legitimate insights. According to our characterization of the option space, which builds on current trade profiles and assumes business as usual change in technical coefficients, a near-complete re-internalization of agricultural production by European Union member states is not environmentally fe</w:t>
      </w:r>
    </w:p>
    <w:p>
      <w:pPr/>
      <w:r>
        <w:rPr>
          <w:b/>
        </w:rPr>
        <w:t>POSSIBLE 2019:</w:t>
      </w:r>
      <w:r>
        <w:t xml:space="preserve"> Climate change induced socio-economic tipping points: review and stakeholder consultation for policy relevant research — https://doi.org/10.1088/1748-9326/ab6395</w:t>
      </w:r>
    </w:p>
    <w:p>
      <w:pPr/>
      <w:r>
        <w:rPr>
          <w:b/>
        </w:rPr>
        <w:t>Shared claim-specific concepts:</w:t>
      </w:r>
      <w:r>
        <w:t xml:space="preserve"> socio-economic, biophysical, drivers, less, factors; EU scope visible. This is a provisional connection, not an outcome finding.</w:t>
      </w:r>
    </w:p>
    <w:p>
      <w:pPr>
        <w:pStyle w:val="SourceNote"/>
      </w:pPr>
      <w:r>
        <w:rPr>
          <w:b/>
        </w:rPr>
        <w:t>Available abstract (not full text):</w:t>
      </w:r>
      <w:r>
        <w:t xml:space="preserve"> Abstract Tipping points have become a key concept in research on climate change, indicating points of abrupt transition in biophysical systems as well as transformative changes in adaptation and mitigation strategies. However, the potential existence of tipping points in socio-economic systems has remained underexplored, whereas they might be highly policy relevant. This paper describes characteristics of climate change induced socio-economic tipping points (SETPs) to guide future research on SETPS to inform climate policy. We review existing literature to create a tipping point typology and to derive the following SETP definition: a climate change induced, abrupt change of a socio-economic system, into a new, fundamentally different state. Through stakeholder consultation, we identify 22 candidate SETP examples with policy relevance for Europe. Three of these are described in higher detail to identify their tipping point characteristics (stable states, mechanisms and abrupt change): the collapse of winter sports tourism, farmland abandonment and sea-level rise-induced migration. We find that stakeholder perceptions play an important role in describing SETPs. The role of climate drivers is difficult to isolate from other drivers because of complex interplays with socio-economic factors. In some cases, the rate of change rather than the magnitude of change causes a tipping point</w:t>
      </w:r>
    </w:p>
    <w:p>
      <w:pPr/>
      <w:r>
        <w:rPr>
          <w:b/>
        </w:rPr>
        <w:t>POSSIBLE 2019:</w:t>
      </w:r>
      <w:r>
        <w:t xml:space="preserve"> Multi-Temporal Analysis of Forest Fire Probability Using Socio-Economic and Environmental Variables — https://doi.org/10.3390/rs11010086</w:t>
      </w:r>
    </w:p>
    <w:p>
      <w:pPr/>
      <w:r>
        <w:rPr>
          <w:b/>
        </w:rPr>
        <w:t>Shared claim-specific concepts:</w:t>
      </w:r>
      <w:r>
        <w:t xml:space="preserve"> socio-economic, factors; EU scope not established. This is a provisional connection, not an outcome finding.</w:t>
      </w:r>
    </w:p>
    <w:p>
      <w:pPr>
        <w:pStyle w:val="SourceNote"/>
      </w:pPr>
      <w:r>
        <w:rPr>
          <w:b/>
        </w:rPr>
        <w:t>Available abstract (not full text):</w:t>
      </w:r>
      <w:r>
        <w:t xml:space="preserve"> As most of the forest fires in South Korea are related to human activity, socio-economic factors are critical in estimating their probability. To estimate and analyze how human activity is influencing forest fire probability, this study considered not only environmental factors such as precipitation, elevation, topographic wetness index, and forest type, but also socio-economic factors such as population density and distance from urban area. The machine learning Maximum Entropy (Maxent) and Random Forest models were used to predict and analyze the spatial distribution of forest fire probability in South Korea. The model performance was evaluated using the receiver operating characteristic (ROC) curve method, and models’ outputs were compared based on the area under the ROC curve (AUC). In addition, a multi-temporal analysis was conducted to determine the relationships between forest fire probability and socio-economic or environmental changes from the 1980s to the 2000s. The analysis revealed that the spatial distribution was concentrated in or around cities, and the probability had a strong correlation with variables related to human activity and accessibility over the decades. The AUC values for validation were higher in the Random Forest result compared to the Maxent result throughout the decades. Our findings can be useful for developing preventive measures for forest fire </w:t>
      </w:r>
    </w:p>
    <w:p>
      <w:pPr>
        <w:pStyle w:val="Heading2"/>
      </w:pPr>
      <w:r>
        <w:t>747.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2022:</w:t>
      </w:r>
      <w:r>
        <w:t xml:space="preserve"> The Role of the North Atlantic Oscillation for Projections of Winter Mean Precipitation in Europe — https://doi.org/10.1029/2022gl099083</w:t>
      </w:r>
    </w:p>
    <w:p>
      <w:pPr/>
      <w:r>
        <w:rPr>
          <w:b/>
        </w:rPr>
        <w:t>Shared claim-specific concepts:</w:t>
      </w:r>
      <w:r>
        <w:t xml:space="preserve"> abstract, projections, precipitation, extremes, multimodel, ensemble; EU scope visible. This is a provisional connection, not an outcome finding.</w:t>
      </w:r>
    </w:p>
    <w:p>
      <w:pPr>
        <w:pStyle w:val="SourceNote"/>
      </w:pPr>
      <w:r>
        <w:rPr>
          <w:b/>
        </w:rPr>
        <w:t>Available abstract (not full text):</w:t>
      </w:r>
      <w:r>
        <w:t xml:space="preserve">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Can we trust CMIP5/6 future projections of European winter precipitation? — https://doi.org/10.1088/1748-9326/abf28a</w:t>
      </w:r>
    </w:p>
    <w:p>
      <w:pPr/>
      <w:r>
        <w:rPr>
          <w:b/>
        </w:rPr>
        <w:t>Shared claim-specific concepts:</w:t>
      </w:r>
      <w:r>
        <w:t xml:space="preserve"> abstract, projections, precipitation, over, resolution, regional; EU scope visible. This is a provisional connection, not an outcome finding.</w:t>
      </w:r>
    </w:p>
    <w:p>
      <w:pPr>
        <w:pStyle w:val="SourceNote"/>
      </w:pPr>
      <w:r>
        <w:rPr>
          <w:b/>
        </w:rPr>
        <w:t>Available abstract (not full text):</w:t>
      </w:r>
      <w:r>
        <w:t xml:space="preserve">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pPr/>
      <w:r>
        <w:rPr>
          <w:b/>
        </w:rPr>
        <w:t>POSSIBLE 2021:</w:t>
      </w:r>
      <w:r>
        <w:t xml:space="preserve"> Future projections of temperature and precipitation for Antarctica — https://doi.org/10.1088/1748-9326/ac43e2</w:t>
      </w:r>
    </w:p>
    <w:p>
      <w:pPr/>
      <w:r>
        <w:rPr>
          <w:b/>
        </w:rPr>
        <w:t>Shared claim-specific concepts:</w:t>
      </w:r>
      <w:r>
        <w:t xml:space="preserve"> abstract, projections, precipitation, climate; EU scope not established. This is a provisional connection, not an outcome finding.</w:t>
      </w:r>
    </w:p>
    <w:p>
      <w:pPr>
        <w:pStyle w:val="SourceNote"/>
      </w:pPr>
      <w:r>
        <w:rPr>
          <w:b/>
        </w:rPr>
        <w:t>Available abstract (not full text):</w:t>
      </w:r>
      <w:r>
        <w:t xml:space="preserve"> Abstract Antarctica directly impacts the lives of more than half of the world’s population living in the coastal regions. Therefore it is highly desirable to project its climate for the future. But it is a region where the climate models have large inter-modal variability and hence it raises questions about the robustness of the projections available. Therefore, we have examined 87 global models from three modelling consortia (Coupled Model Intercomparison Project Phase 5 (CMIP5), Coupled Model Intercomparison Project Phase 6 (CMIP6), and NASA Earth Exchange Global Daily Downscaled Projections (NEX-GDDP)), characterized their fidelity, selected a set of ten models (MM10) performing satisfactorily, and used them to make the future projection of precipitation and temperature, and assessed the contribution of precipitation towards sea-levels. For the historical period, the multi-model mean (MMM) of CMIP5 performed slightly better than CMIP6 and was worse for NEX-GDDP, with negligible surface temperature bias of approximately 0.5 °C and a 17.5% and 19% biases in the mean precipitation noted in both CMIP consortia. These biases considerably reduced in MM10, with 21st century projections showing surface warming of approximately 5.1 °C–5.3 °C and precipitation increase approximately 44%–50% against ERA-5 under high-emission scenarios in both CMIP consortia. This projected precipitatio</w:t>
      </w:r>
    </w:p>
    <w:p>
      <w:pPr/>
      <w:r>
        <w:rPr>
          <w:b/>
        </w:rPr>
        <w:t>POSSIBLE 2021:</w:t>
      </w:r>
      <w:r>
        <w:t xml:space="preserve"> How does the CMIP6 ensemble change the picture for European climate projections? — https://doi.org/10.1088/1748-9326/ac1ed9</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pPr>
        <w:pStyle w:val="Heading2"/>
      </w:pPr>
      <w:r>
        <w:t>748.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r>
        <w:rPr>
          <w:b/>
        </w:rPr>
        <w:t>POSSIBLE 2022:</w:t>
      </w:r>
      <w:r>
        <w:t xml:space="preserve"> The United Kingdom — https://doi.org/10.1093/oso/9780192855534.003.0006</w:t>
      </w:r>
    </w:p>
    <w:p>
      <w:pPr/>
      <w:r>
        <w:rPr>
          <w:b/>
        </w:rPr>
        <w:t>Shared claim-specific concepts:</w:t>
      </w:r>
      <w:r>
        <w:t xml:space="preserve"> united, kingdom, itself, provided, within; EU scope visible. This is a provisional connection, not an outcome finding.</w:t>
      </w:r>
    </w:p>
    <w:p>
      <w:pPr>
        <w:pStyle w:val="SourceNote"/>
      </w:pPr>
      <w:r>
        <w:rPr>
          <w:b/>
        </w:rPr>
        <w:t>Available abstract (not full text):</w:t>
      </w:r>
      <w:r>
        <w:t xml:space="preserve">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pPr/>
      <w:r>
        <w:rPr>
          <w:b/>
        </w:rPr>
        <w:t>POSSIBLE 2021:</w:t>
      </w:r>
      <w:r>
        <w:t xml:space="preserve"> The Growth of the Anti-Transgender Movement in the United Kingdom. The Silent Radicalization of the British Electorate — https://doi.org/10.1080/00207659.2021.1939946</w:t>
      </w:r>
    </w:p>
    <w:p>
      <w:pPr/>
      <w:r>
        <w:rPr>
          <w:b/>
        </w:rPr>
        <w:t>Shared claim-specific concepts:</w:t>
      </w:r>
      <w:r>
        <w:t xml:space="preserve"> united, kingdom, placed, against, within; EU scope not established. This is a provisional connection, not an outcome finding.</w:t>
      </w:r>
    </w:p>
    <w:p>
      <w:pPr>
        <w:pStyle w:val="SourceNote"/>
      </w:pPr>
      <w:r>
        <w:rPr>
          <w:b/>
        </w:rPr>
        <w:t>Available abstract (not full text):</w:t>
      </w:r>
      <w:r>
        <w:t xml:space="preserve"> This article examines the development of anti-transgender debates within the United Kingdom, which have gained traction due to proposed amendments to the country’s Gender Recognition Act (GRA). A group of determined lobby groups, taking their lead from like-minded organizations in the United States, has protested vigorously against the proposed changes to the GRA, especially with respect to “single-sex spaces”. As a result of this furor, the lives of transgender people have become the subject of open debate. Trans people now see their legitimacy questioned, and their ability to access services increasingly being placed under the microscope. This article argues that the literature on radicalization – developed in response to domestic terrorism – can explain these developments. UK lobby groups are successfully pushing a radical agenda to deny the basic rights of trans people, and are doing so under the cover of “free speech” – a sacrosanct element of life in Anglo-Saxon countries.</w:t>
      </w:r>
    </w:p>
    <w:p>
      <w:pPr/>
      <w:r>
        <w:rPr>
          <w:b/>
        </w:rPr>
        <w:t>POSSIBLE 2020:</w:t>
      </w:r>
      <w:r>
        <w:t xml:space="preserve"> Homebirthing in the United Kingdom during COVID-19 — https://doi.org/10.1177/0968533220955224</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COVID-19 has significantly impacted all aspects of maternity services in the United Kingdom, exacerbating the fact that choice is insufficiently centred within the maternity regime. In this article, we focus on the restrictions placed on homebirthing services by some National Health Service Trusts in response to the virus. In March 2020, around a third of Trusts implemented blanket policies suspending their entire homebirth service. We argue that the failure to protect choice about place of birth during the pandemic may not only be harmful to birthing people’s physical and mental health, but also that it is legally problematic as it may, in some instances, breach human rights obligations. We also voice concerns about the possibility that in the absence of available homebirthing services people might choose to freebirth. While freebirthing (birthing absent any medical or midwifery support) is not innately problematic, it is concerning that people may feel forced to opt for this.</w:t>
      </w:r>
    </w:p>
    <w:p>
      <w:pPr/>
      <w:r>
        <w:rPr>
          <w:b/>
        </w:rPr>
        <w:t>POSSIBLE 2020:</w:t>
      </w:r>
      <w:r>
        <w:t xml:space="preserve"> Telehealth in the Context of COVID-19: Changing Perspectives in Australia, the United Kingdom, and the United States — https://doi.org/10.2196/19264</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BACKGROUND: On March 12, 2020, the World Health Organization declared the coronavirus disease (COVID-19) outbreak a pandemic. On that date, there were 134,576 reported cases and 4981 deaths worldwide. By March 26, 2020, just 2 weeks later, reported cases had increased four-fold to 531,865, and deaths increased five-fold to 24,073. Older people are both major users of telehealth services and are more likely to die as a result of COVID-19. OBJECTIVE: This paper examines the extent that Australia, the United Kingdom, and the United States, during the 2 weeks following the pandemic announcement, sought to promote telehealth as a tool that could help identify COVID-19 among older people who may live alone, be frail, or be self-isolating, and give support to or facilitate the treatment of people who are or may be infected. METHODS: This paper reports, for the 2-week period previously mentioned and immediately prior, on activities and initiatives in the three countries taken by governments or their agencies (at national or state levels) together with publications or guidance issued by professional, trade, and charitable bodies. Different sources of information are drawn upon that point to the perceived likely benefits of telehealth in fighting the pandemic. It is not the purpose of this paper to draw together or analyze information that reflects growing knowledge about COVID-19, excep</w:t>
      </w:r>
    </w:p>
    <w:p>
      <w:pPr/>
      <w:r>
        <w:rPr>
          <w:b/>
        </w:rPr>
        <w:t>POSSIBLE 2019:</w:t>
      </w:r>
      <w:r>
        <w:t xml:space="preserve"> United Kingdom — https://doi.org/10.4324/9781351066341-12</w:t>
      </w:r>
    </w:p>
    <w:p>
      <w:pPr/>
      <w:r>
        <w:rPr>
          <w:b/>
        </w:rPr>
        <w:t>Shared claim-specific concepts:</w:t>
      </w:r>
      <w:r>
        <w:t xml:space="preserve"> united, kingdom, placed, systems; EU scope visible. This is a provisional connection, not an outcome finding.</w:t>
      </w:r>
    </w:p>
    <w:p>
      <w:pPr>
        <w:pStyle w:val="SourceNote"/>
      </w:pPr>
      <w:r>
        <w:rPr>
          <w:b/>
        </w:rPr>
        <w:t>Available abstract (not full text):</w:t>
      </w:r>
      <w:r>
        <w:t xml:space="preserve"> Are parents across the four nations of the United Kingdom (UK) expected to participate in education systems where all but the most privileged are disempowered and pathologised? This chapter argues that this is the case. This worrying contemporary positioning of parents as they engage with schools and education is foregrounded in legislative and political history, research trends and new research directions that are specific to the UK. The chapter charts the divergence between England and the devolved nations of Wales, Scotland and Northern Ireland in policies concerning parental engagement and involvement in education. It also reveals commonalities between the nations in contemporary political educational agendas and, therein, the expectations placed upon parents in respect of their involvement with their children’s learning. The differences and similarities are scrutinised in the context of educational and sociological research, which reveals that the enactment of policy through practice and the lived experiences of parents suggest a worrying culture of exclusion and inequality in which many are both disadvantaged and marginalised.</w:t>
      </w:r>
    </w:p>
    <w:p>
      <w:pPr>
        <w:pStyle w:val="Heading2"/>
      </w:pPr>
      <w:r>
        <w:t>749. Regulating the Use of Bisphenol A in Baby and Children's Products in the European Union: Current Developments and Scenarios for the Regulatory Future</w:t>
      </w:r>
    </w:p>
    <w:p>
      <w:pPr>
        <w:pStyle w:val="SourceNote"/>
      </w:pPr>
      <w:r>
        <w:rPr>
          <w:b/>
        </w:rPr>
        <w:t>Original source (2017):</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Enhancing the use of exposure science across EU chemical policies as part of the European Exposure Science Strategy 2020–2030 — https://doi.org/10.1038/s41370-021-00388-4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pPr/>
      <w:r>
        <w:rPr>
          <w:b/>
        </w:rPr>
        <w:t>POSSIBLE 2019:</w:t>
      </w:r>
      <w:r>
        <w:t xml:space="preserve"> Intricacies in the Approval of Radiopharmaceuticals – Regulatory Perspectives and the Way Forward — https://doi.org/10.18520/cs/v116/i1/47-55</w:t>
      </w:r>
    </w:p>
    <w:p>
      <w:pPr/>
      <w:r>
        <w:rPr>
          <w:b/>
        </w:rPr>
        <w:t>Shared claim-specific concepts:</w:t>
      </w:r>
      <w:r>
        <w:t xml:space="preserve"> regulatory, not, use, however; EU scope visible. This is a provisional connection, not an outcome finding.</w:t>
      </w:r>
    </w:p>
    <w:p>
      <w:pPr>
        <w:pStyle w:val="SourceNote"/>
      </w:pPr>
      <w:r>
        <w:rPr>
          <w:b/>
        </w:rPr>
        <w:t>Available abstract (not full text):</w:t>
      </w:r>
      <w:r>
        <w:t xml:space="preserve"> Extensive research by the global scientific fraternity has led to the production of many radiopharmaceuticals of immense clinical importance.However, this increasing availability has not been matched by adequate regulatory action to back up the legal foundation for their commercial use.It is imperative for a radiopharmaceutical to have a seal of regulatory authority approval to qualify for human use.The present article highlights various regulatory requirements for approval of radiopharmaceuticals in USA, Europe, and particularly India, which does not have guidelines for their approval, and intensifies the concern for a harmonized regulatory platform of global acceptance.</w:t>
      </w:r>
    </w:p>
    <w:p>
      <w:pPr/>
      <w:r>
        <w:rPr>
          <w:b/>
        </w:rPr>
        <w:t>POSSIBLE 2019:</w:t>
      </w:r>
      <w:r>
        <w:t xml:space="preserve"> Traditional and Digital Biomarkers: Two Worlds Apart? — https://doi.org/10.1159/000502000</w:t>
      </w:r>
    </w:p>
    <w:p>
      <w:pPr/>
      <w:r>
        <w:rPr>
          <w:b/>
        </w:rPr>
        <w:t>Shared claim-specific concepts:</w:t>
      </w:r>
      <w:r>
        <w:t xml:space="preserve"> apart, regulatory, however; EU scope not established. This is a provisional connection, not an outcome finding.</w:t>
      </w:r>
    </w:p>
    <w:p>
      <w:pPr>
        <w:pStyle w:val="SourceNote"/>
      </w:pPr>
      <w:r>
        <w:rPr>
          <w:b/>
        </w:rPr>
        <w:t>Available abstract (not full text):</w:t>
      </w:r>
      <w:r>
        <w:t xml:space="preserve"> The identification and application of biomarkers in the clinical and medical fields has an enormous impact on society. The increase of digital devices and the rise in popularity of health-related mobile apps has produced a new trove of biomarkers in large, diverse, and complex data. However, the unclear definition of digital biomarkers, population groups, and their intersection with traditional biomarkers hinders their discovery and validation. We have identified current issues in the field of digital biomarkers and put forth suggestions to address them during the DayOne Workshop with participants from academia and industry. We have found similarities and differences between traditional and digital biomarkers in order to synchronize semantics, define unique features, review current regulatory procedures, and describe novel applications that enable precision medicine.</w:t>
      </w:r>
    </w:p>
    <w:p>
      <w:pPr>
        <w:pStyle w:val="Heading2"/>
      </w:pPr>
      <w:r>
        <w:t>750.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2022:</w:t>
      </w:r>
      <w:r>
        <w:t xml:space="preserve"> Reticular Chemistry for Highly Porous Metal–Organic Frameworks: The Chemistry and Applications — https://doi.org/10.1021/acs.accounts.1c00707</w:t>
      </w:r>
    </w:p>
    <w:p>
      <w:pPr/>
      <w:r>
        <w:rPr>
          <w:b/>
        </w:rPr>
        <w:t>Shared claim-specific concepts:</w:t>
      </w:r>
      <w:r>
        <w:t xml:space="preserve"> four, chemistry, developed, design, two, account; EU scope not established. This is a provisional connection, not an outcome finding.</w:t>
      </w:r>
    </w:p>
    <w:p>
      <w:pPr>
        <w:pStyle w:val="SourceNote"/>
      </w:pPr>
      <w:r>
        <w:rPr>
          <w:b/>
        </w:rPr>
        <w:t>Available abstract (not full text):</w:t>
      </w:r>
      <w:r>
        <w:t xml:space="preserve">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pPr/>
      <w:r>
        <w:rPr>
          <w:b/>
        </w:rPr>
        <w:t>POSSIBLE 2018:</w:t>
      </w:r>
      <w:r>
        <w:t xml:space="preserve"> A Framework for Learning in the Chemistry Laboratory — https://doi.org/10.1002/ijch.201800093</w:t>
      </w:r>
    </w:p>
    <w:p>
      <w:pPr/>
      <w:r>
        <w:rPr>
          <w:b/>
        </w:rPr>
        <w:t>Shared claim-specific concepts:</w:t>
      </w:r>
      <w:r>
        <w:t xml:space="preserve"> four, regarding, chemistry, practice, two, taken; EU scope not established. This is a provisional connection, not an outcome finding.</w:t>
      </w:r>
    </w:p>
    <w:p>
      <w:pPr>
        <w:pStyle w:val="SourceNote"/>
      </w:pPr>
      <w:r>
        <w:rPr>
          <w:b/>
        </w:rPr>
        <w:t>Available abstract (not full text):</w:t>
      </w:r>
      <w:r>
        <w:t xml:space="preserve"> Abstract Designing laboratory activities is a real challenge for those working in higher education. There is often an acknowledged frustration with the status quo, but a lack of clear guidance on what strategies might be useful in considering a redesign. This article aims to address the question: what considerations should be taken into account when designing a laboratory activity? To address it, we first describe an overarching framework for laboratory learning, describing it as a complex learning environment. The reason for this is that two clear overarching guidelines emerge – the first is that the laboratory curriculum should be structured so that each new challenge for student is adequately supported by their prior learning so that they can draw on their knowledge to address the new learning situation, and the second is that guidelines for the kinds of preparation for laboratory learning emerge. Based on this framework, we advocate four core principles for laboratory learning that should be considered when designing a laboratory activity regarding the overall purpose, the role of preparation, the teaching of technique, and the consideration of affective dimensions of learning. We illustrate this framework in practice with examples from our own practice, with suggestions on using the literature on laboratory education as a source for curriculum reform within an institution.</w:t>
      </w:r>
    </w:p>
    <w:p>
      <w:pPr>
        <w:pStyle w:val="Heading2"/>
      </w:pPr>
      <w:r>
        <w:t>751.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2021:</w:t>
      </w:r>
      <w:r>
        <w:t xml:space="preserve"> The relationship between cultural tightness–looseness and COVID-19 cases and deaths: a global analysis — https://doi.org/10.1016/s2542-5196(20)30301-6</w:t>
      </w:r>
    </w:p>
    <w:p>
      <w:pPr/>
      <w:r>
        <w:rPr>
          <w:b/>
        </w:rPr>
        <w:t>Shared claim-specific concepts:</w:t>
      </w:r>
      <w:r>
        <w:t xml:space="preserve"> tight, countries, million, help; EU scope not established. This is a provisional connection, not an outcome finding.</w:t>
      </w:r>
    </w:p>
    <w:p>
      <w:pPr>
        <w:pStyle w:val="SourceNote"/>
      </w:pPr>
      <w:r>
        <w:rPr>
          <w:b/>
        </w:rPr>
        <w:t>Available abstract (not full text):</w:t>
      </w:r>
      <w:r>
        <w:t xml:space="preserve">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pPr/>
      <w:r>
        <w:rPr>
          <w:b/>
        </w:rPr>
        <w:t>POSSIBLE 2020:</w:t>
      </w:r>
      <w:r>
        <w:t xml:space="preserve"> Interdependence and cooperation in daily life. — https://doi.org/10.1037/pspi0000253</w:t>
      </w:r>
    </w:p>
    <w:p>
      <w:pPr/>
      <w:r>
        <w:rPr>
          <w:b/>
        </w:rPr>
        <w:t>Shared claim-specific concepts:</w:t>
      </w:r>
      <w:r>
        <w:t xml:space="preserve"> cooperation, affected, over; EU scope not established. This is a provisional connection, not an outcome finding.</w:t>
      </w:r>
    </w:p>
    <w:p>
      <w:pPr>
        <w:pStyle w:val="SourceNote"/>
      </w:pPr>
      <w:r>
        <w:rPr>
          <w:b/>
        </w:rPr>
        <w:t>Available abstract (not full text):</w:t>
      </w:r>
      <w:r>
        <w:t xml:space="preserve">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pPr/>
      <w:r>
        <w:rPr>
          <w:b/>
        </w:rPr>
        <w:t>POSSIBLE 2019:</w:t>
      </w:r>
      <w:r>
        <w:t xml:space="preserve"> Legal Problems and Decisions in the Cooperation between National Ombudsmen in South – East Europe — https://openalex.org/W7131993177</w:t>
      </w:r>
    </w:p>
    <w:p>
      <w:pPr/>
      <w:r>
        <w:rPr>
          <w:b/>
        </w:rPr>
        <w:t>Shared claim-specific concepts:</w:t>
      </w:r>
      <w:r>
        <w:t xml:space="preserve"> need, tight, cooperation, countries, urgent; EU scope visible. This is a provisional connection, not an outcome finding.</w:t>
      </w:r>
    </w:p>
    <w:p>
      <w:pPr>
        <w:pStyle w:val="SourceNote"/>
      </w:pPr>
      <w:r>
        <w:rPr>
          <w:b/>
        </w:rPr>
        <w:t>Available abstract (not full text):</w:t>
      </w:r>
      <w:r>
        <w:t xml:space="preserve">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pPr/>
      <w:r>
        <w:rPr>
          <w:b/>
        </w:rPr>
        <w:t>POSSIBLE 2019:</w:t>
      </w:r>
      <w:r>
        <w:t xml:space="preserve"> A comparative approach to affect and cooperation — https://doi.org/10.1016/j.neubiorev.2019.09.027</w:t>
      </w:r>
    </w:p>
    <w:p>
      <w:pPr/>
      <w:r>
        <w:rPr>
          <w:b/>
        </w:rPr>
        <w:t>Shared claim-specific concepts:</w:t>
      </w:r>
      <w:r>
        <w:t xml:space="preserve"> cooperation, develop, help; EU scope not established. This is a provisional connection, not an outcome finding.</w:t>
      </w:r>
    </w:p>
    <w:p>
      <w:pPr>
        <w:pStyle w:val="SourceNote"/>
      </w:pPr>
      <w:r>
        <w:rPr>
          <w:b/>
        </w:rPr>
        <w:t>Available abstract (not full text):</w:t>
      </w:r>
      <w:r>
        <w:t xml:space="preserve"> A central premise of the science of comparative affect is that we can best learn about the causes and consequences of affect by comparing affective phenomena across a variety of species, including humans. We take as a given that affect is widely shared across animals, but a key challenge is to accurately represent each species' affective experience. A common approach in the comparative study of behavior and cognition is to develop standardized experimental paradigms that can be used across species, with the assumption that if the same task is being used, we can directly compare behavioral responses. This experimental approach rests on two underlying assumptions: first, that different species' perception of and affective response to these paradigms are the same; and second, that behavioral and physiological (including endocrine and neural) responses to these paradigms are homologous; if either of these assumptions is not true, then the comparison becomes much less straightforward. Our goal in the present paper is to summarize the dominant paradigms that have been used for such comparative research, with a particular focus on paradigms common in the cooperation literature, and to critically discuss dominant assumptions about what affective states these tasks can or should measure. We then consider the advantages and drawbacks of this experimental method, and consider alternatives</w:t>
      </w:r>
    </w:p>
    <w:p>
      <w:pPr/>
      <w:r>
        <w:rPr>
          <w:b/>
        </w:rPr>
        <w:t>POSSIBLE 2019:</w:t>
      </w:r>
      <w:r>
        <w:t xml:space="preserve"> Botswana's Ownership over the Development Cooperation with the European Union: Technical and Vocational Education and Training and the Cooperation of Stakeholders — https://openalex.org/W2975717296</w:t>
      </w:r>
    </w:p>
    <w:p>
      <w:pPr/>
      <w:r>
        <w:rPr>
          <w:b/>
        </w:rPr>
        <w:t>Shared claim-specific concepts:</w:t>
      </w:r>
      <w:r>
        <w:t xml:space="preserve"> cooperation, support, over, solutions; EU scope visible. This is a provisional connection, not an outcome finding.</w:t>
      </w:r>
    </w:p>
    <w:p>
      <w:pPr>
        <w:pStyle w:val="SourceNote"/>
      </w:pPr>
      <w:r>
        <w:rPr>
          <w:b/>
        </w:rPr>
        <w:t>Available abstract (not full text):</w:t>
      </w:r>
      <w:r>
        <w:t xml:space="preserve"> The development research has stressed the importance of technical and vocational education and training for systemic progress in a society. However, proscribed donor-centred solutions often fail to deliver the expected result. As such enabling the local stakeholders and supporting their ideas rather than enforcing the donors' own visions is seen as a promising way to engage in development policy. By conceptualising ownership and examining the cooperation between the EU and key ministries in Botswana this study finds that there are regular exchanges between the EU and stakeholder ministries, which go beyond the usual diplomatic channels. While financial budget support limits the decision making possibilities of the Ministry of Finance and Development Planning the subject orientated cooperation with the government ministries in Botswana relies more on local expertise and is less prone to European influence where such external expertise is not deemed necessary.</w:t>
      </w:r>
    </w:p>
    <w:p>
      <w:pPr/>
      <w:r>
        <w:rPr>
          <w:b/>
        </w:rPr>
        <w:t>POSSIBLE 2018:</w:t>
      </w:r>
      <w:r>
        <w:t xml:space="preserve"> Nuances in the Interplay of Competition and Cooperation: Towards a Theory of Coopetition — https://doi.org/10.1177/0149206318788945</w:t>
      </w:r>
    </w:p>
    <w:p>
      <w:pPr/>
      <w:r>
        <w:rPr>
          <w:b/>
        </w:rPr>
        <w:t>Shared claim-specific concepts:</w:t>
      </w:r>
      <w:r>
        <w:t xml:space="preserve"> cooperation, lead, mechanisms, help; EU scope not established. This is a provisional connection, not an outcome finding.</w:t>
      </w:r>
    </w:p>
    <w:p>
      <w:pPr>
        <w:pStyle w:val="SourceNote"/>
      </w:pPr>
      <w:r>
        <w:rPr>
          <w:b/>
        </w:rPr>
        <w:t>Available abstract (not full text):</w:t>
      </w:r>
      <w:r>
        <w:t xml:space="preserve"> Progress in coopetition research is impeded by two problems in the literature: (a) superficial conceptualization of simultaneity and outcomes and (b) lack of theorizing about core properties of coopetition and how they influence outcomes. This paper addresses these interrelated problems and charts a path towards a theory of coopetition. We systematically analyze competition and cooperation and illuminate how the interplay between specific aspects of competition and cooperation manifests through unique coopetition mechanisms. We explicate a range of possible outcomes from coopetition—joint value creation for all firms, value creation for individual firms, and value destruction—and suggest that coopetition mechanisms help explain how and why coopetition may lead to varying outcomes. Furthermore, we explain how effective navigation of simultaneity and value creation intent, two fundamental elements of coopetition, may be instrumental in deriving beneficial outcomes. Navigating simultaneity involves balancing competition and cooperation and maintaining both at moderately strong levels, and navigating value creation consists of managing the trade-off between joint value creation and firm value creation without compromising overall value creation. By explaining how coopetition manifests, what its unique underlying properties are, and how such properties influence outcomes, our paper </w:t>
      </w:r>
    </w:p>
    <w:p>
      <w:pPr>
        <w:pStyle w:val="Heading2"/>
      </w:pPr>
      <w:r>
        <w:t>752.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2023:</w:t>
      </w:r>
      <w:r>
        <w:t xml:space="preserve"> Democracy and Nuclear Power in the Czech Republic — https://doi.org/10.4324/9781003421368-17</w:t>
      </w:r>
    </w:p>
    <w:p>
      <w:pPr/>
      <w:r>
        <w:rPr>
          <w:b/>
        </w:rPr>
        <w:t>Shared claim-specific concepts:</w:t>
      </w:r>
      <w:r>
        <w:t xml:space="preserve"> nuclear, power, experience; EU scope visible. This is a provisional connection, not an outcome finding.</w:t>
      </w:r>
    </w:p>
    <w:p>
      <w:pPr>
        <w:pStyle w:val="SourceNote"/>
      </w:pPr>
      <w:r>
        <w:rPr>
          <w:b/>
        </w:rPr>
        <w:t>Available abstract (not full text):</w:t>
      </w:r>
      <w:r>
        <w:t xml:space="preserve">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pPr/>
      <w:r>
        <w:rPr>
          <w:b/>
        </w:rPr>
        <w:t>POSSIBLE 2023:</w:t>
      </w:r>
      <w:r>
        <w:t xml:space="preserve"> Historical diffusion of nuclear, wind and solar power in different national contexts: implications for climate mitigation pathways — https://doi.org/10.1088/1748-9326/acf47a</w:t>
      </w:r>
    </w:p>
    <w:p>
      <w:pPr/>
      <w:r>
        <w:rPr>
          <w:b/>
        </w:rPr>
        <w:t>Shared claim-specific concepts:</w:t>
      </w:r>
      <w:r>
        <w:t xml:space="preserve"> nuclear, power, climate, electricity; EU scope visible. This is a provisional connection, not an outcome finding.</w:t>
      </w:r>
    </w:p>
    <w:p>
      <w:pPr>
        <w:pStyle w:val="SourceNote"/>
      </w:pPr>
      <w:r>
        <w:rPr>
          <w:b/>
        </w:rPr>
        <w:t>Available abstract (not full text):</w:t>
      </w:r>
      <w:r>
        <w:t xml:space="preserve">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pPr/>
      <w:r>
        <w:rPr>
          <w:b/>
        </w:rPr>
        <w:t>POSSIBLE 2023:</w:t>
      </w:r>
      <w:r>
        <w:t xml:space="preserve"> The Economy of the Countries of the World is Experiencing the Need for Nuclear Power Plants — https://openalex.org/W7219353948</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pPr/>
      <w:r>
        <w:rPr>
          <w:b/>
        </w:rPr>
        <w:t>POSSIBLE 2022:</w:t>
      </w:r>
      <w:r>
        <w:t xml:space="preserve"> European energy transition: Decomposing the performance of nuclear power — https://doi.org/10.1016/j.energy.2022.123244</w:t>
      </w:r>
    </w:p>
    <w:p>
      <w:pPr/>
      <w:r>
        <w:rPr>
          <w:b/>
        </w:rPr>
        <w:t>Shared claim-specific concepts:</w:t>
      </w:r>
      <w:r>
        <w:t xml:space="preserve"> nuclear, power, generation, electricity; EU scope visible. This is a provisional connection, not an outcome finding.</w:t>
      </w:r>
    </w:p>
    <w:p>
      <w:pPr>
        <w:pStyle w:val="SourceNote"/>
      </w:pPr>
      <w:r>
        <w:rPr>
          <w:b/>
        </w:rPr>
        <w:t>Available abstract (not full text):</w:t>
      </w:r>
      <w:r>
        <w:t xml:space="preserve">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pPr/>
      <w:r>
        <w:rPr>
          <w:b/>
        </w:rPr>
        <w:t>POSSIBLE 2022:</w:t>
      </w:r>
      <w:r>
        <w:t xml:space="preserve"> Nuclear Power as a Response to the Climate Crisis: Focusing on the Development and Cooperation of the Nuclear Industry in Russia and France — https://doi.org/10.19170/eebs.2022.46.2.163</w:t>
      </w:r>
    </w:p>
    <w:p>
      <w:pPr/>
      <w:r>
        <w:rPr>
          <w:b/>
        </w:rPr>
        <w:t>Shared claim-specific concepts:</w:t>
      </w:r>
      <w:r>
        <w:t xml:space="preserve"> nuclear, power, experience, generation, climate, analyzes; EU scope visible. This is a provisional connection, not an outcome finding.</w:t>
      </w:r>
    </w:p>
    <w:p>
      <w:pPr>
        <w:pStyle w:val="SourceNote"/>
      </w:pPr>
      <w:r>
        <w:rPr>
          <w:b/>
        </w:rPr>
        <w:t>Available abstract (not full text):</w:t>
      </w:r>
      <w:r>
        <w:t xml:space="preserve">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pPr/>
      <w:r>
        <w:rPr>
          <w:b/>
        </w:rPr>
        <w:t>POSSIBLE 2022:</w:t>
      </w:r>
      <w:r>
        <w:t xml:space="preserve"> The Economics of Nuclear Power — https://doi.org/10.22439/csei.pb.015</w:t>
      </w:r>
    </w:p>
    <w:p>
      <w:pPr/>
      <w:r>
        <w:rPr>
          <w:b/>
        </w:rPr>
        <w:t>Shared claim-specific concepts:</w:t>
      </w:r>
      <w:r>
        <w:t xml:space="preserve"> nuclear, power, technological, electricity; EU scope not established. This is a provisional connection, not an outcome finding.</w:t>
      </w:r>
    </w:p>
    <w:p>
      <w:pPr>
        <w:pStyle w:val="SourceNote"/>
      </w:pPr>
      <w:r>
        <w:rPr>
          <w:b/>
        </w:rPr>
        <w:t>Available abstract (not full text):</w:t>
      </w:r>
      <w:r>
        <w:t xml:space="preserve">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pPr/>
      <w:r>
        <w:rPr>
          <w:b/>
        </w:rPr>
        <w:t>POSSIBLE 2019:</w:t>
      </w:r>
      <w:r>
        <w:t xml:space="preserve"> Operating Experience for Valves at the Nuclear Power Plants of Ukraine and the European Union — https://doi.org/10.32918/nrs.2019.3(83).04</w:t>
      </w:r>
    </w:p>
    <w:p>
      <w:pPr/>
      <w:r>
        <w:rPr>
          <w:b/>
        </w:rPr>
        <w:t>Shared claim-specific concepts:</w:t>
      </w:r>
      <w:r>
        <w:t xml:space="preserve"> nuclear, power, experience, within, events; EU scope visible. This is a provisional connection, not an outcome finding.</w:t>
      </w:r>
    </w:p>
    <w:p>
      <w:pPr>
        <w:pStyle w:val="SourceNote"/>
      </w:pPr>
      <w:r>
        <w:rPr>
          <w:b/>
        </w:rPr>
        <w:t>Available abstract (not full text):</w:t>
      </w:r>
      <w:r>
        <w:t xml:space="preserve"> The paper presents information on the results of analyzing operational events at nuclear power plants (NPP) of Ukraine and the European Union that were caused or related to the failures of valves. The first part of the paper provides a brief overview of the European Clearinghouse on Operational Feedback for Nuclear Power Plants study on operational events with failure of the valves important to NPP safety. The abovementioned study considered events for the period from 1997 to 2016, which were taken from the IAEA database, databases of technical support organizations of France and Germany, as well as those provided by the Swiss and Spanish regulatory authorities. The main results of the study were presented in the paper, and the main causes of operational events caused by valve failures were observed. In addition, technical areas that required the development of recommendations were indicated. The paper includes a statistical assessment and a detailed analysis of the root causes of operational events at Ukrainian NPPs caused by or related to the failure of valves of all types, regardless of the effect on safety, for the period from 1998 to 2018. The approach for the analysis of operational events at Ukrainian NPPs is similar to that used in the above-mentioned study. Within the framework of the statistical analysis, the distribution of operational events at Ukrainian NPPs relate</w:t>
      </w:r>
    </w:p>
    <w:p>
      <w:pPr/>
      <w:r>
        <w:rPr>
          <w:b/>
        </w:rPr>
        <w:t>POSSIBLE 2019:</w:t>
      </w:r>
      <w:r>
        <w:t xml:space="preserve"> The Technological and Economic Future of Nuclear Power — https://doi.org/10.1007/978-3-658-25987-7</w:t>
      </w:r>
    </w:p>
    <w:p>
      <w:pPr/>
      <w:r>
        <w:rPr>
          <w:b/>
        </w:rPr>
        <w:t>Shared claim-specific concepts:</w:t>
      </w:r>
      <w:r>
        <w:t xml:space="preserve"> nuclear, power, technological, generation, issues, electricity; EU scope visible. This is a provisional connection, not an outcome finding.</w:t>
      </w:r>
    </w:p>
    <w:p>
      <w:pPr>
        <w:pStyle w:val="SourceNote"/>
      </w:pPr>
      <w:r>
        <w:rPr>
          <w:b/>
        </w:rPr>
        <w:t>Available abstract (not full text):</w:t>
      </w:r>
      <w:r>
        <w:t xml:space="preserve"> In this open access book, the economics of nuclear power for electricity generation is discussed, as well as technical, legal, and political acceptance issues. The economic performance is eroding since in recent years the costs have skyrocketed, especially in European countries and North America.</w:t>
      </w:r>
    </w:p>
    <w:p>
      <w:pPr/>
      <w:r>
        <w:rPr>
          <w:b/>
        </w:rPr>
        <w:t>POSSIBLE 2019:</w:t>
      </w:r>
      <w:r>
        <w:t xml:space="preserve"> Nuclear Power in a Clean Energy System — https://doi.org/10.3917/re1.097.0122</w:t>
      </w:r>
    </w:p>
    <w:p>
      <w:pPr/>
      <w:r>
        <w:rPr>
          <w:b/>
        </w:rPr>
        <w:t>Shared claim-specific concepts:</w:t>
      </w:r>
      <w:r>
        <w:t xml:space="preserve"> nuclear, power, generation, several, electricity; EU scope not established. This is a provisional connection, not an outcome finding.</w:t>
      </w:r>
    </w:p>
    <w:p>
      <w:pPr>
        <w:pStyle w:val="SourceNote"/>
      </w:pPr>
      <w:r>
        <w:rPr>
          <w:b/>
        </w:rPr>
        <w:t>Available abstract (not full text):</w:t>
      </w:r>
      <w:r>
        <w:t xml:space="preserve"> Nuclear power, along with hydropower, forms the backbone of low carbon electricity generation today; together they provide three-quarters of global low-carbon generation today. Over the past 50 years, nuclear power has reduced CO2 emissions by over 60 gigatonnes – nearly two years’ worth of global energyrelated emissions. Yet in the advanced economies, nuclear power has begun to fade, with plants closing and little new investment, just when the world requires more low-carbon electricity. This paper focuses on the role of nuclear power in the advanced economies today and the factors that put nuclear power there at risk of decline tomorrow. The paper shows that without action nuclear power in the advanced economies could fall by two-thirds to 2040. It examines the implications of such a decline for emissions and for electricity security.Achieving the pace of CO2 emission reductions in line with the Paris Agreement is already a huge challenge, requiring large increases in efficiency and renewables investments, as well as an increase in nuclear power. This paper identifies the even-greater challenges of attempting to follow this path with much less nuclear power, including an additional USD 1.6 trillion in investment needs and 5% higher cost to consumers in advanced economies. This paper recommends several actions to governments open to nuclear power that aim to ensure existing pla</w:t>
      </w:r>
    </w:p>
    <w:p>
      <w:pPr/>
      <w:r>
        <w:rPr>
          <w:b/>
        </w:rPr>
        <w:t>POSSIBLE 2018:</w:t>
      </w:r>
      <w:r>
        <w:t xml:space="preserve"> The diplomacy of resistance: power, hegemony and nuclear disarmament — https://doi.org/10.1080/14781158.2018.1467393</w:t>
      </w:r>
    </w:p>
    <w:p>
      <w:pPr/>
      <w:r>
        <w:rPr>
          <w:b/>
        </w:rPr>
        <w:t>Shared claim-specific concepts:</w:t>
      </w:r>
      <w:r>
        <w:t xml:space="preserve"> nuclear, power, within, article; EU scope not established. This is a provisional connection, not an outcome finding.</w:t>
      </w:r>
    </w:p>
    <w:p>
      <w:pPr>
        <w:pStyle w:val="SourceNote"/>
      </w:pPr>
      <w:r>
        <w:rPr>
          <w:b/>
        </w:rPr>
        <w:t>Available abstract (not full text):</w:t>
      </w:r>
      <w:r>
        <w:t xml:space="preserve"> The humanitarian initiative for nuclear disarmament has challenged and transformed global nuclear politics. Aimed at delegitimising nuclear weapons as acceptable instruments of statecraft, the initiative has been backed by many civil society organisations and most non-nuclear-weapon states. The nuclear-weapon states, however, have opposed the initiative, accusing it of undermining the Nuclear Non-Proliferation Treaty and destabilising nuclear politics. Conceptualising a ‘diplomacy of resistance’, this article positions the humanitarian initiative as a transnational social movement and traces its development through practices of resistance and counter-resistance. Drawing on Robert Cox’s conception of resistance as counter-hegemonic and Michael Barnett and Raymond Duvall’s taxonomy of power, the article explores the nexus of power and resistance in global nuclear politics. We explain the humanitarian movement’s specific aims and practices as a function of its champion’s relative political weakness vis-à-vis the nuclear-weapon states. The movement’s coherence and effectiveness, in turn, was fostered by a coalitional logic that allowed different identities of resistance to be steered towards a nuclear ban treaty within the UN’s institutional framework.</w:t>
      </w:r>
    </w:p>
    <w:p>
      <w:pPr>
        <w:pStyle w:val="Heading2"/>
      </w:pPr>
      <w:r>
        <w:t>753.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2023:</w:t>
      </w:r>
      <w:r>
        <w:t xml:space="preserve"> Integrating the 17 SDGs into the European Green Deal, through Strategic and Financial Approaches — https://doi.org/10.21203/rs.3.rs-2697240/v1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pPr/>
      <w:r>
        <w:rPr>
          <w:b/>
        </w:rPr>
        <w:t>POSSIBLE 2022:</w:t>
      </w:r>
      <w:r>
        <w:t xml:space="preserve"> Measuring Progress towards Sustainability in the European Union within the 2030 Agenda Framework — https://doi.org/10.3390/math10122095</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pPr/>
      <w:r>
        <w:rPr>
          <w:b/>
        </w:rPr>
        <w:t>POSSIBLE 2021:</w:t>
      </w:r>
      <w:r>
        <w:t xml:space="preserve"> Map and Track the Performance in Education for Sustainable Development across the European Union — https://doi.org/10.3390/su132313185</w:t>
      </w:r>
    </w:p>
    <w:p>
      <w:pPr/>
      <w:r>
        <w:rPr>
          <w:b/>
        </w:rPr>
        <w:t>Shared claim-specific concepts:</w:t>
      </w:r>
      <w:r>
        <w:t xml:space="preserve"> framework, among, sustainable; EU scope visible. This is a provisional connection, not an outcome finding.</w:t>
      </w:r>
    </w:p>
    <w:p>
      <w:pPr>
        <w:pStyle w:val="SourceNote"/>
      </w:pPr>
      <w:r>
        <w:rPr>
          <w:b/>
        </w:rPr>
        <w:t>Available abstract (not full text):</w:t>
      </w:r>
      <w:r>
        <w:t xml:space="preserve"> The 17 sustainable development goals (SDG) established by 2030 Agenda cannot be achieved unless the learners are educated about sustainable development. Education for sustainable development (ESD) is a key component in preparing individuals to cope with sustainable challenges and paves the way towards a more sustainable aware society and life satisfaction. However, ESD is very complex as it depends on numerous factors and needs significant development all over the word. The paper aims to design an original and easy-to-apply framework which maps and tracks the actual performance in quality education across the European Union member states (EU27), focusing on SDG4—quality education from Agenda 30. The framework integrates three interventions—formal, non-formal, and essential education—and delivers a useful tool, a composite index, which maps and tracks the performance of the EU27 in the transition to ESD in a practical manner. The research categorizes four clusters of countries and tracks the Nordic countries of the EU27 among the high performers tier, allowing the identification of the best practices which can be spurred at European level. The findings of this paper may be used by educators, researchers, national and European authorities, and other stakeholders to monitor and accelerate progress in ESD, especially for low performers.</w:t>
      </w:r>
    </w:p>
    <w:p>
      <w:pPr/>
      <w:r>
        <w:rPr>
          <w:b/>
        </w:rPr>
        <w:t>POSSIBLE 2020:</w:t>
      </w:r>
      <w:r>
        <w:t xml:space="preserve"> Proceedings of the European Union’s Contention in the Reshaping Global Economy — https://doi.org/10.14232/eucrge.2020.proc</w:t>
      </w:r>
    </w:p>
    <w:p>
      <w:pPr/>
      <w:r>
        <w:rPr>
          <w:b/>
        </w:rPr>
        <w:t>Shared claim-specific concepts:</w:t>
      </w:r>
      <w:r>
        <w:t xml:space="preserve"> invited, rich; EU scope visible. This is a provisional connection, not an outcome finding.</w:t>
      </w:r>
    </w:p>
    <w:p>
      <w:pPr>
        <w:pStyle w:val="SourceNote"/>
      </w:pPr>
      <w:r>
        <w:rPr>
          <w:b/>
        </w:rPr>
        <w:t>Available abstract (not full text):</w:t>
      </w:r>
      <w:r>
        <w:t xml:space="preserve"> The fifth international PhD workshop at the conference entitled The European Union's Contention in the Reshaping Global Economy was planned in March 2020.Due to the pandemic situation, the organizer Faculty of Economics and Business Administration, University of Szeged had to cancel the conference just one week before the event.Unfortunately, the young researchers could not share their ideas in person, but the organizers decided to invite the registered participants to publish their research papers in the proceedings.This proceedings contains these selected and peerreviewed papers with authors coming from various doctoral schools and higher education institutions.This time we invited again papers, addressing a better understanding of the impacts of technological change, industry 4.0, the US-China trade war and changing trade relations on the economy and development inside and outside the EU.The broadly defined subject offered the possibility to the participants to concentrate on the topic, most relevant from the point of view of their theses.This is why the topics and approaches of the volume are rich and varied.The first chapter of the book include four papers and it deals with business and marketing analyzing online shopping, eating behavior, driverless cars and leadership characteristics.The next chapter analyses financial issues: monetary policy in emerging markets, banking</w:t>
      </w:r>
    </w:p>
    <w:p>
      <w:pPr/>
      <w:r>
        <w:rPr>
          <w:b/>
        </w:rPr>
        <w:t>POSSIBLE 2019:</w:t>
      </w:r>
      <w:r>
        <w:t xml:space="preserve"> Strengthening International Water Security: The European Union’s proposal — https://doi.org/10.1002/wwp2.12014</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Abstract The UN World Health Organization reports that 80% of diseases are waterborne. Bacterial, viral, and parasitic diseases like typhoid, cholera, amebiasis, poliomyelitis, hepatitis A, skin infection, and gastrointestinal are spread through polluted water. In 2013, the UN Water defined water security as “The capacity of a population to safeguard sustainable access to adequate quantities of acceptable quality water for sustaining livelihoods, human well‐being, and socio‐economic development, for ensuring protection against water‐borne pollution and water‐related disasters, and for preserving ecosystems in a climate of peace and political stability”. The notion is quite new, but it does not mean that international law does not include rules and principles relevant to water security. Compared to some other regions in the world, most people living in Europe already enjoy very good access to high‐quality drinking water, in part thanks to over 30 years of European Union legislation for ensuring drinking water quality. On February 2018, pressed by the successful result of the first European Citizens' Initiative “Right2Water,” the European Commission proposed to revise the European Union legislation for improving access to higher quality of drinking water and provide better information to citizens. Considering the latest scientific knowledge and recommendations of the World Health</w:t>
      </w:r>
    </w:p>
    <w:p>
      <w:pPr>
        <w:pStyle w:val="Heading2"/>
      </w:pPr>
      <w:r>
        <w:t>754.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r>
        <w:rPr>
          <w:b/>
        </w:rPr>
        <w:t>POSSIBLE 2020:</w:t>
      </w:r>
      <w:r>
        <w:t xml:space="preserve"> Harvesting reflective knowledge exchange for inbound open innovation in complex collaborative networks: an empirical verification in Europe — https://doi.org/10.1108/jkm-04-2020-0300</w:t>
      </w:r>
    </w:p>
    <w:p>
      <w:pPr/>
      <w:r>
        <w:rPr>
          <w:b/>
        </w:rPr>
        <w:t>Shared claim-specific concepts:</w:t>
      </w:r>
      <w:r>
        <w:t xml:space="preserve"> findings, process, period; EU scope visible. This is a provisional connection, not an outcome finding.</w:t>
      </w:r>
    </w:p>
    <w:p>
      <w:pPr>
        <w:pStyle w:val="SourceNote"/>
      </w:pPr>
      <w:r>
        <w:rPr>
          <w:b/>
        </w:rPr>
        <w:t>Available abstract (not full text):</w:t>
      </w:r>
      <w:r>
        <w:t xml:space="preserve">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pPr/>
      <w:r>
        <w:rPr>
          <w:b/>
        </w:rPr>
        <w:t>POSSIBLE 2020:</w:t>
      </w:r>
      <w:r>
        <w:t xml:space="preserve"> Analyses of Work Efficiency of a Strawberry-Harvesting Robot in an Automated Greenhouse — https://doi.org/10.3390/agronomy10111751</w:t>
      </w:r>
    </w:p>
    <w:p>
      <w:pPr/>
      <w:r>
        <w:rPr>
          <w:b/>
        </w:rPr>
        <w:t>Shared claim-specific concepts:</w:t>
      </w:r>
      <w:r>
        <w:t xml:space="preserve"> rate, show, process, compared; EU scope not established. This is a provisional connection, not an outcome finding.</w:t>
      </w:r>
    </w:p>
    <w:p>
      <w:pPr>
        <w:pStyle w:val="SourceNote"/>
      </w:pPr>
      <w:r>
        <w:rPr>
          <w:b/>
        </w:rPr>
        <w:t>Available abstract (not full text):</w:t>
      </w:r>
      <w:r>
        <w:t xml:space="preserve">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pPr/>
      <w:r>
        <w:rPr>
          <w:b/>
        </w:rPr>
        <w:t>POSSIBLE 2019:</w:t>
      </w:r>
      <w:r>
        <w:t xml:space="preserve"> Estimating Sustainable Harvest Rates for European Hare (Lepus Europaeus) Populations — https://doi.org/10.3390/su11102837</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pPr/>
      <w:r>
        <w:rPr>
          <w:b/>
        </w:rPr>
        <w:t>POSSIBLE 2019:</w:t>
      </w:r>
      <w:r>
        <w:t xml:space="preserve"> Harvest assessment for Taiga bean geese in the Central Management Unit: 2019 — https://openalex.org/W2963762313</w:t>
      </w:r>
    </w:p>
    <w:p>
      <w:pPr/>
      <w:r>
        <w:rPr>
          <w:b/>
        </w:rPr>
        <w:t>Shared claim-specific concepts:</w:t>
      </w:r>
      <w:r>
        <w:t xml:space="preserve"> constant, harvest, rate, compared; EU scope visible. This is a provisional connection, not an outcome finding.</w:t>
      </w:r>
    </w:p>
    <w:p>
      <w:pPr>
        <w:pStyle w:val="SourceNote"/>
      </w:pPr>
      <w:r>
        <w:rPr>
          <w:b/>
        </w:rPr>
        <w:t>Available abstract (not full text):</w:t>
      </w:r>
      <w:r>
        <w:t xml:space="preserve">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pPr/>
      <w:r>
        <w:rPr>
          <w:b/>
        </w:rPr>
        <w:t>POSSIBLE 2018:</w:t>
      </w:r>
      <w:r>
        <w:t xml:space="preserve"> Harvesting the Commons — https://doi.org/10.1007/s10640-018-0221-4</w:t>
      </w:r>
    </w:p>
    <w:p>
      <w:pPr/>
      <w:r>
        <w:rPr>
          <w:b/>
        </w:rPr>
        <w:t>Shared claim-specific concepts:</w:t>
      </w:r>
      <w:r>
        <w:t xml:space="preserve"> harvest, rate, findings, compared, historical; EU scope not established. This is a provisional connection, not an outcome finding.</w:t>
      </w:r>
    </w:p>
    <w:p>
      <w:pPr>
        <w:pStyle w:val="SourceNote"/>
      </w:pPr>
      <w:r>
        <w:rPr>
          <w:b/>
        </w:rPr>
        <w:t>Available abstract (not full text):</w:t>
      </w:r>
      <w:r>
        <w:t xml:space="preserve">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755.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pStyle w:val="Heading2"/>
      </w:pPr>
      <w:r>
        <w:t>756.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2021:</w:t>
      </w:r>
      <w:r>
        <w:t xml:space="preserve"> Marine Citizen Science: Current State in Europe and New Technological Developments — https://doi.org/10.3389/fmars.2021.621472</w:t>
      </w:r>
    </w:p>
    <w:p>
      <w:pPr/>
      <w:r>
        <w:rPr>
          <w:b/>
        </w:rPr>
        <w:t>Shared claim-specific concepts:</w:t>
      </w:r>
      <w:r>
        <w:t xml:space="preserve"> based, current, state, project; EU scope visible. This is a provisional connection, not an outcome finding.</w:t>
      </w:r>
    </w:p>
    <w:p>
      <w:pPr>
        <w:pStyle w:val="SourceNote"/>
      </w:pPr>
      <w:r>
        <w:rPr>
          <w:b/>
        </w:rPr>
        <w:t>Available abstract (not full text):</w:t>
      </w:r>
      <w:r>
        <w:t xml:space="preserve">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pPr/>
      <w:r>
        <w:rPr>
          <w:b/>
        </w:rPr>
        <w:t>POSSIBLE 2021:</w:t>
      </w:r>
      <w:r>
        <w:t xml:space="preserve"> Addressing underwater noise in Europe: Current state of knowledge and future priorities — https://doi.org/10.5281/zenodo.5534223</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pPr/>
      <w:r>
        <w:rPr>
          <w:b/>
        </w:rPr>
        <w:t>POSSIBLE 2020:</w:t>
      </w:r>
      <w:r>
        <w:t xml:space="preserve"> Current state of perinatal postmortem magnetic resonance imaging: European Society of Paediatric Radiology questionnaire-based survey and recommendations — https://doi.org/10.1007/s00247-020-04905-9</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pPr/>
      <w:r>
        <w:rPr>
          <w:b/>
        </w:rPr>
        <w:t>POSSIBLE 2019:</w:t>
      </w:r>
      <w:r>
        <w:t xml:space="preserve"> BASED ON MATERIALS FROM THE 28TH CONGRESS OF THE EUROPEAN ACADEMY OF DERMATOLOGY AND VENEREOLOGY, OCTOBER 9-13, 2019, MADRID, VITILIGO, SPAIN. THE CURRENT STATE OF THE PROBLEM — https://doi.org/10.17816/dv42948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Failure or progress?: The current state of the professionalisation of midwifery in Europe — https://doi.org/10.18332/ejm/115038</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INTRODUCTION: Throughout Europe midwives called for increasing professionalisation of midwifery during the 1980s and 1990s. While the Bologna Declaration, in 1999, supported this development in education and research, it remains unclear how other fields, such as practice, have fared so far. This study therefore aimed to explore the current state of professionalisation of midwifery in Europe. METHODS: An exploratory inquiry was conducted with an on-line semi-structured questionnaire. Its content was based on the Greenwood sociological criteria for a profession. Descriptive statistics and thematic content analysis were used to analyse the data. Participants were national delegates from member countries to the European Midwives Association. RESULTS: Delegates from 29 European countries took part. In most countries, progress towards professionalisation of midwifery has been made through the move of education into higher education, coupled with opportunities for postgraduate education and research. Lack of progress was noted, in particular in regard to midwifery practice, regulation, and leadership in health care provision and education. Most countries had a code of ethics for midwives as well as a midwifery association. Based on organisational collaborations with other disciplines, the sustainability of a distinct professional culture was unclear. An increased focus on future devel</w:t>
      </w:r>
    </w:p>
    <w:p>
      <w:pPr>
        <w:pStyle w:val="Heading2"/>
      </w:pPr>
      <w:r>
        <w:t>757.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r>
        <w:rPr>
          <w:b/>
        </w:rPr>
        <w:t>POSSIBLE 2023:</w:t>
      </w:r>
      <w:r>
        <w:t xml:space="preserve"> Working Conditions in Legal Aid — https://doi.org/10.5040/9781509957835.ch-004</w:t>
      </w:r>
    </w:p>
    <w:p>
      <w:pPr/>
      <w:r>
        <w:rPr>
          <w:b/>
        </w:rPr>
        <w:t>Shared claim-specific concepts:</w:t>
      </w:r>
      <w:r>
        <w:t xml:space="preserve"> aid, informed; EU scope visible. This is a provisional connection, not an outcome finding.</w:t>
      </w:r>
    </w:p>
    <w:p>
      <w:pPr>
        <w:pStyle w:val="SourceNote"/>
      </w:pPr>
      <w:r>
        <w:rPr>
          <w:b/>
        </w:rPr>
        <w:t>Available abstract (not full text):</w:t>
      </w:r>
      <w:r>
        <w:t xml:space="preserve">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pPr/>
      <w:r>
        <w:rPr>
          <w:b/>
        </w:rPr>
        <w:t>POSSIBLE 2023:</w:t>
      </w:r>
      <w:r>
        <w:t xml:space="preserve"> The Ethics of Food Aid and Famine Relief — https://doi.org/10.1093/oso/9780197744727.003.0004</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pPr/>
      <w:r>
        <w:rPr>
          <w:b/>
        </w:rPr>
        <w:t>POSSIBLE 2020:</w:t>
      </w:r>
      <w:r>
        <w:t xml:space="preserve"> State Aid for Independent News Journalism in the Public Interest? A Critical Debate of Government Funding Models and Principles, the Market Failure Paradigm, and Policy Efficacy — https://doi.org/10.1080/21670811.2020.1732227</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This study critically reviews scholarly debates on state aid for independent, professional news journalism in the public interest, its funding models and principles, the market failure paradigm, and policy efficacy. State aid is handed out by government agencies which believe that their support can help independent, professional journalism thrive in the digital, mobile, and platform-dominated future. Government support mainly comes as direct financial grants or indirect tax offsets. It aims at engendering economic opportunity and prosperity, while safeguarding journalistic independence and quality of output. Ideally, this shall foster the production, distribution and consumption of original and high-quality news in the public interest, which, in turn, shall keep people informed, facilitate public debate, and hold power to account. Still, this study finds arguments that government funding models for independent journalism in the public interest are limited by several critical challenges that endanger their principles, do not avert failure in the news media market and prevent effective policy governance. These deficits may even be exacerbated in the digital era.</w:t>
      </w:r>
    </w:p>
    <w:p>
      <w:pPr/>
      <w:r>
        <w:rPr>
          <w:b/>
        </w:rPr>
        <w:t>POSSIBLE 2020:</w:t>
      </w:r>
      <w:r>
        <w:t xml:space="preserve"> The Millenium Challenge Corporation – A Case Study of Foreign Aid as an Instrument of US Foreign Policy — https://openalex.org/W3042742112</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Although foreign aid has been an important component of US foreign policy for many years, it has nevertheless been a constant source of debate and controversy. Academics offer differing views with respect to both its motivations and effectiveness. In addition, there has been considerable evolution in thinking as to the nature of reforms that recipient countries should prioritize to achieve sustainable development. This paper discusses these issues in the context of the Millennium Challenge Corporation, which was established in 2004. More specifically, the paper discusses the extent to which the approach taken by the MCC has been informed not only by the longstanding debates regarding the utility of US foreign aid but also by the lessons learned during previous major foreign aid initiatives, including the Marshall Plan and the Alliance for Progress. Drawing on both the academic literature and historical experiences, the paper focuses on key aspects of the MCC approach that are designed, among other things, to both de-politicize the aid eligibility process and ensure adequate country ownership. The paper uses two country case studies – Benin and the Philippines – to assess how this approach has been applied in practice. The overall conclusion highlights what may seem as a contradiction: although it is inevitable that one of the motivations of US foreign aid is political, the exte</w:t>
      </w:r>
    </w:p>
    <w:p>
      <w:pPr/>
      <w:r>
        <w:rPr>
          <w:b/>
        </w:rPr>
        <w:t>POSSIBLE 2018:</w:t>
      </w:r>
      <w:r>
        <w:t xml:space="preserve"> Oxfam crisis: we need a more informed debate about NGOs and international aid — https://openalex.org/W2883252415</w:t>
      </w:r>
    </w:p>
    <w:p>
      <w:pPr/>
      <w:r>
        <w:rPr>
          <w:b/>
        </w:rPr>
        <w:t>Shared claim-specific concepts:</w:t>
      </w:r>
      <w:r>
        <w:t xml:space="preserve"> aid, informed, debate, sector; EU scope not established. This is a provisional connection, not an outcome finding.</w:t>
      </w:r>
    </w:p>
    <w:p>
      <w:pPr>
        <w:pStyle w:val="SourceNote"/>
      </w:pPr>
      <w:r>
        <w:rPr>
          <w:b/>
        </w:rPr>
        <w:t>Available abstract (not full text):</w:t>
      </w:r>
      <w:r>
        <w:t xml:space="preserve"> Few would say that the alleged behaviour of aid workers in the Oxfam sexual exploitation scandal is acceptable. But the nature of the criticism that has followed these revelations, including government threats to cut Oxfam's funding, is driven more by politics than genuine understanding of the sector, explains David Lewis.</w:t>
      </w:r>
    </w:p>
    <w:p>
      <w:pPr>
        <w:pStyle w:val="Heading2"/>
      </w:pPr>
      <w:r>
        <w:t>758.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r>
        <w:rPr>
          <w:b/>
        </w:rPr>
        <w:t>POSSIBLE 2022:</w:t>
      </w:r>
      <w:r>
        <w:t xml:space="preserve"> The Politics Of Infrastructural Provision in Rural Areas of Oyo State Nigeria — https://doi.org/10.57054/asr.v26i1.3992</w:t>
      </w:r>
    </w:p>
    <w:p>
      <w:pPr/>
      <w:r>
        <w:rPr>
          <w:b/>
        </w:rPr>
        <w:t>Shared claim-specific concepts:</w:t>
      </w:r>
      <w:r>
        <w:t xml:space="preserve"> infrastructure, provision, over; EU scope not established. This is a provisional connection, not an outcome finding.</w:t>
      </w:r>
    </w:p>
    <w:p>
      <w:pPr>
        <w:pStyle w:val="SourceNote"/>
      </w:pPr>
      <w:r>
        <w:rPr>
          <w:b/>
        </w:rPr>
        <w:t>Available abstract (not full text):</w:t>
      </w:r>
      <w:r>
        <w:t xml:space="preserve">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pPr/>
      <w:r>
        <w:rPr>
          <w:b/>
        </w:rPr>
        <w:t>POSSIBLE 2021:</w:t>
      </w:r>
      <w:r>
        <w:t xml:space="preserve"> The sustainability of infrastructure provision of Montongsari Tourism Village Kendal — https://doi.org/10.1088/1755-1315/871/1/012010</w:t>
      </w:r>
    </w:p>
    <w:p>
      <w:pPr/>
      <w:r>
        <w:rPr>
          <w:b/>
        </w:rPr>
        <w:t>Shared claim-specific concepts:</w:t>
      </w:r>
      <w:r>
        <w:t xml:space="preserve"> infrastructure, provision, improving; EU scope not established. This is a provisional connection, not an outcome finding.</w:t>
      </w:r>
    </w:p>
    <w:p>
      <w:pPr>
        <w:pStyle w:val="SourceNote"/>
      </w:pPr>
      <w:r>
        <w:rPr>
          <w:b/>
        </w:rPr>
        <w:t>Available abstract (not full text):</w:t>
      </w:r>
      <w:r>
        <w:t xml:space="preserve">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pPr/>
      <w:r>
        <w:rPr>
          <w:b/>
        </w:rPr>
        <w:t>POSSIBLE 2021:</w:t>
      </w:r>
      <w:r>
        <w:t xml:space="preserve"> The state of play in electric vehicle charging services – A review of infrastructure provision, players, and policies — https://doi.org/10.1016/j.rser.2021.111733</w:t>
      </w:r>
    </w:p>
    <w:p>
      <w:pPr/>
      <w:r>
        <w:rPr>
          <w:b/>
        </w:rPr>
        <w:t>Shared claim-specific concepts:</w:t>
      </w:r>
      <w:r>
        <w:t xml:space="preserve"> infrastructure, provision, find, uptake; EU scope not established. This is a provisional connection, not an outcome finding.</w:t>
      </w:r>
    </w:p>
    <w:p>
      <w:pPr>
        <w:pStyle w:val="SourceNote"/>
      </w:pPr>
      <w:r>
        <w:rPr>
          <w:b/>
        </w:rPr>
        <w:t>Available abstract (not full text):</w:t>
      </w:r>
      <w:r>
        <w:t xml:space="preserve">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pPr/>
      <w:r>
        <w:rPr>
          <w:b/>
        </w:rPr>
        <w:t>POSSIBLE 2020:</w:t>
      </w:r>
      <w:r>
        <w:t xml:space="preserve"> INFRASTRUCTURE PROVISION OF THE AGRARIAN MARKET IN THE GLOBALIZED ENVIRONMENT — https://doi.org/10.30525/2256-0742/2019-5-5-39-46</w:t>
      </w:r>
    </w:p>
    <w:p>
      <w:pPr/>
      <w:r>
        <w:rPr>
          <w:b/>
        </w:rPr>
        <w:t>Shared claim-specific concepts:</w:t>
      </w:r>
      <w:r>
        <w:t xml:space="preserve"> infrastructure, provision; EU scope not established. This is a provisional connection, not an outcome finding.</w:t>
      </w:r>
    </w:p>
    <w:p>
      <w:pPr>
        <w:pStyle w:val="SourceNote"/>
      </w:pPr>
      <w:r>
        <w:rPr>
          <w:b/>
        </w:rPr>
        <w:t>Available abstract (not full text):</w:t>
      </w:r>
      <w:r>
        <w:t xml:space="preserve">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pPr/>
      <w:r>
        <w:rPr>
          <w:b/>
        </w:rPr>
        <w:t>POSSIBLE 2020:</w:t>
      </w:r>
      <w:r>
        <w:t xml:space="preserve"> Infrastructure Provision as a Catalyst for Local Economic Development in South Africa — https://doi.org/10.35293/srsa.v42i1.198</w:t>
      </w:r>
    </w:p>
    <w:p>
      <w:pPr/>
      <w:r>
        <w:rPr>
          <w:b/>
        </w:rPr>
        <w:t>Shared claim-specific concepts:</w:t>
      </w:r>
      <w:r>
        <w:t xml:space="preserve"> infrastructure, provision, other, over; EU scope not established. This is a provisional connection, not an outcome finding.</w:t>
      </w:r>
    </w:p>
    <w:p>
      <w:pPr>
        <w:pStyle w:val="SourceNote"/>
      </w:pPr>
      <w:r>
        <w:rPr>
          <w:b/>
        </w:rPr>
        <w:t>Available abstract (not full text):</w:t>
      </w:r>
      <w:r>
        <w:t xml:space="preserve">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pPr/>
      <w:r>
        <w:rPr>
          <w:b/>
        </w:rPr>
        <w:t>POSSIBLE 2019:</w:t>
      </w:r>
      <w:r>
        <w:t xml:space="preserve"> Implementing Green Infrastructure in Spatial Planning in Europe — https://doi.org/10.3390/land8040062</w:t>
      </w:r>
    </w:p>
    <w:p>
      <w:pPr/>
      <w:r>
        <w:rPr>
          <w:b/>
        </w:rPr>
        <w:t>Shared claim-specific concepts:</w:t>
      </w:r>
      <w:r>
        <w:t xml:space="preserve"> infrastructure, important; EU scope visible. This is a provisional connection, not an outcome finding.</w:t>
      </w:r>
    </w:p>
    <w:p>
      <w:pPr>
        <w:pStyle w:val="SourceNote"/>
      </w:pPr>
      <w:r>
        <w:rPr>
          <w:b/>
        </w:rPr>
        <w:t>Available abstract (not full text):</w:t>
      </w:r>
      <w:r>
        <w:t xml:space="preserve">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r>
        <w:rPr>
          <w:b/>
        </w:rPr>
        <w:t>POSSIBLE 2018:</w:t>
      </w:r>
      <w:r>
        <w:t xml:space="preserve"> Unlocking Land Markets and Infrastructure Provision — https://doi.org/10.1057/978-1-137-59792-2_4</w:t>
      </w:r>
    </w:p>
    <w:p>
      <w:pPr/>
      <w:r>
        <w:rPr>
          <w:b/>
        </w:rPr>
        <w:t>Shared claim-specific concepts:</w:t>
      </w:r>
      <w:r>
        <w:t xml:space="preserve"> infrastructure, provision, important, but; EU scope not established. This is a provisional connection, not an outcome finding.</w:t>
      </w:r>
    </w:p>
    <w:p>
      <w:pPr>
        <w:pStyle w:val="SourceNote"/>
      </w:pPr>
      <w:r>
        <w:rPr>
          <w:b/>
        </w:rPr>
        <w:t>Available abstract (not full text):</w:t>
      </w:r>
      <w:r>
        <w:t xml:space="preserve">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pPr/>
      <w:r>
        <w:rPr>
          <w:b/>
        </w:rPr>
        <w:t>POSSIBLE 2017:</w:t>
      </w:r>
      <w:r>
        <w:t xml:space="preserve"> Infrastructure provision — https://doi.org/10.4337/9781785366192.00008</w:t>
      </w:r>
    </w:p>
    <w:p>
      <w:pPr/>
      <w:r>
        <w:rPr>
          <w:b/>
        </w:rPr>
        <w:t>Shared claim-specific concepts:</w:t>
      </w:r>
      <w:r>
        <w:t xml:space="preserve"> infrastructure, provision, but; EU scope visible. This is a provisional connection, not an outcome finding.</w:t>
      </w:r>
    </w:p>
    <w:p>
      <w:pPr>
        <w:pStyle w:val="SourceNote"/>
      </w:pPr>
      <w:r>
        <w:rPr>
          <w:b/>
        </w:rPr>
        <w:t>Available abstract (not full text):</w:t>
      </w:r>
      <w:r>
        <w:t xml:space="preserve"> This introductory chapter begins by considering the infrastructure challenge posed by what former US Treasury Secretary Larry Summers calls the ‘Age of Secular Stagnation’ and International Monetary Fund managing director Christine Lagarde terms the ‘new mediocre of growth’. Both advocate increased infrastructure spending as the solution, but there are considerable differences between infrastructure policies in three of the largest economies. After decades of neglect, the United States and even Germany are saddled with once advanced, but increasingly outmoded infrastructure assets, while China keeps on building and has become an exemplar of modern urban transit, with ports, expressways, railways, subways, airports, and by far the world’s largest high-speed rail network. Nevertheless, a 2016 Oxford study challenges the efficacy of China’s infrastructure-led growth strategy. Upon examination, however, their study has serious defects and, contrary to their arguments, China’s infrastructure megaprojects appear less wasteful than those authors claim, and they have laid the foundations for Chinese growth, supported by a later case study.</w:t>
      </w:r>
    </w:p>
    <w:p>
      <w:pPr>
        <w:pStyle w:val="Heading2"/>
      </w:pPr>
      <w:r>
        <w:t>759.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r>
        <w:rPr>
          <w:b/>
        </w:rPr>
        <w:t>POSSIBLE 2022:</w:t>
      </w:r>
      <w:r>
        <w:t xml:space="preserve"> Does Value Lead to Loyalty? Exploring the Important Role of the Tourist–Destination Relationship — https://doi.org/10.3390/bs12050136</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pPr/>
      <w:r>
        <w:rPr>
          <w:b/>
        </w:rPr>
        <w:t>POSSIBLE 2021:</w:t>
      </w:r>
      <w:r>
        <w:t xml:space="preserve"> Exploring Sparsity in Image Super-Resolution for Efficient Inference — https://doi.org/10.1109/cvpr46437.2021.00488</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pPr/>
      <w:r>
        <w:rPr>
          <w:b/>
        </w:rPr>
        <w:t>POSSIBLE 2021:</w:t>
      </w:r>
      <w:r>
        <w:t xml:space="preserve"> Exploring Maieutic Instruction — https://doi.org/10.4018/978-1-7998-7172-9.ch006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pPr/>
      <w:r>
        <w:rPr>
          <w:b/>
        </w:rPr>
        <w:t>POSSIBLE 2020:</w:t>
      </w:r>
      <w:r>
        <w:t xml:space="preserve"> Exploring the value of augmented reality for tourism — https://doi.org/10.1016/j.tmp.2020.100672</w:t>
      </w:r>
    </w:p>
    <w:p>
      <w:pPr/>
      <w:r>
        <w:rPr>
          <w:b/>
        </w:rPr>
        <w:t>Shared claim-specific concepts:</w:t>
      </w:r>
      <w:r>
        <w:t xml:space="preserve"> therefore, important, explore, different; EU scope not established. This is a provisional connection, not an outcome finding.</w:t>
      </w:r>
    </w:p>
    <w:p>
      <w:pPr>
        <w:pStyle w:val="SourceNote"/>
      </w:pPr>
      <w:r>
        <w:rPr>
          <w:b/>
        </w:rPr>
        <w:t>Available abstract (not full text):</w:t>
      </w:r>
      <w:r>
        <w:t xml:space="preserve"> Augmented reality (AR) is increasingly used as a marketing, information and experience channel within the tourism industry. However, little is known with regards to the actual value of AR for the tourism industry, with most research still in its infancy. Therefore, the aim of this paper is to explore the perceived value of AR for the tourism industry from the perspective of tourism experts. Using a qualitative and exploratory approach, this study conducted fifteen interviews with tourism experts in order to explore tourism specific AR value dimensions. Interviews were analysed using thematic analysis. This study revealed five value dimensions including marketing, economic, tourist, epistemic and organisational. Commonalities and differences between different perspectives are discussed. These findings provide important implications for strategy development, AR implementation, and tourist experience design.</w:t>
      </w:r>
    </w:p>
    <w:p>
      <w:pPr/>
      <w:r>
        <w:rPr>
          <w:b/>
        </w:rPr>
        <w:t>POSSIBLE 2020:</w:t>
      </w:r>
      <w:r>
        <w:t xml:space="preserve"> Exploring Children’s Views on Important Park Features: A Qualitative Study Using Walk-Along Interviews — https://doi.org/10.3390/ijerph17134625</w:t>
      </w:r>
    </w:p>
    <w:p>
      <w:pPr/>
      <w:r>
        <w:rPr>
          <w:b/>
        </w:rPr>
        <w:t>Shared claim-specific concepts:</w:t>
      </w:r>
      <w:r>
        <w:t xml:space="preserve"> therefore, important, lives; EU scope not established. This is a provisional connection, not an outcome finding.</w:t>
      </w:r>
    </w:p>
    <w:p>
      <w:pPr>
        <w:pStyle w:val="SourceNote"/>
      </w:pPr>
      <w:r>
        <w:rPr>
          <w:b/>
        </w:rPr>
        <w:t>Available abstract (not full text):</w:t>
      </w:r>
      <w:r>
        <w:t xml:space="preserve"> Parks are places where children can interact with others and engage in physical activity in a natural setting. Park visits can enhance children’s social, mental, and physical health. It is therefore important to better understand how parks can be designed to ensure optimal use by children. This qualitative study explored children’s perceptions of park features that may influence their park visits, park-based physical activity, and social interaction. Qualitative walk-along interviews were completed with 30 children (mean age 9.7 years (SD 1.3), female n = 16) in nine parks located in varying socioeconomic areas of Melbourne, Australia. As they walked through the park, children shared thoughts regarding characteristics that may influence their visitation, park-based physical activity, and social interactions. Features that would encourage visitation included: challenging and interesting play equipment; a pond and water play area; trees/greenery and shade; and full-sized basketball courts. Features most valued for physical activity included: sports courts, ovals, and equipment; open space; trees to climb; and nature/rocks. Features most valued for social interaction included: a large size; playgrounds; and picnic areas. Children offer unique and important views. Park designers should consider inclusion of these features, when (re)developing parks to support children to lead healt</w:t>
      </w:r>
    </w:p>
    <w:p>
      <w:pPr/>
      <w:r>
        <w:rPr>
          <w:b/>
        </w:rPr>
        <w:t>POSSIBLE 2020:</w:t>
      </w:r>
      <w:r>
        <w:t xml:space="preserve"> Exploring influential factors affecting guest satisfaction — https://doi.org/10.1108/jhtt-07-2018-0054</w:t>
      </w:r>
    </w:p>
    <w:p>
      <w:pPr/>
      <w:r>
        <w:rPr>
          <w:b/>
        </w:rPr>
        <w:t>Shared claim-specific concepts:</w:t>
      </w:r>
      <w:r>
        <w:t xml:space="preserve"> therefore, important, explore, affect; EU scope not established. This is a provisional connection, not an outcome finding.</w:t>
      </w:r>
    </w:p>
    <w:p>
      <w:pPr>
        <w:pStyle w:val="SourceNote"/>
      </w:pPr>
      <w:r>
        <w:rPr>
          <w:b/>
        </w:rPr>
        <w:t>Available abstract (not full text):</w:t>
      </w:r>
      <w:r>
        <w:t xml:space="preserve"> Purpose Electronic word of mouth in the form of user-generated content (UGC) in social media plays an important role in influencing customer decision-making and enhancing service providers’ brand images, sales and service innovations. While few research studies have explored real content generated by hotel guests in social media, business analytics techniques are still not widely seen in the literature and how such techniques can be deployed to benefit hoteliers has not been fully explored. Thus, this study aims to explore the significant factors that affect hotel guest satisfaction via UGC and business analytics and also to showcase the use of business analytics tools for both the hospitality industry and the academic world. Design/methodology/approach This study uses big data and business analytics techniques. Big data and business analytics enable hoteliers to develop effective and efficient strategies improving products and services for guest satisfaction. Therefore, this study analyzes 200,431 hotel reviews on Tripadvisor.com through business analytics to explore and assess the significant factors affecting guest satisfaction. Findings The findings show that service, room and value evaluations are the top-three factors affecting overall guests’ satisfaction. While brand type and negative emotions are negatively associated with guests’ satisfaction, all other factors consid</w:t>
      </w:r>
    </w:p>
    <w:p>
      <w:pPr/>
      <w:r>
        <w:rPr>
          <w:b/>
        </w:rPr>
        <w:t>POSSIBLE 2018:</w:t>
      </w:r>
      <w:r>
        <w:t xml:space="preserve"> Exploring Indigenous participation – why is it important? — https://doi.org/10.4324/9781351239820-2</w:t>
      </w:r>
    </w:p>
    <w:p>
      <w:pPr/>
      <w:r>
        <w:rPr>
          <w:b/>
        </w:rPr>
        <w:t>Shared claim-specific concepts:</w:t>
      </w:r>
      <w:r>
        <w:t xml:space="preserve"> therefore, important, society; EU scope not established. This is a provisional connection, not an outcome finding.</w:t>
      </w:r>
    </w:p>
    <w:p>
      <w:pPr>
        <w:pStyle w:val="SourceNote"/>
      </w:pPr>
      <w:r>
        <w:rPr>
          <w:b/>
        </w:rPr>
        <w:t>Available abstract (not full text):</w:t>
      </w:r>
      <w:r>
        <w:t xml:space="preserve"> 9 It is uncontroversial that there is a wealth of valuable knowledge held by Indigenous people about natural resource management. As noted in the 1987 report of the World Commission on Environment and Development, Our Common Future : [Indigenous] communities are the repositories of vast accumulations of traditional knowledge and experience that links humanity with its ancient origins. Their disappearance is a loss for the larger society, which could learn a great deal from their traditional skills in sustainably managing very complex ecological systems. 1 More specific to water management, and in light of the case studies in this book, Australia’s National Water Commission acknowledged in 2012 that: Indigenous Australians have managed their lands and waters sustainably for thousands of generations. Through their spiritual, cultural and customary connections to the landscape, they have acquired a deep knowledge and understanding of Australia’s water systems. 2 Despite the devastating effects of colonisation, many Indigenous Australians still hold valuable knowledge of ecosystem management, 3 as do Indigenous people in other colonised countries. It is therefore vitally important that Indigenous people are able to maintain and use their knowledge by participating in water management decision-making processes.</w:t>
      </w:r>
    </w:p>
    <w:p>
      <w:pPr/>
      <w:r>
        <w:rPr>
          <w:b/>
        </w:rPr>
        <w:t>POSSIBLE 2017:</w:t>
      </w:r>
      <w:r>
        <w:t xml:space="preserve"> Feature Extraction and K-means Clustering Approach to Explore Important Features of Urban Identity — https://doi.org/10.1109/icmla.2017.00015</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Public spaces play an important role in the processes of formation, generation and change of urban identity. Under present day conditions, the identities of cities are rapidly deteriorating and vanishing. Therefore, the importance of urban design, which is a means of designing urban spaces and their physical and social aspects, is ever growing. This paper proposes a novel methodology by using Principle Component Analysis (PCA) and K-means clustering approach to find important features of the urban identity from public space. K. Lynch's work and Space Syntax theory are reconstructed and integrated with POI (Points of Interest) to quantify the quality of the public space. A case study of Zürich city is used to test of these redefinitions and features of urban identity. The results show that PCA and K-means clustering approach can identify the urban identity and explore important features. This strategy could help to improve planning and design processes and generation of new urban patterns with more appropriate features and qualities.</w:t>
      </w:r>
    </w:p>
    <w:p>
      <w:pPr>
        <w:pStyle w:val="Heading2"/>
      </w:pPr>
      <w:r>
        <w:t>760.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pStyle w:val="Heading2"/>
      </w:pPr>
      <w:r>
        <w:t>761.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however, even, though, use;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r>
        <w:rPr>
          <w:b/>
        </w:rPr>
        <w:t>POSSIBLE 2021:</w:t>
      </w:r>
      <w:r>
        <w:t xml:space="preserve"> The Expiry of Humira® Market Exclusivity and the Entry of Adalimumab Biosimilars in Europe: An Overview of Pricing and National Policy Measures — https://doi.org/10.3389/fphar.2020.591134</w:t>
      </w:r>
    </w:p>
    <w:p>
      <w:pPr/>
      <w:r>
        <w:rPr>
          <w:b/>
        </w:rPr>
        <w:t>Shared claim-specific concepts:</w:t>
      </w:r>
      <w:r>
        <w:t xml:space="preserve"> however, even, though, use, available; EU scope visible. This is a provisional connection, not an outcome finding.</w:t>
      </w:r>
    </w:p>
    <w:p>
      <w:pPr>
        <w:pStyle w:val="SourceNote"/>
      </w:pPr>
      <w:r>
        <w:rPr>
          <w:b/>
        </w:rPr>
        <w:t>Available abstract (not full text):</w:t>
      </w:r>
      <w:r>
        <w:t xml:space="preserve">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pPr/>
      <w:r>
        <w:rPr>
          <w:b/>
        </w:rPr>
        <w:t>POSSIBLE 2021:</w:t>
      </w:r>
      <w:r>
        <w:t xml:space="preserve"> Governing the European Intelligence: Multilateral Intelligence Cooperation in the European Union — https://doi.org/10.53451/ijps.900302</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however, even, though, available, become;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2020:</w:t>
      </w:r>
      <w:r>
        <w:t xml:space="preserve"> A grid-based map for the Biogeographical Regions of Europe — https://doi.org/10.3897/bdj.8.e53720</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BACKGROUND: Biogeographical units are widely adopted in ecological research and nature conservation management, even though biogeographical regionalisation is still under scientific debate. The European Environment Agency provided an official map of the European Biogeographical Regions (EBRs), which contains the official boundaries used in the Habitats and Birds Directives. However, these boundaries bisect cells in the official EU 10 km × 10 km grid used for many purposes, including reporting species and habitat data, meaning that 6881 cells overlap two or more regions. Therefore, superimposing the EBRs vector map over the grid creates ambiguities in associating some cells with European Biogeographical Regions. NEW INFORMATION: To provide an operational tool to unambiguously define the boundaries of the eleven European Biogeographical Regions, we provide a specifically developed raster map of Grid-Based European Biogeographical Regions (GB-EBRs). In this new map, the borders of the EBRs are reshaped to coherently match the standard European 10 km × 10 km grid imposed for reporting tasks by Article 17 of the Habitats Directive and used for many other datasets. We assign each cell to the EBR with the largest area within the cell.</w:t>
      </w:r>
    </w:p>
    <w:p>
      <w:pPr/>
      <w:r>
        <w:rPr>
          <w:b/>
        </w:rPr>
        <w:t>POSSIBLE 2020:</w:t>
      </w:r>
      <w:r>
        <w:t xml:space="preserve"> An assessment of attitudes towards plastics and bioplastics in Europe — https://doi.org/10.1016/j.scitotenv.2020.142732</w:t>
      </w:r>
    </w:p>
    <w:p>
      <w:pPr/>
      <w:r>
        <w:rPr>
          <w:b/>
        </w:rPr>
        <w:t>Shared claim-specific concepts:</w:t>
      </w:r>
      <w:r>
        <w:t xml:space="preserve"> even, though, limited, use, become;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2019:</w:t>
      </w:r>
      <w:r>
        <w:t xml:space="preserve"> Long-term health impact assessment of total PM2.5 in Europe during the 1990–2015 period — https://doi.org/10.1016/j.aeaoa.2019.100032</w:t>
      </w:r>
    </w:p>
    <w:p>
      <w:pPr/>
      <w:r>
        <w:rPr>
          <w:b/>
        </w:rPr>
        <w:t>Shared claim-specific concepts:</w:t>
      </w:r>
      <w:r>
        <w:t xml:space="preserve"> however, even, though, available; EU scope visible. This is a provisional connection, not an outcome finding.</w:t>
      </w:r>
    </w:p>
    <w:p>
      <w:pPr>
        <w:pStyle w:val="SourceNote"/>
      </w:pPr>
      <w:r>
        <w:rPr>
          <w:b/>
        </w:rPr>
        <w:t>Available abstract (not full text):</w:t>
      </w:r>
      <w:r>
        <w:t xml:space="preserve"> Several datasets of PM 2.5 concentrations over Europe during the 1990–2015 period, were used to calculate health impacts from chronic exposure to total particle matter below 2.5 μm (i.e. PM 2.5 ). The datasets used in the analysis include the European Topic Centre on Air Pollution and Climate Change Mitigation (ETC/ACM), the Copernicus Atmospheric Monitoring Service (CAMS), the Global Burden of Disease (GBD), the World Health Organization (WHO) as well as the EURODELTA-Trends (EDT) multi-model reanalysis developed specifically for Europe. The exposure to ambient PM 2.5 concentrations was calculated as population weighted annual average PM 2.5 concentrations by country. The calculated exposure to PM 2.5 was later used as input in the health impact assessment (HIA) Alpha-RiskPoll (ARP) tool to retrieve the total number of premature deaths. Our results indicate a substantial reduction in the number of premature deaths from PM 2.5 exposure in Europe over the 1990–2010 period, between nearly 30 and 50%. Putting all the data-sets together, even if they do not cover the whole period, a decrease of even around 60% is observed between 1990 and 2015. For the countries included in this study, the estimated number of premature deaths from PM 2.5 in 1990 was found to be around 960 000 (median of all the available datasets), whereas in 2015 it was found to be around 445 000. However, the var</w:t>
      </w:r>
    </w:p>
    <w:p>
      <w:pPr/>
      <w:r>
        <w:rPr>
          <w:b/>
        </w:rPr>
        <w:t>POSSIBLE 2018:</w:t>
      </w:r>
      <w:r>
        <w:t xml:space="preserve"> Gender and opinion–policy congruence in Europe — https://doi.org/10.1017/s1755773918000140</w:t>
      </w:r>
    </w:p>
    <w:p>
      <w:pPr/>
      <w:r>
        <w:rPr>
          <w:b/>
        </w:rPr>
        <w:t>Shared claim-specific concepts:</w:t>
      </w:r>
      <w:r>
        <w:t xml:space="preserve"> however, even, though, important; EU scope visible. This is a provisional connection, not an outcome finding.</w:t>
      </w:r>
    </w:p>
    <w:p>
      <w:pPr>
        <w:pStyle w:val="SourceNote"/>
      </w:pPr>
      <w:r>
        <w:rPr>
          <w:b/>
        </w:rPr>
        <w:t>Available abstract (not full text):</w:t>
      </w:r>
      <w:r>
        <w:t xml:space="preserve"> Does public policy in Europe reflect women’s preferences equally well as men’s? This study compares the opinions of women and men with concrete policy on a set of 20 issues across a diverse range of policy areas in 31 European countries. It shows that the majorities of men and women frequently prefer the same policy. However, when they disagree, men’s preferences are more likely to be represented. Neither the proportion of women in parliament nor the left–right orientation of the government explains variation in women’s policy representation. Instead, a higher number of parliamentary parties increase the likelihood that policy reflects women’s views. This effect does not seem to be driven by left-libertarian politics or Green parties, even though women’s stronger support for ‘new politics’ issues is an important source of disagreement between men and women.</w:t>
      </w:r>
    </w:p>
    <w:p>
      <w:pPr>
        <w:pStyle w:val="Heading2"/>
      </w:pPr>
      <w:r>
        <w:t>762.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2020:</w:t>
      </w:r>
      <w:r>
        <w:t xml:space="preserve"> Analysed data from interviews on FAIR-enabling services — https://doi.org/10.5281/zenodo.4293787</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Within FAIRsFAIR task 2.4, we carried out five semi-structured interviews with data service owners to understand how services currently support the FAIR principles, what are transferable insights and recommendations, and what are common challenges and pitfalls. This document collects the insights captured from the interviews. This work has been used as input for the basic framework on FAIRness of services developed by FAIRsFAIR task 2.4 (see https://doi.org/10.5281/zenodo.4292599).</w:t>
      </w:r>
    </w:p>
    <w:p>
      <w:pPr/>
      <w:r>
        <w:rPr>
          <w:b/>
        </w:rPr>
        <w:t>POSSIBLE 2017:</w:t>
      </w:r>
      <w:r>
        <w:t xml:space="preserve"> Exploring Determinants of Patient Adherence to a Portal-Supported Oncology Rehabilitation Program: Interview and Data Log Analyses — https://doi.org/10.2196/rehab.6294</w:t>
      </w:r>
    </w:p>
    <w:p>
      <w:pPr/>
      <w:r>
        <w:rPr>
          <w:b/>
        </w:rPr>
        <w:t>Shared claim-specific concepts:</w:t>
      </w:r>
      <w:r>
        <w:t xml:space="preserve"> data, interviews, stimulate; EU scope not established. This is a provisional connection, not an outcome finding.</w:t>
      </w:r>
    </w:p>
    <w:p>
      <w:pPr>
        <w:pStyle w:val="SourceNote"/>
      </w:pPr>
      <w:r>
        <w:rPr>
          <w:b/>
        </w:rPr>
        <w:t>Available abstract (not full text):</w:t>
      </w:r>
      <w:r>
        <w:t xml:space="preserve"> BACKGROUND: Telemedicine applications often do not live up to their expectations and often fail once they have reached the operational phase. OBJECTIVE: The objective of this study was to explore the determinants of patient adherence to a blended care rehabilitation program, which includes a Web portal, from a patient's perspective. METHODS: Patients were enrolled in a 12-week oncology rehabilitation treatment supported by a Web portal that was developed in cooperation with patients and care professionals. Semistructured interviews were used to analyze thought processes and behavior concerning patient adherence and portal use. Interviews were conducted with patients close to the start and the end of the treatment. Besides, usage data from the portal were analyzed to gain insights into actual usage of the portal. RESULTS: A total of 12 patients participated in the first interview, whereas 10 participated in the second round of interviews. Furthermore, portal usage of 31 patients was monitored. On average, 11 persons used the portal each week, with a maximum of 20 in the seventh week and a drop toward just one person in the weeks in the follow-up period of the treatment. From the interviews, it was derived that patients' behavior in the treatment and use of the portal was primarily determined by extrinsic motivation cues (eg, stimulation by care professionals and patient group), </w:t>
      </w:r>
    </w:p>
    <w:p>
      <w:pPr>
        <w:pStyle w:val="Heading2"/>
      </w:pPr>
      <w:r>
        <w:t>763.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Gastrointestinal cancers in China, the USA, and Europe — https://doi.org/10.1093/gastro/goab010</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pPr/>
      <w:r>
        <w:rPr>
          <w:b/>
        </w:rPr>
        <w:t>POSSIBLE 2021:</w:t>
      </w:r>
      <w:r>
        <w:t xml:space="preserve"> Current and projected regional economic impacts of heatwaves in Europe — https://doi.org/10.1038/s41467-021-26050-z</w:t>
      </w:r>
    </w:p>
    <w:p>
      <w:pPr/>
      <w:r>
        <w:rPr>
          <w:b/>
        </w:rPr>
        <w:t>Shared claim-specific concepts:</w:t>
      </w:r>
      <w:r>
        <w:t xml:space="preserve"> thus, here;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2020:</w:t>
      </w:r>
      <w:r>
        <w:t xml:space="preserve"> Emergence and spread of a SARS-CoV-2 variant through Europe in the summer of 2020 — https://doi.org/10.1101/2020.10.25.20219063</w:t>
      </w:r>
    </w:p>
    <w:p>
      <w:pPr/>
      <w:r>
        <w:rPr>
          <w:b/>
        </w:rPr>
        <w:t>Shared claim-specific concepts:</w:t>
      </w:r>
      <w:r>
        <w:t xml:space="preserve"> thus, develop, here; EU scope visible. This is a provisional connection, not an outcome finding.</w:t>
      </w:r>
    </w:p>
    <w:p>
      <w:pPr>
        <w:pStyle w:val="SourceNote"/>
      </w:pPr>
      <w:r>
        <w:rPr>
          <w:b/>
        </w:rPr>
        <w:t>Available abstract (not full text):</w:t>
      </w:r>
      <w:r>
        <w:t xml:space="preserve">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pPr/>
      <w:r>
        <w:rPr>
          <w:b/>
        </w:rPr>
        <w:t>POSSIBLE 2019:</w:t>
      </w:r>
      <w:r>
        <w:t xml:space="preserve"> Seeds of good anthropocenes: developing sustainability scenarios for Northern Europe — https://doi.org/10.1007/s11625-019-00714-8</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Scenario development helps people think about a broad variety of possible futures; however, the global environmental change community has thus far developed few positive scenarios for the future of the planet and humanity.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 By starting from existing, but marginal initiatives, as well as current trends, we were able to identify system characteristics that may play a key role in sustainability transitions (e.g., gender issues, inequity, governance, behavioral change) that are currently under-explored in global environmental scenarios. We suggest that this approach could be applied in other places to experiment further with the methodology and its potential applications, and to explore what transitions to desirables futures might be like in different places.</w:t>
      </w:r>
    </w:p>
    <w:p>
      <w:pPr/>
      <w:r>
        <w:rPr>
          <w:b/>
        </w:rPr>
        <w:t>POSSIBLE 2019:</w:t>
      </w:r>
      <w:r>
        <w:t xml:space="preserve"> Building national emission inventories of toxic pollutants in Europe — https://doi.org/10.1016/j.envint.2019.03.077</w:t>
      </w:r>
    </w:p>
    <w:p>
      <w:pPr/>
      <w:r>
        <w:rPr>
          <w:b/>
        </w:rPr>
        <w:t>Shared claim-specific concepts:</w:t>
      </w:r>
      <w:r>
        <w:t xml:space="preserve"> thus, here, harmonized, coupled, assessment; EU scope visible. This is a provisional connection, not an outcome finding.</w:t>
      </w:r>
    </w:p>
    <w:p>
      <w:pPr>
        <w:pStyle w:val="SourceNote"/>
      </w:pPr>
      <w:r>
        <w:rPr>
          <w:b/>
        </w:rPr>
        <w:t>Available abstract (not full text):</w:t>
      </w:r>
      <w:r>
        <w:t xml:space="preserve"> The reduction of chemical pollution is a priority in many regional, national, and international policies, including in EU countries. To effectively do so, quantified overviews of pollutant emissions at national levels and with some granularity in their sources, are required. However, current monitoring efforts are often scattered and a quantitative and comprehensive inventory of toxic emissions in Europe is lacking. Toxic pollutants stem from a large variety of emission sources from industry, agriculture, households, etc. and the difficulty to cover all of them is manifest in public databases and official reports, where data gaps across countries and years exist for several substances. Here, we propose a methodology to tackle this problem and build comprehensive and harmonized national inventories of toxic pollutants. Using public databases, official reports, scientific literature and developing extrapolation techniques specific to each emission source, we derived harmonized annual inventories of toxic pollutants in all EU Member States over the years 2000-2014. They present an unprecedented coverage of 805, 572, and 468 substances emitted to air, water and soil, respectively. Although the resulting dataset shows a relatively good agreement with previous inventories of narrower scopes, uncertainties can be identified for specific emission sources and in the development of extra</w:t>
      </w:r>
    </w:p>
    <w:p>
      <w:pPr/>
      <w:r>
        <w:rPr>
          <w:b/>
        </w:rPr>
        <w:t>POSSIBLE 2018:</w:t>
      </w:r>
      <w:r>
        <w:t xml:space="preserve"> Drivers of Irrational Use of Antibiotics in Europe — https://doi.org/10.3390/ijerph16010027</w:t>
      </w:r>
    </w:p>
    <w:p>
      <w:pPr/>
      <w:r>
        <w:rPr>
          <w:b/>
        </w:rPr>
        <w:t>Shared claim-specific concepts:</w:t>
      </w:r>
      <w:r>
        <w:t xml:space="preserve"> here, general;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r>
        <w:rPr>
          <w:b/>
        </w:rPr>
        <w:t>POSSIBLE 2017:</w:t>
      </w:r>
      <w:r>
        <w:t xml:space="preserve"> The need for harmonisation and innovation of neuropsychological assessment in neurodegenerative dementias in Europe: consensus document of the Joint Program for Neurodegenerative Diseases Working Group — https://doi.org/10.1186/s13195-017-0254-x</w:t>
      </w:r>
    </w:p>
    <w:p>
      <w:pPr/>
      <w:r>
        <w:rPr>
          <w:b/>
        </w:rPr>
        <w:t>Shared claim-specific concepts:</w:t>
      </w:r>
      <w:r>
        <w:t xml:space="preserve"> thus, here, framework, assessment, general; EU scope visible. This is a provisional connection, not an outcome finding.</w:t>
      </w:r>
    </w:p>
    <w:p>
      <w:pPr>
        <w:pStyle w:val="SourceNote"/>
      </w:pPr>
      <w:r>
        <w:rPr>
          <w:b/>
        </w:rPr>
        <w:t>Available abstract (not full text):</w:t>
      </w:r>
      <w:r>
        <w:t xml:space="preserve"> Cognitive, behavioural, and functional assessment is crucial in longitudinal studies of neurodegenerative dementias (NDD). Central issues, such as the definition of the study population (asymptomatic, at risk, or individuals with dementia), the detection of change/decline, and the assessment of relevant outcomes depend on quantitative measures of cognitive, behavioural, and functional status.Currently, we are far from having available reliable protocols and tools for the assessment of dementias in Europe. The main problems are the heterogeneity of the tools used across different European countries, the lack of standardisation of administration and scoring methods across centres, and the limited information available about the psychometric properties of many tests currently in widespread use. This situation makes it hard to compare results across studies carried out in different centres, thus hampering research progress, in particular towards the contribution to a "big data" common data set.We present here the results of a project funded by the Joint Program for Neurodegenerative Diseases (JPND) and by the Italian Ministry of Health. The project aimed at providing a consensus framework for the harmonisation of assessment tools to be applied to research in neurodegenerative disorders affecting cognition across Europe. A panel of European experts reviewed the current methods of ne</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develop, here, climate, framework, physical;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764.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2022:</w:t>
      </w:r>
      <w:r>
        <w:t xml:space="preserve"> Key factors for successful uptake of biosimilars: Europe and the US — https://doi.org/10.5639/gabij.2022.1103.018</w:t>
      </w:r>
    </w:p>
    <w:p>
      <w:pPr/>
      <w:r>
        <w:rPr>
          <w:b/>
        </w:rPr>
        <w:t>Shared claim-specific concepts:</w:t>
      </w:r>
      <w:r>
        <w:t xml:space="preserve"> key, via, also; EU scope visible. This is a provisional connection, not an outcome finding.</w:t>
      </w:r>
    </w:p>
    <w:p>
      <w:pPr>
        <w:pStyle w:val="SourceNote"/>
      </w:pPr>
      <w:r>
        <w:rPr>
          <w:b/>
        </w:rPr>
        <w:t>Available abstract (not full text):</w:t>
      </w:r>
      <w:r>
        <w:t xml:space="preserve">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pPr/>
      <w:r>
        <w:rPr>
          <w:b/>
        </w:rPr>
        <w:t>POSSIBLE 2020:</w:t>
      </w:r>
      <w:r>
        <w:t xml:space="preserve"> Congenital Hypothyroidism: A 2020–2021 Consensus Guidelines Update—An ENDO-European Reference Network Initiative Endorsed by the European Society for Pediatric Endocrinology and the European Society for Endocrinology — https://doi.org/10.1089/thy.2020.0333</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pPr/>
      <w:r>
        <w:rPr>
          <w:b/>
        </w:rPr>
        <w:t>POSSIBLE 2018:</w:t>
      </w:r>
      <w:r>
        <w:t xml:space="preserve"> Human trafficking for labour exploitation: the results of a two-phase systematic review mapping the European evidence base and synthesising key scientific research evidence — https://doi.org/10.1007/s11292-017-9321-3</w:t>
      </w:r>
    </w:p>
    <w:p>
      <w:pPr/>
      <w:r>
        <w:rPr>
          <w:b/>
        </w:rPr>
        <w:t>Shared claim-specific concepts:</w:t>
      </w:r>
      <w:r>
        <w:t xml:space="preserve"> key, conclusions, limited, sectors, also; EU scope visible. This is a provisional connection, not an outcome finding.</w:t>
      </w:r>
    </w:p>
    <w:p>
      <w:pPr>
        <w:pStyle w:val="SourceNote"/>
      </w:pPr>
      <w:r>
        <w:rPr>
          <w:b/>
        </w:rPr>
        <w:t>Available abstract (not full text):</w:t>
      </w:r>
      <w:r>
        <w:t xml:space="preserve"> OBJECTIVES: Our objectives were (1) to systematically map the contours of the European evidence base on labour trafficking, identifying its key characteristics, coverage, gaps, strengths and weaknesses and (2) to synthesise key scientific research. METHODS: We took a two-phase approach: a systematic map followed by a detailed synthesis of key scientific research evidence. Our search strategy included 15 databases, hand searches of additional journals, backwards searches, snowball searches and expert recommendations. We identified and screened 6106 records, mapped 152 and synthesised eight. RESULTS: Overall, the literature was limited and fragmented. Reports produced by official agencies dominated; academic authorship and peer-reviewed outputs were comparatively rare. Few publications met minimum scientific standards. Qualitative designs outweighed quantitative ones. Publications typically described trafficking's problem profile and/or discussed interventions; they rarely assessed trafficking's impacts or evaluated interventions. Even among the key scientific research, the quality of evidence was variable and often low. Particular weaknesses included poor methods reporting, unclear or imprecise results and conclusions not properly grounded in the data. The synthesised studies were all exploratory, also sharing other design features. Common themes identified included: poor treatm</w:t>
      </w:r>
    </w:p>
    <w:p>
      <w:pPr/>
      <w:r>
        <w:rPr>
          <w:b/>
        </w:rPr>
        <w:t>POSSIBLE 2017:</w:t>
      </w:r>
      <w:r>
        <w:t xml:space="preserve"> Key drivers for market penetration of biosimilars in Europe — https://doi.org/10.1080/20016689.2016.1272308</w:t>
      </w:r>
    </w:p>
    <w:p>
      <w:pPr/>
      <w:r>
        <w:rPr>
          <w:b/>
        </w:rPr>
        <w:t>Shared claim-specific concepts:</w:t>
      </w:r>
      <w:r>
        <w:t xml:space="preserve"> key, conclusions, also; EU scope visible. This is a provisional connection, not an outcome finding.</w:t>
      </w:r>
    </w:p>
    <w:p>
      <w:pPr>
        <w:pStyle w:val="SourceNote"/>
      </w:pPr>
      <w:r>
        <w:rPr>
          <w:b/>
        </w:rPr>
        <w:t>Available abstract (not full text):</w:t>
      </w:r>
      <w:r>
        <w:t xml:space="preserve"> Background &amp; Objectives: Potential drivers and barriers of biosimilar uptake were mainly analysed through qualitative approaches. The study objective was to conduct a quantitative analysis and identify drivers of biosimilar uptake of all available biosimilars in the European Union (EU). Methods: A three-step process was established to identify key drivers for the uptake of biosimilars in the top 10 EU member states (MS) pharmaceutical markets (Belgium, France, Germany, Greece, Hungary, Italy, Poland, Spain, Sweden, and the UK): (1) literature review to identify incentive policies in place to enhance biosimilars adoption; (2) assessment of biosimilar market dynamics based on database analysis; (3) regression model analysis on price using the following explicative variables: incentive policies; price difference between the biosimilar and the originator product; distribution channel; generic uptake and generic price cut; pharmaceutical expenditure per capita; and market competition. Results: At the study cut-off date, 20 biosimilars were available on the market. Incentive policies applied to biosimilars were found to be heterogeneous across countries, and uptakes of biosimilars were also very heterogeneous between different therapeutic classes and countries. Results from the model demonstrated that incentive policies and the date of first biosimilar market entry were correlated to</w:t>
      </w:r>
    </w:p>
    <w:p>
      <w:pPr>
        <w:pStyle w:val="Heading2"/>
      </w:pPr>
      <w:r>
        <w:t>765.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r>
        <w:rPr>
          <w:b/>
        </w:rPr>
        <w:t>POSSIBLE 2022:</w:t>
      </w:r>
      <w:r>
        <w:t xml:space="preserve"> INFLUENCE OF THE EUROPEAN INTEGRATION ON LINGUISTIC ASPECTS — https://doi.org/10.52058/2786-6165-2022-4(4)-8-21</w:t>
      </w:r>
    </w:p>
    <w:p>
      <w:pPr/>
      <w:r>
        <w:rPr>
          <w:b/>
        </w:rPr>
        <w:t>Shared claim-specific concepts:</w:t>
      </w:r>
      <w:r>
        <w:t xml:space="preserve"> factors, influence, between, federation, significant, union; EU scope visible. This is a provisional connection, not an outcome finding.</w:t>
      </w:r>
    </w:p>
    <w:p>
      <w:pPr>
        <w:pStyle w:val="SourceNote"/>
      </w:pPr>
      <w:r>
        <w:rPr>
          <w:b/>
        </w:rPr>
        <w:t>Available abstract (not full text):</w:t>
      </w:r>
      <w:r>
        <w:t xml:space="preserve">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influence, between, significant;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Comparison of factors influencing liquidity of European Islamic and conventional banks — https://doi.org/10.24136/oc.2021.013</w:t>
      </w:r>
    </w:p>
    <w:p>
      <w:pPr/>
      <w:r>
        <w:rPr>
          <w:b/>
        </w:rPr>
        <w:t>Shared claim-specific concepts:</w:t>
      </w:r>
      <w:r>
        <w:t xml:space="preserve"> factors, influence, due; EU scope visible. This is a provisional connection, not an outcome finding.</w:t>
      </w:r>
    </w:p>
    <w:p>
      <w:pPr>
        <w:pStyle w:val="SourceNote"/>
      </w:pPr>
      <w:r>
        <w:rPr>
          <w:b/>
        </w:rPr>
        <w:t>Available abstract (not full text):</w:t>
      </w:r>
      <w:r>
        <w:t xml:space="preserve">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pPr/>
      <w:r>
        <w:rPr>
          <w:b/>
        </w:rPr>
        <w:t>POSSIBLE 2020:</w:t>
      </w:r>
      <w:r>
        <w:t xml:space="preserve"> Factors Influencing Adoption of Sustainable Farming Practices in Europe: A Systemic Review of Empirical Literature — https://doi.org/10.3390/su12229719</w:t>
      </w:r>
    </w:p>
    <w:p>
      <w:pPr/>
      <w:r>
        <w:rPr>
          <w:b/>
        </w:rPr>
        <w:t>Shared claim-specific concepts:</w:t>
      </w:r>
      <w:r>
        <w:t xml:space="preserve"> factors, influence, land, between; EU scope visible. This is a provisional connection, not an outcome finding.</w:t>
      </w:r>
    </w:p>
    <w:p>
      <w:pPr>
        <w:pStyle w:val="SourceNote"/>
      </w:pPr>
      <w:r>
        <w:rPr>
          <w:b/>
        </w:rPr>
        <w:t>Available abstract (not full text):</w:t>
      </w:r>
      <w:r>
        <w:t xml:space="preserve">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pPr/>
      <w:r>
        <w:rPr>
          <w:b/>
        </w:rPr>
        <w:t>POSSIBLE 2020:</w:t>
      </w:r>
      <w:r>
        <w:t xml:space="preserve"> European Regional Airport: Factors Influencing Efficency — https://doi.org/10.2478/ttj-2020-0017</w:t>
      </w:r>
    </w:p>
    <w:p>
      <w:pPr/>
      <w:r>
        <w:rPr>
          <w:b/>
        </w:rPr>
        <w:t>Shared claim-specific concepts:</w:t>
      </w:r>
      <w:r>
        <w:t xml:space="preserve"> factors, number, traffic, trend, due; EU scope visible. This is a provisional connection, not an outcome finding.</w:t>
      </w:r>
    </w:p>
    <w:p>
      <w:pPr>
        <w:pStyle w:val="SourceNote"/>
      </w:pPr>
      <w:r>
        <w:rPr>
          <w:b/>
        </w:rPr>
        <w:t>Available abstract (not full text):</w:t>
      </w:r>
      <w:r>
        <w:t xml:space="preserve">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pPr/>
      <w:r>
        <w:rPr>
          <w:b/>
        </w:rPr>
        <w:t>POSSIBLE 2020:</w:t>
      </w:r>
      <w:r>
        <w:t xml:space="preserve"> Cultural Influences on Fruit and Vegetable Food-Wasting Behavior in the European Union — https://doi.org/10.3390/su12229685</w:t>
      </w:r>
    </w:p>
    <w:p>
      <w:pPr/>
      <w:r>
        <w:rPr>
          <w:b/>
        </w:rPr>
        <w:t>Shared claim-specific concepts:</w:t>
      </w:r>
      <w:r>
        <w:t xml:space="preserve"> factors, influence, increased, union; EU scope visible. This is a provisional connection, not an outcome finding.</w:t>
      </w:r>
    </w:p>
    <w:p>
      <w:pPr>
        <w:pStyle w:val="SourceNote"/>
      </w:pPr>
      <w:r>
        <w:rPr>
          <w:b/>
        </w:rPr>
        <w:t>Available abstract (not full text):</w:t>
      </w:r>
      <w:r>
        <w:t xml:space="preserve"> In a context of increased world population and imbalanced access to resources, the concept of food waste has gained increased attention in the past years. The waste of food has a negative impact on the economy, the society and the environment. In order to reduce the quantities of wasted food, it is important to understand the factors and the situations in which food waste occurs. Several studies have shown that food waste happens mostly at the consumer level and that it is determined by a wide range of factors, such as socio-demographic characteristics and consumption patterns. The objective of this paper is to determine the impact of the national culture on the quantity of wasted fruit and vegetables. Based on secondary data, the panel regression analysis was applied for 28 European countries with the purpose of determining the influence of the cultural dimensions as described by Hofstede on the quantities of wasted fruit and vegetables. The results of the research show that the uncertainty avoidance of a culture complemented by the indulgence index influences the quantity of wasted fruit and vegetables, confirming that certain characteristics of the national culture are factors that affect the quantity of wasted food.</w:t>
      </w:r>
    </w:p>
    <w:p>
      <w:pPr/>
      <w:r>
        <w:rPr>
          <w:b/>
        </w:rPr>
        <w:t>POSSIBLE 2019:</w:t>
      </w:r>
      <w:r>
        <w:t xml:space="preserve"> External factors influencing length of stay in forensic services – a European evaluation — https://doi.org/10.12740/pp/99299</w:t>
      </w:r>
    </w:p>
    <w:p>
      <w:pPr/>
      <w:r>
        <w:rPr>
          <w:b/>
        </w:rPr>
        <w:t>Shared claim-specific concepts:</w:t>
      </w:r>
      <w:r>
        <w:t xml:space="preserve"> factors, influence, number, trend, increased; EU scope visible. This is a provisional connection, not an outcome finding.</w:t>
      </w:r>
    </w:p>
    <w:p>
      <w:pPr>
        <w:pStyle w:val="SourceNote"/>
      </w:pPr>
      <w:r>
        <w:rPr>
          <w:b/>
        </w:rPr>
        <w:t>Available abstract (not full text):</w:t>
      </w:r>
      <w:r>
        <w:t xml:space="preserve"> OBJECTIVES: A growing number of patients whose length-of-stay in forensic services is aboveaverage length are identifiable in several European countries. Forensic services are situated within a particular sociocultural setting. Accordingly, this trend to increased admission length cannot be solely attributed to patient characteristics. This is the first known study exploring the influence of external factors on length-of-stay in forensic services. METHODS: Representatives from 16 European countries, members of the international COST project, focused on forensic psychiatric service, analyzed their respective forensic services using a structured tool. Responses were combined and analyzed using thematic analysis. RESULTS: Four themes described the factors influencing length-of-stay: care and treatment pathways; resources; legal and systemic impact; and sharing expertise. CONCLUSIONS: Findings suggest multidisciplinary consideration of the whole care pathway is required to address increased length-of-stay. Further research is required to support development of evidence-based standards applicable across Europe, and improve outcomes for patients at risk of increased length-of-stay in forensic services.</w:t>
      </w:r>
    </w:p>
    <w:p>
      <w:pPr/>
      <w:r>
        <w:rPr>
          <w:b/>
        </w:rPr>
        <w:t>POSSIBLE 2019:</w:t>
      </w:r>
      <w:r>
        <w:t xml:space="preserve"> The factors which influence career progression for women in Central Banks in Europe — https://openalex.org/W2995649052</w:t>
      </w:r>
    </w:p>
    <w:p>
      <w:pPr/>
      <w:r>
        <w:rPr>
          <w:b/>
        </w:rPr>
        <w:t>Shared claim-specific concepts:</w:t>
      </w:r>
      <w:r>
        <w:t xml:space="preserve"> factors, influence, number; EU scope visible. This is a provisional connection, not an outcome finding.</w:t>
      </w:r>
    </w:p>
    <w:p>
      <w:pPr>
        <w:pStyle w:val="SourceNote"/>
      </w:pPr>
      <w:r>
        <w:rPr>
          <w:b/>
        </w:rPr>
        <w:t>Available abstract (not full text):</w:t>
      </w:r>
      <w:r>
        <w:t xml:space="preserve"> In recent decades, the career progression of women has been a topic of much debate and research. Many factors play a role in both facilitating and hindering this progression for women. However there is limited research which outlines these factors in a European context. The overarching aim of the current study was to investigate factors, which influence career progression for women in Central Banks in Europe. This study was a qualitative design, which consisted of semi-structured interviews with ten women who worked at senior management level in Central Banks across three sites, Central Bank in Ireland, European Central Bank in Germany and Banco D’Espana in Spain. Thematic analysis was used to analyse the data. Results identified factors, which influence career progression for women in terms of both barriers and enablers. Barriers included personality factors, maternity, culture within an organisation and attitudes of men. Factors which enable career progression included initiatives, networking and personality factors. Attitudes to gender quotas were also explored and participants help conflicting emotions to gender quotas but described them as necessary accelerate gender equality in the workplace. This study had a number of methodological strengths and weaknesses which are outlined in this thesis. There were also a number of implications for practice and policy from the findin</w:t>
      </w:r>
    </w:p>
    <w:p>
      <w:pPr/>
      <w:r>
        <w:rPr>
          <w:b/>
        </w:rPr>
        <w:t>POSSIBLE 2018:</w:t>
      </w:r>
      <w:r>
        <w:t xml:space="preserve"> Influence beyond formal powers: The parliamentarisation of European Union security policy — https://doi.org/10.1177/1369148117747105</w:t>
      </w:r>
    </w:p>
    <w:p>
      <w:pPr/>
      <w:r>
        <w:rPr>
          <w:b/>
        </w:rPr>
        <w:t>Shared claim-specific concepts:</w:t>
      </w:r>
      <w:r>
        <w:t xml:space="preserve"> factors, influence, significant, increased, union; EU scope visible. This is a provisional connection, not an outcome finding.</w:t>
      </w:r>
    </w:p>
    <w:p>
      <w:pPr>
        <w:pStyle w:val="SourceNote"/>
      </w:pPr>
      <w:r>
        <w:rPr>
          <w:b/>
        </w:rPr>
        <w:t>Available abstract (not full text):</w:t>
      </w:r>
      <w:r>
        <w:t xml:space="preserve"> The European Union’s foreign and security policy is commonly described as an intergovernmental affair. Despite limited formal powers, several studies suggest that the European Parliament has increased its influence on the Union’s foreign and security policy. This article argues that, to gauge the significance of parliamentary participation, it is necessary to look beyond the notion of formal parliamentary rights and to take into account informal influence. The analysis shows how informal avenues of influence are crucial at certain stages of the decision-making process, and points to factors that constrain and enable parliamentary impact. Furthermore, it emphasises the important role that parliaments play in scrutinising security policy, which is a crucial component of democratic governance. In this particular field where there is little legislation, the establishment of solid procedures and practices for oversight and control can also be a significant indicator of parliamentary influence.</w:t>
      </w:r>
    </w:p>
    <w:p>
      <w:pPr/>
      <w:r>
        <w:rPr>
          <w:b/>
        </w:rPr>
        <w:t>POSSIBLE 2017:</w:t>
      </w:r>
      <w:r>
        <w:t xml:space="preserve"> Cultural determinants influence assisted reproduction usage in Europe more than economic and demographic factors — https://doi.org/10.1093/humrep/dex298</w:t>
      </w:r>
    </w:p>
    <w:p>
      <w:pPr/>
      <w:r>
        <w:rPr>
          <w:b/>
        </w:rPr>
        <w:t>Shared claim-specific concepts:</w:t>
      </w:r>
      <w:r>
        <w:t xml:space="preserve"> factors, influence, number, between, union; EU scope visible. This is a provisional connection, not an outcome finding.</w:t>
      </w:r>
    </w:p>
    <w:p>
      <w:pPr>
        <w:pStyle w:val="SourceNote"/>
      </w:pPr>
      <w:r>
        <w:rPr>
          <w:b/>
        </w:rPr>
        <w:t>Available abstract (not full text):</w:t>
      </w:r>
      <w:r>
        <w:t xml:space="preserve"> STUDY QUESTION: To what extent do financial, demographic and cultural determinants explain the vast cross-national differences in ART treatments in Europe? SUMMARY ANSWER: The normative cultural acceptance of ART is a major driver of ART treatments in Europe, above and beyond differences in country wealth, demographic aspects and religious composition. WHAT IS KNOWN ALREADY: There are vast differences in the number of ART treatments across European countries, which are to some extent related to country affluence, regulation, and insurance coverage and costs. The role and impact of cultural and normative factors has not been explored in a larger cross-national comparison. STUDY DESIGN, SIZE, DURATION: A descriptive and comparative cross-national analysis of ART treatment prevalence in over 30 European countries in 2010, with the outcome defined as the total number of ART cycles per million women of reproductive age (15-44 years). Data is drawn from multiple sources (ICMART, US Census Bureau Library, World Bank, Barro-Lee Educational Attainment Dataset, IFFS Surveillance reports, European Values Study and World Religion Database). PARTICIPANTS/MATERIALS, SETTING, METHODS: Our sample includes data from 35 European countries, where we describe the associations between demographic and cultural factors and the prevalence of ART treatments. Bivariate correlation and ordinary least squ</w:t>
      </w:r>
    </w:p>
    <w:p>
      <w:pPr>
        <w:pStyle w:val="Heading2"/>
      </w:pPr>
      <w:r>
        <w:t>766.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2021:</w:t>
      </w:r>
      <w:r>
        <w:t xml:space="preserve"> Economic growth in contrast to GHG emission reduction measures in Green Deal context — https://doi.org/10.1016/j.ecolind.2021.108153</w:t>
      </w:r>
    </w:p>
    <w:p>
      <w:pPr/>
      <w:r>
        <w:rPr>
          <w:b/>
        </w:rPr>
        <w:t>Shared claim-specific concepts:</w:t>
      </w:r>
      <w:r>
        <w:t xml:space="preserve"> show, implementing, ghg, emission, reduction, additional; EU scope visible. This is a provisional connection, not an outcome finding.</w:t>
      </w:r>
    </w:p>
    <w:p>
      <w:pPr>
        <w:pStyle w:val="SourceNote"/>
      </w:pPr>
      <w:r>
        <w:rPr>
          <w:b/>
        </w:rPr>
        <w:t>Available abstract (not full text):</w:t>
      </w:r>
      <w:r>
        <w:t xml:space="preserve"> The global economy is on the verge of one of the greatest transitions in modern history. The ability to ensure sustainable economic development and prosperity while significantly reducing consumption of energy resources and generated greenhouse gas emissions is a global challenge that affects every country in the world. To assess whether economies are ready for this challenge, there is an urgent need to examine this dual relationship between economic growth and climate change measures. European Green Deal strategy has set the ambitious goal of Europe becoming the first climate-neutral continent by 2050, boosting competitiveness and long-term prosperity of the economy. Kaya identity and LMDI decomposition is applied to examine how European Union countries have been coping with these countereffects historically. The decomposition analysis is conducted for the EU-28 (including the UK) countries for a 10-year study period from 2010 to 2019. This study analyses the main drivers of changes in GHG emissions in European Union and estimates the progress made in implementing the Green Deal targets. The results show that in the EU, energy efficiency improvements have twice the effect on reducing GHG emission compared to RES strategies. The effect of economic growth was the main offsetting factor hindering the achievement of larger GHG emission reductions. More in-depth ex-ante and ex-post</w:t>
      </w:r>
    </w:p>
    <w:p>
      <w:pPr/>
      <w:r>
        <w:rPr>
          <w:b/>
        </w:rPr>
        <w:t>POSSIBLE 2021:</w:t>
      </w:r>
      <w:r>
        <w:t xml:space="preserve"> Perceptions of GHG emissions and renewable energy sources in Europe, Australia and the USA — https://doi.org/10.1007/s11356-021-15935-7</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Biomethane from Manure, Agricultural Residues and Biowaste—GHG Mitigation Potential from Residue-Based Biomethane in the European Transport Sector — https://doi.org/10.3390/su132414007</w:t>
      </w:r>
    </w:p>
    <w:p>
      <w:pPr/>
      <w:r>
        <w:rPr>
          <w:b/>
        </w:rPr>
        <w:t>Shared claim-specific concepts:</w:t>
      </w:r>
      <w:r>
        <w:t xml:space="preserve"> show, ghg, emission, reduction, energy, however; EU scope visible. This is a provisional connection, not an outcome finding.</w:t>
      </w:r>
    </w:p>
    <w:p>
      <w:pPr>
        <w:pStyle w:val="SourceNote"/>
      </w:pPr>
      <w:r>
        <w:rPr>
          <w:b/>
        </w:rPr>
        <w:t>Available abstract (not full text):</w:t>
      </w:r>
      <w:r>
        <w:t xml:space="preserve"> Biomethane from manure, agricultural residues, and biowaste has been prioritized by many energy strategies as a sustainable way to decrease greenhouse gas (GHG) emissions in the transport sector. The technology is regarded as mature; however, its implementation is still at an early stage. At EU level, there are currently two major instruments relevant for promoting the production of biomethane from waste and residues and which are likely to contribute to unlocking unused GHG mitigation potentials: the Renewable Energy Directive 2018/2001 (RED II) and the European Emission Trading System (EU ETS). Our study analyzes the effects of these two instruments on the competitiveness of biomethane as an advanced transport fuel in relation to different policy scenarios within the RED II framework and under EU ETS conditions. Within the RED II market framework for advanced biofuels, biomethane concepts that use manure as a substrate or as a cosubstrate show significantly lower GHG mitigation costs compared to advanced biofuels. With respect to the current EU ETS conditions for bioenergy, it is helpful to consider the GHG reduction potential from the non-ETS agricultural sector as a way to unlock unused potential for reducing GHG emissions.</w:t>
      </w:r>
    </w:p>
    <w:p>
      <w:pPr/>
      <w:r>
        <w:rPr>
          <w:b/>
        </w:rPr>
        <w:t>POSSIBLE 2021:</w:t>
      </w:r>
      <w:r>
        <w:t xml:space="preserve"> GHG Emissions Mitigation in the European Union Based on Labor Market Changes — https://doi.org/10.3390/en14020465</w:t>
      </w:r>
    </w:p>
    <w:p>
      <w:pPr/>
      <w:r>
        <w:rPr>
          <w:b/>
        </w:rPr>
        <w:t>Shared claim-specific concepts:</w:t>
      </w:r>
      <w:r>
        <w:t xml:space="preserve"> ghg, negative; EU scope visible. This is a provisional connection, not an outcome finding.</w:t>
      </w:r>
    </w:p>
    <w:p>
      <w:pPr>
        <w:pStyle w:val="SourceNote"/>
      </w:pPr>
      <w:r>
        <w:rPr>
          <w:b/>
        </w:rPr>
        <w:t>Available abstract (not full text):</w:t>
      </w:r>
      <w:r>
        <w:t xml:space="preserve"> The effects of the labor market on environmental issues are an actual problem at the global level, and recommendations are required to achieve equilibrium between labor productivity and environmental protection. Considering the ecological limits of work and the necessity of reducing the working time to mitigate GHG (greenhouse gas) emissions, this paper aims to assess the impact of the labor market on GHG emissions in the EU-28 countries. Using panel data models for 2007–2019, a positive effect of working time for employed persons on GHG emissions was detected. Labor productivity has a positive impact on emissions for most of the developed countries in the EU (old member states), while the effect is negative in the case of most of the new member states, which suggests that more efforts should be made by old member states to correlate labor productivity with a sustainable level of GHG emissions. As a novelty for research in the field, we assessed also the effect of targeted labor utilization on GHG emissions in order to describe the context of a sustainable economy that is an objective for each country in the EU. These results suggest that progress in GHG emissions mitigation might be achieved by reducing the working time for employed persons, which will also improve well-being. These recommendations could be useful also for other developed countries outside the EU that encounte</w:t>
      </w:r>
    </w:p>
    <w:p>
      <w:pPr/>
      <w:r>
        <w:rPr>
          <w:b/>
        </w:rPr>
        <w:t>POSSIBLE 2021:</w:t>
      </w:r>
      <w:r>
        <w:t xml:space="preserve"> GHGs Emission from the Agricultural Sector within EU-28: A Multivariate Analysis Approach — https://doi.org/10.3390/en14206495</w:t>
      </w:r>
    </w:p>
    <w:p>
      <w:pPr/>
      <w:r>
        <w:rPr>
          <w:b/>
        </w:rPr>
        <w:t>Shared claim-specific concepts:</w:t>
      </w:r>
      <w:r>
        <w:t xml:space="preserve"> ghg, emission, reduction, negative; EU scope visible. This is a provisional connection, not an outcome finding.</w:t>
      </w:r>
    </w:p>
    <w:p>
      <w:pPr>
        <w:pStyle w:val="SourceNote"/>
      </w:pPr>
      <w:r>
        <w:rPr>
          <w:b/>
        </w:rPr>
        <w:t>Available abstract (not full text):</w:t>
      </w:r>
      <w:r>
        <w:t xml:space="preserve"> Climate mitigation and adaptation planning (CMAP) has recently been implemented across the EU-28 to reduce GHG emissions (CO2, CH4, N2O). Thus, the aim of this study was to provide an overview of GHG emissions from the agricultural sector in the EU-28 from 1990 to 2019, and cluster the EU-28 countries regarding their total GHG emissions. The results emphasize the positive impact of CMAP through a negative trend of the total GHG emissions (−2653.01 thousand tons/year, p &lt; 0.05). Despite the positive and not significant trend of the total CO2 emissions, both CH4 and N2O exhibited a negative and significant trend. At the country scale, Italy, the United Kingdom, and the Netherlands showed the highest reduction in total GHG emissions, by −282.61thousand tons/year (p &lt; 0.05), −266.40 thousand tons/year (p &lt; 0.05), and −262.91 thousand tons/year (p &lt; 0.05), respectively. The output of the multivariate analysis approach indicates changes in the pattern of GHG emissions between 1990 and 2019, where CO2 emissions decreased in the case of Poland and Czechia. The output of this study highlights the positive impact of CMAP, adopted by EU countries, in minimizing GHG emissions. Despite some fluctuations in CO2 emissions, strategies for attaining carbon neutrality in the agricultural sector, across the European Union, should be pursued.</w:t>
      </w:r>
    </w:p>
    <w:p>
      <w:pPr/>
      <w:r>
        <w:rPr>
          <w:b/>
        </w:rPr>
        <w:t>POSSIBLE 2020:</w:t>
      </w:r>
      <w:r>
        <w:t xml:space="preserve"> GHG Performance Evaluation in Green Deal Context — https://doi.org/10.2478/rtuect-2020-0026</w:t>
      </w:r>
    </w:p>
    <w:p>
      <w:pPr/>
      <w:r>
        <w:rPr>
          <w:b/>
        </w:rPr>
        <w:t>Shared claim-specific concepts:</w:t>
      </w:r>
      <w:r>
        <w:t xml:space="preserve"> ghg, target, energy, however; EU scope visible. This is a provisional connection, not an outcome finding.</w:t>
      </w:r>
    </w:p>
    <w:p>
      <w:pPr>
        <w:pStyle w:val="SourceNote"/>
      </w:pPr>
      <w:r>
        <w:rPr>
          <w:b/>
        </w:rPr>
        <w:t>Available abstract (not full text):</w:t>
      </w:r>
      <w:r>
        <w:t xml:space="preserve"> Abstract Recently introduced European Green Deal has set a target for Europe to become the first climate-neutral continent by 2050. This ambitious commitment will bring a serious challenge for the EU. However, the degree of this challenge will not be the same to all EU member states. In this paper, the multi-criteria decision analysis is applied to rank eight selected EU countries (Denmark, Estonia, Ireland, Latvia, Lithuania, Slovenia, Finland and Sweden) regarding GHG performance, and thus illustrate different starting points of the transition to carbon-neutrality. In parallel to the widely used indicator of GHG emissions per capita, evaluation incorporates various other criteria covering energy consumption, population size, and the use of renewable energy and fossil fuel, as well as investment and tax rates. TOPSIS analysis shows that the best GHG performance is achieved by Sweden, while Latvia ranks the lowest. The presented evaluation method could be a useful tool in planning implementation of policies to reach Green Deal settings on European, as well as on a national level.</w:t>
      </w:r>
    </w:p>
    <w:p>
      <w:pPr>
        <w:pStyle w:val="Heading2"/>
      </w:pPr>
      <w:r>
        <w:t>767.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2020:</w:t>
      </w:r>
      <w:r>
        <w:t xml:space="preserve"> Economic analysis of BIPV systems as a building envelope material for building skins in Europe — https://doi.org/10.1016/j.energy.2020.117931</w:t>
      </w:r>
    </w:p>
    <w:p>
      <w:pPr/>
      <w:r>
        <w:rPr>
          <w:b/>
        </w:rPr>
        <w:t>Shared claim-specific concepts:</w:t>
      </w:r>
      <w:r>
        <w:t xml:space="preserve"> also, present, alternative; EU scope visible. This is a provisional connection, not an outcome finding.</w:t>
      </w:r>
    </w:p>
    <w:p>
      <w:pPr>
        <w:pStyle w:val="SourceNote"/>
      </w:pPr>
      <w:r>
        <w:rPr>
          <w:b/>
        </w:rPr>
        <w:t>Available abstract (not full text):</w:t>
      </w:r>
      <w:r>
        <w:t xml:space="preserve">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pPr/>
      <w:r>
        <w:rPr>
          <w:b/>
        </w:rPr>
        <w:t>POSSIBLE 2019:</w:t>
      </w:r>
      <w:r>
        <w:t xml:space="preserve"> Using Economic Cost Benefit Analysis Methodologies to underpin the sustainability and strategic planning of Coastal Ocean Research Infrastructures in Europe — https://doi.org/10.1109/oceanse.2019.8867276</w:t>
      </w:r>
    </w:p>
    <w:p>
      <w:pPr/>
      <w:r>
        <w:rPr>
          <w:b/>
        </w:rPr>
        <w:t>Shared claim-specific concepts:</w:t>
      </w:r>
      <w:r>
        <w:t xml:space="preserve"> also, present, show; EU scope visible. This is a provisional connection, not an outcome finding.</w:t>
      </w:r>
    </w:p>
    <w:p>
      <w:pPr>
        <w:pStyle w:val="SourceNote"/>
      </w:pPr>
      <w:r>
        <w:rPr>
          <w:b/>
        </w:rPr>
        <w:t>Available abstract (not full text):</w:t>
      </w:r>
      <w:r>
        <w:t xml:space="preserve"> The JERICO-RI (Joint European Research Infrastructure for Coastal Observatories, http://www.jericori.eu) is a Network of Coastal Observatories which are being integrated into a sustainable system of systems. Initiated in 2010, the basic elements of the system are nationally funded observing platforms, i.e. Ferrybox, fixed platforms (moorings, cabled observatories, piles), coastal gliders, HF radar, coastal profilers and vessels of opportunity. One of the main challenges for the European marine research community is now to increase the consistency and the sustainability of these dispersed networks and infrastructures by integrating their future within a shared Pan-European framework/infrastructure. A comprehensive cost benefit and value analysis for the Research Infrastructure is presented, outlining both the direct costs and benefits, but also the non-quantifiable costs and benefits associated with the operation of an integrated network of coastal marine observing systems. We show how the results of the economic appraisal and Cost Benefit Analysis outputs are best represented by the calculation of the Net Present Value (NPV) for each of the governance options considered. This value, in combination with the Benefit Cost Ratio (The ratio of the total benefits to total costs when total benefits and total costs are expressed in discounted present value terms) are calculated and pre</w:t>
      </w:r>
    </w:p>
    <w:p>
      <w:pPr/>
      <w:r>
        <w:rPr>
          <w:b/>
        </w:rPr>
        <w:t>POSSIBLE 2018:</w:t>
      </w:r>
      <w:r>
        <w:t xml:space="preserve"> Cost-benefit analysis of aquaculture breeding programs — https://doi.org/10.1186/s12711-018-0372-3</w:t>
      </w:r>
    </w:p>
    <w:p>
      <w:pPr/>
      <w:r>
        <w:rPr>
          <w:b/>
        </w:rPr>
        <w:t>Shared claim-specific concepts:</w:t>
      </w:r>
      <w:r>
        <w:t xml:space="preserve"> present, different, between, profitability, alternative; EU scope not established. This is a provisional connection, not an outcome finding.</w:t>
      </w:r>
    </w:p>
    <w:p>
      <w:pPr>
        <w:pStyle w:val="SourceNote"/>
      </w:pPr>
      <w:r>
        <w:rPr>
          <w:b/>
        </w:rPr>
        <w:t>Available abstract (not full text):</w:t>
      </w:r>
      <w:r>
        <w:t xml:space="preserve"> BACKGROUND: Profitability of breeding programs is a key determinant in the adoption of selective breeding, and can be evaluated using cost-benefit analysis. There are many options to design breeding programs, with or without a multiplier tier. Our objectives were to evaluate different breeding program designs for aquaculture and to optimize the number of selection candidates for these programs. METHODS: The baseline was based on an existing breeding program for gilthead seabream, where improvement of the nucleus had priority over improvement of the multiplier tier, which was partly replaced once every 3 years. Alternative breeding programs considered were annual multiplier tier replacement, annual multiplier tier replacement with priority on improvement of the multiplier tier, and a program without a multiplier tier. Cost-benefit analyses were performed to compare breeding programs. The outcomes were used to describe relationships between profitability and the number of selection candidates, length of the time horizon, and production output, and to estimate the optimum numbers of selection candidates. RESULTS: The baseline breeding program was profitable after 5 years and reached a net present value of 2.9 million euro in year 10. All alternative programs were more profitable up to year 17. The program without a multiplier tier was the most profitable one up to year 22, followe</w:t>
      </w:r>
    </w:p>
    <w:p>
      <w:pPr>
        <w:pStyle w:val="Heading2"/>
      </w:pPr>
      <w:r>
        <w:t>768.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2018:</w:t>
      </w:r>
      <w:r>
        <w:t xml:space="preserve"> Regional inequality in Europe: evidence, theory and policy implications — https://doi.org/10.1093/jeg/lby021</w:t>
      </w:r>
    </w:p>
    <w:p>
      <w:pPr/>
      <w:r>
        <w:rPr>
          <w:b/>
        </w:rPr>
        <w:t>Shared claim-specific concepts:</w:t>
      </w:r>
      <w:r>
        <w:t xml:space="preserve"> implications, effective;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769.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2021:</w:t>
      </w:r>
      <w:r>
        <w:t xml:space="preserve"> A Review of Water Stress and Water Footprint Accounting — https://doi.org/10.3390/w13020201</w:t>
      </w:r>
    </w:p>
    <w:p>
      <w:pPr/>
      <w:r>
        <w:rPr>
          <w:b/>
        </w:rPr>
        <w:t>Shared claim-specific concepts:</w:t>
      </w:r>
      <w:r>
        <w:t xml:space="preserve"> water, footprint, production, consumption, use; EU scope not established. This is a provisional connection, not an outcome finding.</w:t>
      </w:r>
    </w:p>
    <w:p>
      <w:pPr>
        <w:pStyle w:val="SourceNote"/>
      </w:pPr>
      <w:r>
        <w:rPr>
          <w:b/>
        </w:rPr>
        <w:t>Available abstract (not full text):</w:t>
      </w:r>
      <w:r>
        <w:t xml:space="preserve">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pPr/>
      <w:r>
        <w:rPr>
          <w:b/>
        </w:rPr>
        <w:t>POSSIBLE 2020:</w:t>
      </w:r>
      <w:r>
        <w:t xml:space="preserve"> The Water Footprint of Global Food Production — https://doi.org/10.3390/w12102696</w:t>
      </w:r>
    </w:p>
    <w:p>
      <w:pPr/>
      <w:r>
        <w:rPr>
          <w:b/>
        </w:rPr>
        <w:t>Shared claim-specific concepts:</w:t>
      </w:r>
      <w:r>
        <w:t xml:space="preserve"> water, footprint, population, production, diets, use; EU scope not established. This is a provisional connection, not an outcome finding.</w:t>
      </w:r>
    </w:p>
    <w:p>
      <w:pPr>
        <w:pStyle w:val="SourceNote"/>
      </w:pPr>
      <w:r>
        <w:rPr>
          <w:b/>
        </w:rPr>
        <w:t>Available abstract (not full text):</w:t>
      </w:r>
      <w:r>
        <w:t xml:space="preserve">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pPr/>
      <w:r>
        <w:rPr>
          <w:b/>
        </w:rPr>
        <w:t>POSSIBLE 2020:</w:t>
      </w:r>
      <w:r>
        <w:t xml:space="preserve"> The Water Footprint Concept and Water's Grand Environmental Challenges — https://doi.org/10.1016/j.oneear.2020.02.010</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Widespread water scarcity, water pollution, and depletion of freshwater resources are among the grand environmental challenges of the 21 st century related to water. Central to these challenges is the fact that humanity uses too much water. But what are we using all that water for? The water footprint concept can help answer this question, and more. Addressing the relation between human freshwater consumption and water's grand environmental challenges, the water footprint concept resonates with stakeholders within and beyond the walls of science. This Primer describes the basics of the water footprint concept, how it works, and why it came about. Drawing from recent studies in the new research field of Water Footprint Assessment, it highlights some intriguing applications and delves into what is next on the exciting interdisciplinary research agenda.</w:t>
      </w:r>
    </w:p>
    <w:p>
      <w:pPr/>
      <w:r>
        <w:rPr>
          <w:b/>
        </w:rPr>
        <w:t>POSSIBLE 2019:</w:t>
      </w:r>
      <w:r>
        <w:t xml:space="preserve"> The consumptive water footprint of the European Union energy sector — https://doi.org/10.1088/1748-9326/ab374a</w:t>
      </w:r>
    </w:p>
    <w:p>
      <w:pPr/>
      <w:r>
        <w:rPr>
          <w:b/>
        </w:rPr>
        <w:t>Shared claim-specific concepts:</w:t>
      </w:r>
      <w:r>
        <w:t xml:space="preserve"> water, footprint, level, based, production, consumption; EU scope visible. This is a provisional connection, not an outcome finding.</w:t>
      </w:r>
    </w:p>
    <w:p>
      <w:pPr>
        <w:pStyle w:val="SourceNote"/>
      </w:pPr>
      <w:r>
        <w:rPr>
          <w:b/>
        </w:rPr>
        <w:t>Available abstract (not full text):</w:t>
      </w:r>
      <w:r>
        <w:t xml:space="preserve"> Abstract Energy security for the EU is a priority of the European Commission. Although both blue and green water resources are increasingly scarce, the EU currently does not explicitly account for water resource use in its energy related policies. Here we quantify the freshwater resources required to produce the different energy sources in the EU, by means of the water footprint (WF) concept. We conduct the most geographically detailed consumptive WF assessment for the EU to date, based on the newest spatial databases of energy sources. We calculate that fossil fuels and nuclear energy are moderate water users (136–627 m3/terajoules (m3 TJ–1)). Of the renewable energy sources, wood, reservoir hydropower and first generation biofuels require large water amounts (9114–137 624 m3 TJ–1). The most water efficient are solar, wind, geothermal and run-of-river hydropower (1–117 m3 TJ–1). For the EU territory for the year 2015, our geographically detailed assessment results in a WF of energy production from domestic water resources of 198 km3, or 1068 litres per person per day. The WF of energy consumption is larger as the EU is to a high level dependent on imports for its energy supply, amounting to 242 km3 per year, or 1301 litres per person per day. The WF of energy production within the 281 EU statistical NUTS-2 (Nomenclature of Territorial Units for Statistics) regions shows spatia</w:t>
      </w:r>
    </w:p>
    <w:p>
      <w:pPr/>
      <w:r>
        <w:rPr>
          <w:b/>
        </w:rPr>
        <w:t>POSSIBLE 2019:</w:t>
      </w:r>
      <w:r>
        <w:t xml:space="preserve"> The Water Footprint of Wood for Energy Consumed in the European Union — https://doi.org/10.3390/w11020206</w:t>
      </w:r>
    </w:p>
    <w:p>
      <w:pPr/>
      <w:r>
        <w:rPr>
          <w:b/>
        </w:rPr>
        <w:t>Shared claim-specific concepts:</w:t>
      </w:r>
      <w:r>
        <w:t xml:space="preserve"> water, footprint, production, trade, consumption, use; EU scope visible. This is a provisional connection, not an outcome finding.</w:t>
      </w:r>
    </w:p>
    <w:p>
      <w:pPr>
        <w:pStyle w:val="SourceNote"/>
      </w:pPr>
      <w:r>
        <w:rPr>
          <w:b/>
        </w:rPr>
        <w:t>Available abstract (not full text):</w:t>
      </w:r>
      <w:r>
        <w:t xml:space="preserve"> The European Union (EU) aims at increasing the share of renewable energy use, of which nearly half originates from wood sources currently. An energy supply from wood sources strongly relies on green water resources, which are limited and also essential for food security and terrestrial biodiversity. We have estimated the water footprint (WF) of wood for energy consumed in the EU-28 (WFwec) by combining data on energy produced from wood sources in the EU per member state for the year 2015 from the EU energy reference scenario 2016, extra-EU trade in fuelwood and charcoal, and country-specific estimates of the water footprint per unit of wood. We find that the WFwec is large (156 × 109 m3/y), 94% of this footprint is situated within the EU, and it is almost exclusively related to green water (99%). Adding WFwec to the WF related to the EU’s consumption of agricultural and industrial products as well as domestic water use (702 × 109 m3/y) signifies an increase of 22% to 858 × 109 m3/y. We show that over half of the internal WFwec is in member states that have a high degree of green water scarcity and hence very limited potential left to sustainably allocate more green water flows to biomass production. The results of this study feed into the debate on how the EU can achieve a sustainable and reliable energy supply. Policies on energy security should consider that increased use of </w:t>
      </w:r>
    </w:p>
    <w:p>
      <w:pPr/>
      <w:r>
        <w:rPr>
          <w:b/>
        </w:rPr>
        <w:t>POSSIBLE 2019:</w:t>
      </w:r>
      <w:r>
        <w:t xml:space="preserve"> Water footprint for industrial products. A paradigm of concentration — https://doi.org/10.33727/jriss.2019.1.16:123-130</w:t>
      </w:r>
    </w:p>
    <w:p>
      <w:pPr/>
      <w:r>
        <w:rPr>
          <w:b/>
        </w:rPr>
        <w:t>Shared claim-specific concepts:</w:t>
      </w:r>
      <w:r>
        <w:t xml:space="preserve"> water, footprint, population, production, consumption, develop; EU scope visible. This is a provisional connection, not an outcome finding.</w:t>
      </w:r>
    </w:p>
    <w:p>
      <w:pPr>
        <w:pStyle w:val="SourceNote"/>
      </w:pPr>
      <w:r>
        <w:rPr>
          <w:b/>
        </w:rPr>
        <w:t>Available abstract (not full text):</w:t>
      </w:r>
      <w:r>
        <w:t xml:space="preserve"> Linking economic research to the sustainability process also includes the need to study water footprint issues of consumption of industrial products.In this context, the water footprint of the consumption of industrial products from the point of view of the territorial concentration in European countries is analyzed.At the same time, this type of water is approached on the two categories of components: blue and gray, taking into account the volume of water resources used internally and externally for the production of goods and services consumed by the population.Also, the degree of concentration of water footprint of the consumption of industrial products was determined in the paper.Thus, two of the most significant indicators (Gini Coefficient and Shannon Entropy) were used and relevant concentration curves were constructed.The results highlighted for both categories, blue and gray, a high degree of internal concentration and reduced external focus.Taking into account the results the future orientation is to develop and implement environmental strategies that will reduce the water footprint of the consumption of industrial products, especially for the internal category.</w:t>
      </w:r>
    </w:p>
    <w:p>
      <w:pPr/>
      <w:r>
        <w:rPr>
          <w:b/>
        </w:rPr>
        <w:t>POSSIBLE 2019:</w:t>
      </w:r>
      <w:r>
        <w:t xml:space="preserve"> Ecological Footprint and Water Footprint of Taipei — https://doi.org/10.3390/su11205714</w:t>
      </w:r>
    </w:p>
    <w:p>
      <w:pPr/>
      <w:r>
        <w:rPr>
          <w:b/>
        </w:rPr>
        <w:t>Shared claim-specific concepts:</w:t>
      </w:r>
      <w:r>
        <w:t xml:space="preserve"> water, footprint, level, patterns, consumption; EU scope not established. This is a provisional connection, not an outcome finding.</w:t>
      </w:r>
    </w:p>
    <w:p>
      <w:pPr>
        <w:pStyle w:val="SourceNote"/>
      </w:pPr>
      <w:r>
        <w:rPr>
          <w:b/>
        </w:rPr>
        <w:t>Available abstract (not full text):</w:t>
      </w:r>
      <w:r>
        <w:t xml:space="preserve"> Taiwan suffers from many natural disasters and is vulnerable to climate change. A continuous increase in its ecological footprint (EF) would pose numerous threats to the city. Taipei is Taiwan’s most densely populated city. Whether its citizens are consuming more resources because of their high income and high degree of urbanization, thereby burdening the environment, warrants study. In contrast to most top-down EF analyses, in this study, 445 residents were surveyed to calculate their carbon, built-up land and water footprints. Gender, occupation, age, education level and personal annual income do not influence water footprint or EF. Moreover, an individual’s water footprint is not correlated with his or her EF. The built-up land footprint that is obtained in this bottom-up study is similar to that in Taiwan’s top-down national footprint account. However, the personal carbon footprint found herein is smaller than that in the national footprint account, because this study asked respondents only about consumption related to everyday activities. Since Taipei residents have a high income and high daily consumption, the water footprint herein is larger than the top-down water footprint. This bottom-up EF analysis reflects residents’ daily consumption patterns and can be used in future urban decision-making.</w:t>
      </w:r>
    </w:p>
    <w:p>
      <w:pPr>
        <w:pStyle w:val="Heading2"/>
      </w:pPr>
      <w:r>
        <w:t>770.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2021:</w:t>
      </w:r>
      <w:r>
        <w:t xml:space="preserve"> Hydrogen in the Strategies of the European Union Member States — https://doi.org/10.24425/gsm.2021.138660</w:t>
      </w:r>
    </w:p>
    <w:p>
      <w:pPr/>
      <w:r>
        <w:rPr>
          <w:b/>
        </w:rPr>
        <w:t>Shared claim-specific concepts:</w:t>
      </w:r>
      <w:r>
        <w:t xml:space="preserve"> member, states, currently, but, sources, climate; EU scope visible. This is a provisional connection, not an outcome finding.</w:t>
      </w:r>
    </w:p>
    <w:p>
      <w:pPr>
        <w:pStyle w:val="SourceNote"/>
      </w:pPr>
      <w:r>
        <w:rPr>
          <w:b/>
        </w:rPr>
        <w:t>Available abstract (not full text):</w:t>
      </w:r>
      <w:r>
        <w:t xml:space="preserve">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pPr/>
      <w:r>
        <w:rPr>
          <w:b/>
        </w:rPr>
        <w:t>POSSIBLE 2020:</w:t>
      </w:r>
      <w:r>
        <w:t xml:space="preserve"> Overview of BIM integration into the Construction Sector in European Member States and European Union Acquis — https://doi.org/10.1088/1755-1315/410/1/012073</w:t>
      </w:r>
    </w:p>
    <w:p>
      <w:pPr/>
      <w:r>
        <w:rPr>
          <w:b/>
        </w:rPr>
        <w:t>Shared claim-specific concepts:</w:t>
      </w:r>
      <w:r>
        <w:t xml:space="preserve"> indicate, member, states, but, energy; EU scope visible. This is a provisional connection, not an outcome finding.</w:t>
      </w:r>
    </w:p>
    <w:p>
      <w:pPr>
        <w:pStyle w:val="SourceNote"/>
      </w:pPr>
      <w:r>
        <w:rPr>
          <w:b/>
        </w:rPr>
        <w:t>Available abstract (not full text):</w:t>
      </w:r>
      <w:r>
        <w:t xml:space="preserve">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pPr/>
      <w:r>
        <w:rPr>
          <w:b/>
        </w:rPr>
        <w:t>POSSIBLE 2020:</w:t>
      </w:r>
      <w:r>
        <w:t xml:space="preserve"> Scope and Exercise of the Exclusive Competences of the Member States of the European Union — https://doi.org/10.31743/recl.6056</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pPr/>
      <w:r>
        <w:rPr>
          <w:b/>
        </w:rPr>
        <w:t>POSSIBLE 2019:</w:t>
      </w:r>
      <w:r>
        <w:t xml:space="preserve"> Differentiation in the production potential and efficiency of farms in the member states of the European Union — https://doi.org/10.17221/378/2018-agricecon</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pPr/>
      <w:r>
        <w:rPr>
          <w:b/>
        </w:rPr>
        <w:t>POSSIBLE 2018:</w:t>
      </w:r>
      <w:r>
        <w:t xml:space="preserve"> The European Union and Member States — https://doi.org/10.7765/9781526137364.00009</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This introduction presents an overview of the key concepts covered in the subsequent chapters of this book. The book takes up traditional approaches to political science. In view of the European Union's multi-level and multi-actor polity, it highlights the complex procedural and institutional set-up of nation states preparing and implementing decisions made by the institutions of the European Community (EC). In looking at the emerging and evolving realities of the European polity, the book explores how European institutions and Member States (re-)act and interact in a new institutional and procedural set-up. It offers a mixture of conventional and specific analyses and insights for different groups of readers. For scholars of international relations, European integration and comparative politics, these evolutions involve looking at both the national level, as in comparative studies, and at the European level, as in integration-related approaches.</w:t>
      </w:r>
    </w:p>
    <w:p>
      <w:pPr/>
      <w:r>
        <w:rPr>
          <w:b/>
        </w:rPr>
        <w:t>POSSIBLE 2018:</w:t>
      </w:r>
      <w:r>
        <w:t xml:space="preserve"> The European Union, the Member States, and the Lex Mercatoria — https://openalex.org/W2806821987</w:t>
      </w:r>
    </w:p>
    <w:p>
      <w:pPr/>
      <w:r>
        <w:rPr>
          <w:b/>
        </w:rPr>
        <w:t>Shared claim-specific concepts:</w:t>
      </w:r>
      <w:r>
        <w:t xml:space="preserve"> member, states, sources; EU scope visible. This is a provisional connection, not an outcome finding.</w:t>
      </w:r>
    </w:p>
    <w:p>
      <w:pPr>
        <w:pStyle w:val="SourceNote"/>
      </w:pPr>
      <w:r>
        <w:rPr>
          <w:b/>
        </w:rPr>
        <w:t>Available abstract (not full text):</w:t>
      </w:r>
      <w:r>
        <w:t xml:space="preserve"> The phenomena linked to the "internationalization" and "globalization" of the economy prompt the demand for uniform legal frameworks in supranational governance and encourage forms of “self-regulation”. This spontaneous attempt at harmonizing law at the supranational level is often prepared by market forces and comes to add to the classical legal models while leading to the emergence of a new lex mercatoria. The aim of this paper is to analyze the openings of the European system to the transnational production of law identified under the term "new lex mercatoria" by verifying all the factors that allow its sources of law to enter into the European legal order. The division of competences between Member States and European Union in this regard is analyzed as well as all their implications in terms of sources of law. The study addresses the relationship between spontaneous and institutional attempts to regulate the markets, as well as their implications, risks and impact on the national legal system. In fact, even though they relate mainly to commercial transactions, questions linked to the rule of law and protection of rights are involved, which require the reconciling of private and public interests.</w:t>
      </w:r>
    </w:p>
    <w:p>
      <w:pPr/>
      <w:r>
        <w:rPr>
          <w:b/>
        </w:rPr>
        <w:t>POSSIBLE 2018:</w:t>
      </w:r>
      <w:r>
        <w:t xml:space="preserve"> CONCENTRATION OF AGRICULTURAL LAND IN THE EUROPEAN UNION MEMBER STATES — https://doi.org/10.5604/01.3001.0012.6692</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The paper discusses the issue of concentration of agricultural land in Poland and in the European Union Member States by indicating the existing situation and changes occurring in the years 2005-2013. For this purpose, on the basis of Eurostat data the Lorenz curves were plotted and the values of the Gini indexes were estimated. As a result of analyzes, it is pointed out that the concentration of agricultural land in the EU has mainly local character, which should be included in the framework of the proposed and implemented Common Agricultural Policy of the European Union and national policies concerning the agricultural sector.</w:t>
      </w:r>
    </w:p>
    <w:p>
      <w:pPr/>
      <w:r>
        <w:rPr>
          <w:b/>
        </w:rPr>
        <w:t>POSSIBLE 2018:</w:t>
      </w:r>
      <w:r>
        <w:t xml:space="preserve"> Energy solidarity in the European Union in the context of the particular interests of the Member States — https://doi.org/10.33223/epj/96205</w:t>
      </w:r>
    </w:p>
    <w:p>
      <w:pPr/>
      <w:r>
        <w:rPr>
          <w:b/>
        </w:rPr>
        <w:t>Shared claim-specific concepts:</w:t>
      </w:r>
      <w:r>
        <w:t xml:space="preserve"> member, states, commission, but, energy; EU scope visible. This is a provisional connection, not an outcome finding.</w:t>
      </w:r>
    </w:p>
    <w:p>
      <w:pPr>
        <w:pStyle w:val="SourceNote"/>
      </w:pPr>
      <w:r>
        <w:rPr>
          <w:b/>
        </w:rPr>
        <w:t>Available abstract (not full text):</w:t>
      </w:r>
      <w:r>
        <w:t xml:space="preserve"> The article presents the question of solidarity in relation to the energy policy of the European Union.This topic seems particularly important in the context of the crisis of the European integration process, which includes, in particular, economic problems, the migration crisis and the withdrawal of the United Kingdom from the European Union (Brexit).The issue of solidarity was analyzed from the legal and formal, institutional, and functional and relational points of view.The aim of the article is to show to what extent the theoretical assumptions, resulting from the provisions of European law on the solidarity, correspond with the actions of the Member States in the energy sector.The practice of the integration process indicates that the particular national economic interests in the energy sector are more important for the Member States than working towards European solidarity.Meanwhile, without a sense of responsibility for the pan-European interest, it is not possible to effectively implement the EU's energy policy.The European Commission -as the guardian of the treaties -confronts the Member States with ambitious challenges to be undertaken "in the spirit of solidarity".In the verbal sphere, this is supported by by capitals of the individual countries, but in practice, the actions taken divide the Member States into opposing camps instead of building a sense of the Europea</w:t>
      </w:r>
    </w:p>
    <w:p>
      <w:pPr/>
      <w:r>
        <w:rPr>
          <w:b/>
        </w:rPr>
        <w:t>POSSIBLE 2018:</w:t>
      </w:r>
      <w:r>
        <w:t xml:space="preserve"> Migration and the economic crisis in the European Union member states: cluster analysis — https://doi.org/10.9770/jesi.2018.6.2(34)</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European Union (EU) is facing large migration flows, whose distribution and volatility in the observed period between 2006 and 2015 across the EU member states, among other factors, were affected by the financial and economic crisis.This paper examines how the homogeneity of the EU member states was changing with respect to economic performance and migration statistics indicators.Consequently, the non-hierarchical cluster analysis by using k-means method was conducted based on the average values of the selected variables in four time periods: the pre-crisis, crisis, and post-crisis periods.The fourth period is year 2015, the beginning of massive immigration in the EU area due to world migration crisis.Our results indicate relative stability of the number and structure of clusters of EU-28 member states in the selected time periods on the bases of observed variables.There are few exceptions, however, related to countries that were heavily influenced by the financial and economic crisis, and Germany which stood out with decreasing unemployment rates and increasing net migration values in the post-crisis period.</w:t>
      </w:r>
    </w:p>
    <w:p>
      <w:pPr/>
      <w:r>
        <w:rPr>
          <w:b/>
        </w:rPr>
        <w:t>POSSIBLE 2017:</w:t>
      </w:r>
      <w:r>
        <w:t xml:space="preserve"> Electricity carbon intensity in European Member States: Impacts on GHG emissions of electric vehicles — https://doi.org/10.1016/j.trd.2017.07.012</w:t>
      </w:r>
    </w:p>
    <w:p>
      <w:pPr/>
      <w:r>
        <w:rPr>
          <w:b/>
        </w:rPr>
        <w:t>Shared claim-specific concepts:</w:t>
      </w:r>
      <w:r>
        <w:t xml:space="preserve"> member, states, compared; EU scope visible. This is a provisional connection, not an outcome finding.</w:t>
      </w:r>
    </w:p>
    <w:p>
      <w:pPr>
        <w:pStyle w:val="SourceNote"/>
      </w:pPr>
      <w:r>
        <w:rPr>
          <w:b/>
        </w:rPr>
        <w:t>Available abstract (not full text):</w:t>
      </w:r>
      <w:r>
        <w:t xml:space="preserve"> The Well-To-Wheels (WTW) methodology is widely used for policy making in the transportation sector. In this paper updated WTW calculations are provided, relying on 2013 statistic data, for the carbon intensity (CI) of the European electricity mix; detail is provided for electricity consumed in each EU Member State (MS). An interesting aspect presented is the calculation of the GHG content of electricity traded between Countries, affecting the carbon intensity of the electricity consumed at national level. The amount and CI of imported electricity is a key aspect: a Country importing electricity from another Country with a lower CI of electricity will lower, after the trade, its electricity CI, while importing electricity from a Country with a higher CI will raise the CI of the importing Country. In average, the CI of electricity used in EU at low voltage in 2013 was 447 gCO 2 eq/kWh, which is the 17% less compared to 2009. Then, some examples of calculation of GHG emissions from the use of electric vehicles (EVs) compared to internal combustion engine vehicles are provided. The use of EVs instead of gasoline vehicles can save (about 60% of) GHG in all or in most of the EU MSs, depending on the estimated consumption of EVs. Compared with diesel, EVs show average GHG savings of around 50% and not savings at all in some EU MS.</w:t>
      </w:r>
    </w:p>
    <w:p>
      <w:pPr>
        <w:pStyle w:val="Heading2"/>
      </w:pPr>
      <w:r>
        <w:t>771.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2020:</w:t>
      </w:r>
      <w:r>
        <w:t xml:space="preserve"> Future Climate Change in the European Alps — https://doi.org/10.1093/acrefore/9780190228620.013.767</w:t>
      </w:r>
    </w:p>
    <w:p>
      <w:pPr/>
      <w:r>
        <w:rPr>
          <w:b/>
        </w:rPr>
        <w:t>Shared claim-specific concepts:</w:t>
      </w:r>
      <w:r>
        <w:t xml:space="preserve"> strong, climate, only, emission, until, projections; EU scope visible. This is a provisional connection, not an outcome finding.</w:t>
      </w:r>
    </w:p>
    <w:p>
      <w:pPr>
        <w:pStyle w:val="SourceNote"/>
      </w:pPr>
      <w:r>
        <w:rPr>
          <w:b/>
        </w:rPr>
        <w:t>Available abstract (not full text):</w:t>
      </w:r>
      <w:r>
        <w:t xml:space="preserve">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pPr/>
      <w:r>
        <w:rPr>
          <w:b/>
        </w:rPr>
        <w:t>POSSIBLE 2020:</w:t>
      </w:r>
      <w:r>
        <w:t xml:space="preserve"> Climate change fingerprints in recent European plant phenology — https://doi.org/10.1111/gcb.15000</w:t>
      </w:r>
    </w:p>
    <w:p>
      <w:pPr/>
      <w:r>
        <w:rPr>
          <w:b/>
        </w:rPr>
        <w:t>Shared claim-specific concepts:</w:t>
      </w:r>
      <w:r>
        <w:t xml:space="preserve"> strong, climate, only, period; EU scope visible. This is a provisional connection, not an outcome finding.</w:t>
      </w:r>
    </w:p>
    <w:p>
      <w:pPr>
        <w:pStyle w:val="SourceNote"/>
      </w:pPr>
      <w:r>
        <w:rPr>
          <w:b/>
        </w:rPr>
        <w:t>Available abstract (not full text):</w:t>
      </w:r>
      <w:r>
        <w:t xml:space="preserve">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climate, two, emission, until;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r>
        <w:rPr>
          <w:b/>
        </w:rPr>
        <w:t>POSSIBLE 2019:</w:t>
      </w:r>
      <w:r>
        <w:t xml:space="preserve"> Distribution trends of European dragonflies under climate change — https://doi.org/10.1111/ddi.12913</w:t>
      </w:r>
    </w:p>
    <w:p>
      <w:pPr/>
      <w:r>
        <w:rPr>
          <w:b/>
        </w:rPr>
        <w:t>Shared claim-specific concepts:</w:t>
      </w:r>
      <w:r>
        <w:t xml:space="preserve"> climate, only, main;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2019:</w:t>
      </w:r>
      <w:r>
        <w:t xml:space="preserve"> A comparison of low carbon investment needs between China and Europe in stringent climate policy scenarios — https://doi.org/10.1088/1748-9326/ab0dd8</w:t>
      </w:r>
    </w:p>
    <w:p>
      <w:pPr/>
      <w:r>
        <w:rPr>
          <w:b/>
        </w:rPr>
        <w:t>Shared claim-specific concepts:</w:t>
      </w:r>
      <w:r>
        <w:t xml:space="preserve"> strong, climate, two; EU scope visible. This is a provisional connection, not an outcome finding.</w:t>
      </w:r>
    </w:p>
    <w:p>
      <w:pPr>
        <w:pStyle w:val="SourceNote"/>
      </w:pPr>
      <w:r>
        <w:rPr>
          <w:b/>
        </w:rPr>
        <w:t>Available abstract (not full text):</w:t>
      </w:r>
      <w:r>
        <w:t xml:space="preserve">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strong, climate, only, until, projections;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2018:</w:t>
      </w:r>
      <w:r>
        <w:t xml:space="preserve"> Explaining European fungal fruiting phenology with climate variability — https://doi.org/10.1002/ecy.2237</w:t>
      </w:r>
    </w:p>
    <w:p>
      <w:pPr/>
      <w:r>
        <w:rPr>
          <w:b/>
        </w:rPr>
        <w:t>Shared claim-specific concepts:</w:t>
      </w:r>
      <w:r>
        <w:t xml:space="preserve"> climate, two, main; EU scope visible. This is a provisional connection, not an outcome finding.</w:t>
      </w:r>
    </w:p>
    <w:p>
      <w:pPr>
        <w:pStyle w:val="SourceNote"/>
      </w:pPr>
      <w:r>
        <w:rPr>
          <w:b/>
        </w:rPr>
        <w:t>Available abstract (not full text):</w:t>
      </w:r>
      <w:r>
        <w:t xml:space="preserve">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pPr/>
      <w:r>
        <w:rPr>
          <w:b/>
        </w:rPr>
        <w:t>POSSIBLE 2018:</w:t>
      </w:r>
      <w:r>
        <w:t xml:space="preserve"> Decline in climate resilience of European wheat — https://doi.org/10.1073/pnas.1804387115</w:t>
      </w:r>
    </w:p>
    <w:p>
      <w:pPr/>
      <w:r>
        <w:rPr>
          <w:b/>
        </w:rPr>
        <w:t>Shared claim-specific concepts:</w:t>
      </w:r>
      <w:r>
        <w:t xml:space="preserve"> climate, after, show; EU scope visible. This is a provisional connection, not an outcome finding.</w:t>
      </w:r>
    </w:p>
    <w:p>
      <w:pPr>
        <w:pStyle w:val="SourceNote"/>
      </w:pPr>
      <w:r>
        <w:rPr>
          <w:b/>
        </w:rPr>
        <w:t>Available abstract (not full text):</w:t>
      </w:r>
      <w:r>
        <w:t xml:space="preserve">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climate, only, until, projections, show;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772.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pStyle w:val="Heading2"/>
      </w:pPr>
      <w:r>
        <w:t>773.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2024:</w:t>
      </w:r>
      <w:r>
        <w:t xml:space="preserve"> The essence and content of scientific research methodology — https://doi.org/10.12775/jehs.2024.63.020</w:t>
      </w:r>
    </w:p>
    <w:p>
      <w:pPr/>
      <w:r>
        <w:rPr>
          <w:b/>
        </w:rPr>
        <w:t>Shared claim-specific concepts:</w:t>
      </w:r>
      <w:r>
        <w:t xml:space="preserve"> analyzes, content, methodology; EU scope not established. This is a provisional connection, not an outcome finding.</w:t>
      </w:r>
    </w:p>
    <w:p>
      <w:pPr>
        <w:pStyle w:val="SourceNote"/>
      </w:pPr>
      <w:r>
        <w:rPr>
          <w:b/>
        </w:rPr>
        <w:t>Available abstract (not full text):</w:t>
      </w:r>
      <w:r>
        <w:t xml:space="preserve">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pPr/>
      <w:r>
        <w:rPr>
          <w:b/>
        </w:rPr>
        <w:t>POSSIBLE 2023:</w:t>
      </w:r>
      <w:r>
        <w:t xml:space="preserve"> Analyzing YouTube Content: Methodological Considerations for Technical Communication Research — https://doi.org/10.1145/3615335.3623005</w:t>
      </w:r>
    </w:p>
    <w:p>
      <w:pPr/>
      <w:r>
        <w:rPr>
          <w:b/>
        </w:rPr>
        <w:t>Shared claim-specific concepts:</w:t>
      </w:r>
      <w:r>
        <w:t xml:space="preserve"> methodological, content, approach; EU scope not established. This is a provisional connection, not an outcome finding.</w:t>
      </w:r>
    </w:p>
    <w:p>
      <w:pPr>
        <w:pStyle w:val="SourceNote"/>
      </w:pPr>
      <w:r>
        <w:rPr>
          <w:b/>
        </w:rPr>
        <w:t>Available abstract (not full text):</w:t>
      </w:r>
      <w:r>
        <w:t xml:space="preserve">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pPr/>
      <w:r>
        <w:rPr>
          <w:b/>
        </w:rPr>
        <w:t>POSSIBLE 2023:</w:t>
      </w:r>
      <w:r>
        <w:t xml:space="preserve"> Methodology for Analyzing Qualitative Data in Multiple Languages — https://doi.org/10.1097/nnr.0000000000000673</w:t>
      </w:r>
    </w:p>
    <w:p>
      <w:pPr/>
      <w:r>
        <w:rPr>
          <w:b/>
        </w:rPr>
        <w:t>Shared claim-specific concepts:</w:t>
      </w:r>
      <w:r>
        <w:t xml:space="preserve"> content, methodology, developed; EU scope not established. This is a provisional connection, not an outcome finding.</w:t>
      </w:r>
    </w:p>
    <w:p>
      <w:pPr>
        <w:pStyle w:val="SourceNote"/>
      </w:pPr>
      <w:r>
        <w:rPr>
          <w:b/>
        </w:rPr>
        <w:t>Available abstract (not full text):</w:t>
      </w:r>
      <w:r>
        <w:t xml:space="preserve">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pPr/>
      <w:r>
        <w:rPr>
          <w:b/>
        </w:rPr>
        <w:t>POSSIBLE 2021:</w:t>
      </w:r>
      <w:r>
        <w:t xml:space="preserve"> METHODOLOGY OF ANALYSIS OF THE CONTENT OF ELECTRONIC MEDIA — https://doi.org/10.32782/2224-6282/176-25</w:t>
      </w:r>
    </w:p>
    <w:p>
      <w:pPr/>
      <w:r>
        <w:rPr>
          <w:b/>
        </w:rPr>
        <w:t>Shared claim-specific concepts:</w:t>
      </w:r>
      <w:r>
        <w:t xml:space="preserve"> content, issues, methodology, first, second; EU scope not established. This is a provisional connection, not an outcome finding.</w:t>
      </w:r>
    </w:p>
    <w:p>
      <w:pPr>
        <w:pStyle w:val="SourceNote"/>
      </w:pPr>
      <w:r>
        <w:rPr>
          <w:b/>
        </w:rPr>
        <w:t>Available abstract (not full text):</w:t>
      </w:r>
      <w:r>
        <w:t xml:space="preserve">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pPr/>
      <w:r>
        <w:rPr>
          <w:b/>
        </w:rPr>
        <w:t>POSSIBLE 2021:</w:t>
      </w:r>
      <w:r>
        <w:t xml:space="preserve"> Abusive supervision: a content analysis of theory and methodology — https://doi.org/10.1108/cms-01-2021-0017</w:t>
      </w:r>
    </w:p>
    <w:p>
      <w:pPr/>
      <w:r>
        <w:rPr>
          <w:b/>
        </w:rPr>
        <w:t>Shared claim-specific concepts:</w:t>
      </w:r>
      <w:r>
        <w:t xml:space="preserve"> methodological, content, issues, design, methodology, approach; EU scope not established. This is a provisional connection, not an outcome finding.</w:t>
      </w:r>
    </w:p>
    <w:p>
      <w:pPr>
        <w:pStyle w:val="SourceNote"/>
      </w:pPr>
      <w:r>
        <w:rPr>
          <w:b/>
        </w:rPr>
        <w:t>Available abstract (not full text):</w:t>
      </w:r>
      <w:r>
        <w:t xml:space="preserve">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pPr/>
      <w:r>
        <w:rPr>
          <w:b/>
        </w:rPr>
        <w:t>POSSIBLE 2021:</w:t>
      </w:r>
      <w:r>
        <w:t xml:space="preserve"> Problems of developing a methodology to analyze integrated reporting — https://doi.org/10.24891/ea.20.4.645</w:t>
      </w:r>
    </w:p>
    <w:p>
      <w:pPr/>
      <w:r>
        <w:rPr>
          <w:b/>
        </w:rPr>
        <w:t>Shared claim-specific concepts:</w:t>
      </w:r>
      <w:r>
        <w:t xml:space="preserve"> content, methodology, assessment; EU scope not established. This is a provisional connection, not an outcome finding.</w:t>
      </w:r>
    </w:p>
    <w:p>
      <w:pPr>
        <w:pStyle w:val="SourceNote"/>
      </w:pPr>
      <w:r>
        <w:rPr>
          <w:b/>
        </w:rPr>
        <w:t>Available abstract (not full text):</w:t>
      </w:r>
      <w:r>
        <w:t xml:space="preserve"> Subject. The article identifies problems related to the development of a methodology to analyze integrated reporting. Objectives. The purpose of the study is to reveal analytical capabilities of integrated reporting, develop a model of integrated reporting analysis methodology, which will become a basis for further development of this promising area of analysis. Methods. The methods of the study include analysis, synthesis, generalization, abstraction, comparison, and logic technique. Results. The study shows problems in the development of a generally accepted methodology for the analysis of integrated reporting. I offer a unique model, which includes target setting, subjects, and thematic areas. Two main thematic areas are the analysis for compliance with concepts, principles and content elements of integrated reporting, and the analysis of the process, through which value is created, preserved, or eroded. Within the latter analysis, the paper highlights the analysis of external environment, the analysis of strategy, goals, value created by an organization for itself and for others, the analysis of the business model and the quality of organization’s governance, the analysis of risks and opportunities, and the generalized assessment of value creation. Conclusions. The findings may serve as a basis for further development of integrated reporting analysis.</w:t>
      </w:r>
    </w:p>
    <w:p>
      <w:pPr/>
      <w:r>
        <w:rPr>
          <w:b/>
        </w:rPr>
        <w:t>POSSIBLE 2021:</w:t>
      </w:r>
      <w:r>
        <w:t xml:space="preserve"> Methodological Approach to Use of Web Content by Small Business — https://doi.org/10.3103/s0147688221020040</w:t>
      </w:r>
    </w:p>
    <w:p>
      <w:pPr/>
      <w:r>
        <w:rPr>
          <w:b/>
        </w:rPr>
        <w:t>Shared claim-specific concepts:</w:t>
      </w:r>
      <w:r>
        <w:t xml:space="preserve"> methodological, content, approach, developed; EU scope not established. This is a provisional connection, not an outcome finding.</w:t>
      </w:r>
    </w:p>
    <w:p>
      <w:pPr>
        <w:pStyle w:val="SourceNote"/>
      </w:pPr>
      <w:r>
        <w:rPr>
          <w:b/>
        </w:rPr>
        <w:t>Available abstract (not full text):</w:t>
      </w:r>
      <w:r>
        <w:t xml:space="preserve"> Abstract Digitization encourages accumulation of web content, an important resource of economic activity. Despite high level of development of technology of work with web content, the need for significant expenses restricts its use by small businesses. Web content characterized by absence of structure, diversity of sources, and high speed of data flow, is included in the concept of “Big Data”, efficient work with which requires access to financial, computing, and labor resources. The developed and tested methodological approach to use of web content, taking into account capabilities of small business, enables a specialist in any subject area to upload textual information, convert it into a database, and analyze it using widespread or public domain software.</w:t>
      </w:r>
    </w:p>
    <w:p>
      <w:pPr/>
      <w:r>
        <w:rPr>
          <w:b/>
        </w:rPr>
        <w:t>POSSIBLE 2020:</w:t>
      </w:r>
      <w:r>
        <w:t xml:space="preserve"> Sectoral Newspaper of the USSR Food Industry in 1928-1937 as a Historical Source: on the Issue of the Methodology for Analyzing Its Content — https://doi.org/10.7256/2454-0609.2020.2.32033</w:t>
      </w:r>
    </w:p>
    <w:p>
      <w:pPr/>
      <w:r>
        <w:rPr>
          <w:b/>
        </w:rPr>
        <w:t>Shared claim-specific concepts:</w:t>
      </w:r>
      <w:r>
        <w:t xml:space="preserve"> methodological, content, methodology, approach, first, second; EU scope not established. This is a provisional connection, not an outcome finding.</w:t>
      </w:r>
    </w:p>
    <w:p>
      <w:pPr>
        <w:pStyle w:val="SourceNote"/>
      </w:pPr>
      <w:r>
        <w:rPr>
          <w:b/>
        </w:rPr>
        <w:t>Available abstract (not full text):</w:t>
      </w:r>
      <w:r>
        <w:t xml:space="preserve">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 based on a combination of classical sources and computerized analysis of editorial texts in the MAXQDA 2020 program, providing a brief description of the possibilities offered by the new version of this program to scholars studying media texts. The article concludes that the study of such a multifaceted historical source as the branch newspaper Pishchevik ("For the Food Industry", "Food Industry") should be carried out using content analysis, which will systematize the dynamics of changes in the agenda of one of the largest industries of the USSR in 1928–1937.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w:t>
      </w:r>
    </w:p>
    <w:p>
      <w:pPr/>
      <w:r>
        <w:rPr>
          <w:b/>
        </w:rPr>
        <w:t>POSSIBLE 2019:</w:t>
      </w:r>
      <w:r>
        <w:t xml:space="preserve"> Content Analysis: An Introduction to Its Methodology — https://doi.org/10.4135/9781071878781</w:t>
      </w:r>
    </w:p>
    <w:p>
      <w:pPr/>
      <w:r>
        <w:rPr>
          <w:b/>
        </w:rPr>
        <w:t>Shared claim-specific concepts:</w:t>
      </w:r>
      <w:r>
        <w:t xml:space="preserve"> content, methodology, core, second; EU scope not established. This is a provisional connection, not an outcome finding.</w:t>
      </w:r>
    </w:p>
    <w:p>
      <w:pPr>
        <w:pStyle w:val="SourceNote"/>
      </w:pPr>
      <w:r>
        <w:rPr>
          <w:b/>
        </w:rPr>
        <w:t>Available abstract (not full text):</w:t>
      </w:r>
      <w:r>
        <w:t xml:space="preserve"> "The Second Edition of Content Analysis is a sourcebook of the history and core principles of content analysis as well as an essential resource for present and future studies. The book introduces readers to ways of analyzing meaningful matter such as texts, images, voices - that is, data whose physical manifestations are secondary to the meanings that a particular population of people brings to them." "The author has completely revised and updated the Second Edition, integrating new information on computer-aided text analysis. The book also includes a practical guide that incorporates experiences in teaching and how to advise academic and commercial researchers. In addition, Krippendorff clarifies the epistemology and logic of content analysis as well as the methods for achieving its aims." "Intended as a textbook for advanced undergraduate and graduate students across the social sciences, Content Analysis, Second Edition will also be a valuable resource for practitioners in a variety of disciplines."--BOOK JACKET.</w:t>
      </w:r>
    </w:p>
    <w:p>
      <w:pPr/>
      <w:r>
        <w:rPr>
          <w:b/>
        </w:rPr>
        <w:t>POSSIBLE 2018:</w:t>
      </w:r>
      <w:r>
        <w:t xml:space="preserve"> Toward a Methodology for Analyzing Visual Rhetoric in Corporate Reports — https://doi.org/10.1177/1094428118765942</w:t>
      </w:r>
    </w:p>
    <w:p>
      <w:pPr/>
      <w:r>
        <w:rPr>
          <w:b/>
        </w:rPr>
        <w:t>Shared claim-specific concepts:</w:t>
      </w:r>
      <w:r>
        <w:t xml:space="preserve"> content, design, methodology, framework; EU scope not established. This is a provisional connection, not an outcome finding.</w:t>
      </w:r>
    </w:p>
    <w:p>
      <w:pPr>
        <w:pStyle w:val="SourceNote"/>
      </w:pPr>
      <w:r>
        <w:rPr>
          <w:b/>
        </w:rPr>
        <w:t>Available abstract (not full text):</w:t>
      </w:r>
      <w:r>
        <w:t xml:space="preserve"> This article presents a methodology that organizational scholars can use to analyze, explain, and critically interpret the role of visual rhetoric in organizational communications. Corporations invest heavily in the visual design of organizational communications, including corporate reports, recognizing the distinctive role and benefits of visual imagery, as well as the rhetorical function of these documents. Current analytical approaches to visual rhetoric are either predominantly theoretical (with little structured guidance) or procedural (with little acknowledgment of important epistemic questions). This leaves a need for a methodology that combines a clear theoretical framework with explicit guidance on how to analyze visual rhetoric. This article bridges this analytic gap by offering a methodology that integrates a theoretical foundation of a priori analytical categories informed by selected writings of the French cultural theorist Roland Barthes with three abductively derived phases (categorical analysis, content analysis, rhetorical analysis) for analysis of visual design of corporate reports. We apply this methodology in an examination of a Qantas Annual Review and articulate our contributions to the field of organizational research methods.</w:t>
      </w:r>
    </w:p>
    <w:p>
      <w:pPr/>
      <w:r>
        <w:rPr>
          <w:b/>
        </w:rPr>
        <w:t>POSSIBLE 2018:</w:t>
      </w:r>
      <w:r>
        <w:t xml:space="preserve"> Expanding Expressive Range: Evaluation Methodologies for Procedural Content Generation — https://doi.org/10.1609/aiide.v14i1.13012</w:t>
      </w:r>
    </w:p>
    <w:p>
      <w:pPr/>
      <w:r>
        <w:rPr>
          <w:b/>
        </w:rPr>
        <w:t>Shared claim-specific concepts:</w:t>
      </w:r>
      <w:r>
        <w:t xml:space="preserve"> content, systems, design, methodology; EU scope not established. This is a provisional connection, not an outcome finding.</w:t>
      </w:r>
    </w:p>
    <w:p>
      <w:pPr>
        <w:pStyle w:val="SourceNote"/>
      </w:pPr>
      <w:r>
        <w:rPr>
          <w:b/>
        </w:rPr>
        <w:t>Available abstract (not full text):</w:t>
      </w:r>
      <w:r>
        <w:t xml:space="preserve"> Procedural Content Generation (PCG) has been a part of video games for the majority of their existence and have been an area of active research over the past decade. How- ever, despite the interest in PCG there is no commonly ac- cepted methodology for assessing and analyzing a generator. Furthermore, the recent trend towards machine learned PCG techniques commonly state the goal of learning the design within the original content, but there has been little assess- ment of whether these techniques actually achieve this goal. This paper presents a number of techniques for the assess- ment and analysis of PCG systems, allowing practitioners and researchers better insight into the strengths and weaknesses of these systems, allowing for better comparison of systems, and reducing the reliance on ad-hoc, cherry-picking-prone tech- niques.</w:t>
      </w:r>
    </w:p>
    <w:p>
      <w:pPr>
        <w:pStyle w:val="Heading2"/>
      </w:pPr>
      <w:r>
        <w:t>774.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775.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2024:</w:t>
      </w:r>
      <w:r>
        <w:t xml:space="preserve"> Evaluation of the European Society of Cardiology Risk Assessment Score in Incident Systemic Sclerosis‐Associated Pulmonary Arterial Hypertension — https://doi.org/10.1002/acr.25328</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pPr/>
      <w:r>
        <w:rPr>
          <w:b/>
        </w:rPr>
        <w:t>POSSIBLE 2023:</w:t>
      </w:r>
      <w:r>
        <w:t xml:space="preserve"> Conceptual models of drought risks for Europe: a step towards a systemic perspective on drought — https://doi.org/10.5194/egusphere-egu23-7991</w:t>
      </w:r>
    </w:p>
    <w:p>
      <w:pPr/>
      <w:r>
        <w:rPr>
          <w:b/>
        </w:rPr>
        <w:t>Shared claim-specific concepts:</w:t>
      </w:r>
      <w:r>
        <w:t xml:space="preserve"> based, systemic, assessment, factors; EU scope visible. This is a provisional connection, not an outcome finding.</w:t>
      </w:r>
    </w:p>
    <w:p>
      <w:pPr>
        <w:pStyle w:val="SourceNote"/>
      </w:pPr>
      <w:r>
        <w:rPr>
          <w:b/>
        </w:rPr>
        <w:t>Available abstract (not full text):</w:t>
      </w:r>
      <w:r>
        <w:t xml:space="preserve">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pPr/>
      <w:r>
        <w:rPr>
          <w:b/>
        </w:rPr>
        <w:t>POSSIBLE 2021:</w:t>
      </w:r>
      <w:r>
        <w:t xml:space="preserve"> You’ll never work alone: A systemic assessment of the European Arrest Warrant and judicial independence — https://doi.org/10.54648/cola2021047</w:t>
      </w:r>
    </w:p>
    <w:p>
      <w:pPr/>
      <w:r>
        <w:rPr>
          <w:b/>
        </w:rPr>
        <w:t>Shared claim-specific concepts:</w:t>
      </w:r>
      <w:r>
        <w:t xml:space="preserve"> based, systemic, assessment, framework; EU scope visible. This is a provisional connection, not an outcome finding.</w:t>
      </w:r>
    </w:p>
    <w:p>
      <w:pPr>
        <w:pStyle w:val="SourceNote"/>
      </w:pPr>
      <w:r>
        <w:rPr>
          <w:b/>
        </w:rPr>
        <w:t>Available abstract (not full text):</w:t>
      </w:r>
      <w:r>
        <w:t xml:space="preserve">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pPr/>
      <w:r>
        <w:rPr>
          <w:b/>
        </w:rPr>
        <w:t>POSSIBLE 2020:</w:t>
      </w:r>
      <w:r>
        <w:t xml:space="preserve"> Consensus-based recommendations for the management of juvenile systemic sclerosis — https://doi.org/10.1093/rheumatology/keaa584</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Juvenile systemic sclerosis (JSSc) is a rare disease of childhood and currently no international consensus exists with regard to its assessment and treatment. This SHARE (Single Hub and Access point for paediatric Rheumatology in Europe) initiative, based on expert opinion informed by the best available evidence, provides recommendations for the assessment and treatment of patients with JSSc with a view to improving their outcome. Experts focused attention not only on the skin assessment but also on the early signs of internal organ involvement whose proper treatment can significantly affect the long-term outcome. A score for disease severity is proposed in order to perform a structured assessment of outcome over time but a validation in a wider patient population is recommended. Finally, a stepwise treatment approach is proposed in order to unify the standard of care throughout Europe with the aim to reduce morbidity and mortality in this disease.</w:t>
      </w:r>
    </w:p>
    <w:p>
      <w:pPr/>
      <w:r>
        <w:rPr>
          <w:b/>
        </w:rPr>
        <w:t>POSSIBLE 2020:</w:t>
      </w:r>
      <w:r>
        <w:t xml:space="preserve"> A review of nature-based solutions for urban water management in European circular cities: a critical assessment based on case studies and literature — https://doi.org/10.2166/bgs.2020.932</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Abstract Nature-based solutions (NBS) can protect, manage and restore natural or modified ecosystems. They are a multidisciplinary, integrated approach to address societal challenges and some natural hazards effectively and adaptively, simultaneously providing human well-being and biodiversity benefits. NBS applications can be easily noticed in circular cities, establishing an urban system that is regenerative and accessible. This paper aims to offer a review on NBS for urban water management from the literature and some relevant projects running within the COST Action ‘Implementing nature-based solutions for creating a resourceful circular city’. The method used in the study is based on a detailed tracking of specific keywords in the literature using Google Scholar, ResearchGate, Academia.edu, ScienceDirect and Scopus. Based on this review, three main applications were identified: (i) flood and drought protection; (ii) the water-food-energy nexus; and (iii) water purification. The paper shows that NBS provide additional benefits, such as improving water quality, increasing biodiversity, obtaining social co-benefits, improving urban microclimate, and the reduction of energy consumption by improving indoor climate. The paper concludes that a systemic change to NBS should be given a higher priority and be preferred over conventional water infrastructure.</w:t>
      </w:r>
    </w:p>
    <w:p>
      <w:pPr/>
      <w:r>
        <w:rPr>
          <w:b/>
        </w:rPr>
        <w:t>POSSIBLE 2020:</w:t>
      </w:r>
      <w:r>
        <w:t xml:space="preserve"> The SREP assessment of systemically important financial institutions: evidence from Europe — https://openalex.org/W3165877344</w:t>
      </w:r>
    </w:p>
    <w:p>
      <w:pPr/>
      <w:r>
        <w:rPr>
          <w:b/>
        </w:rPr>
        <w:t>Shared claim-specific concepts:</w:t>
      </w:r>
      <w:r>
        <w:t xml:space="preserve"> based, assessment, process; EU scope visible. This is a provisional connection, not an outcome finding.</w:t>
      </w:r>
    </w:p>
    <w:p>
      <w:pPr>
        <w:pStyle w:val="SourceNote"/>
      </w:pPr>
      <w:r>
        <w:rPr>
          <w:b/>
        </w:rPr>
        <w:t>Available abstract (not full text):</w:t>
      </w:r>
      <w:r>
        <w:t xml:space="preserve"> The supervisory review and evaluation process. What the SREP is: content and implementation. Regulatory steps toward the process. Empirical evidence on regulatory. SREP procedures and methodologies based on EBA’s guidelines. Overview of EBA’s guidelines. Categorization of an institution and periodic review thereof. Monitoring of key indicators. Assessment of internal governance and institution-wide controls. Assessment of risks to capital. The overall SREP assessment and application of supervisory measures. Supervisory reaction to a situation where TSCR/P2G is not met. Analysis of the SREP outcomes in the Eurozone.</w:t>
      </w:r>
    </w:p>
    <w:p>
      <w:pPr/>
      <w:r>
        <w:rPr>
          <w:b/>
        </w:rPr>
        <w:t>POSSIBLE 2018:</w:t>
      </w:r>
      <w:r>
        <w:t xml:space="preserve"> A strategy for systemic toxicity assessment based on non-animal approaches: The Cosmetics Europe Long Range Science Strategy programme — https://doi.org/10.1016/j.tiv.2018.02.017</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The Role of Urban Agriculture as a Nature-Based Solution: A Review for Developing a Systemic Assessment Framework — https://doi.org/10.3390/su10061937</w:t>
      </w:r>
    </w:p>
    <w:p>
      <w:pPr/>
      <w:r>
        <w:rPr>
          <w:b/>
        </w:rPr>
        <w:t>Shared claim-specific concepts:</w:t>
      </w:r>
      <w:r>
        <w:t xml:space="preserve"> based, systemic, assessment, framework; EU scope not established. This is a provisional connection, not an outcome finding.</w:t>
      </w:r>
    </w:p>
    <w:p>
      <w:pPr>
        <w:pStyle w:val="SourceNote"/>
      </w:pPr>
      <w:r>
        <w:rPr>
          <w:b/>
        </w:rPr>
        <w:t>Available abstract (not full text):</w:t>
      </w:r>
      <w:r>
        <w:t xml:space="preserve"> Urbanization and achieving sustainable agriculture are both major societal challenges. By reducing food miles and connecting people with nature, food cultivation in cities has several major advantages. However, due to further urban development (peri-) urban agriculture (UPA) is under threat. To strengthen UPA, we argue for considering UPA as a nature-based solution (NbS) supporting systemic approaches for societal challenges. However, academic knowledge on UPA’s contribution to various societal challenges of urbanization is still fragmented. This study addresses the gap by conducting a systemic literature review, incorporating 166 academic articles focusing on the global north. The results of the review show that UPA contributes to ten key societal challenges of urbanization: climate change, food security, biodiversity and ecosystem services, agricultural intensification, resource efficiency, urban renewal and regeneration, land management, public health, social cohesion, and economic growth. The value of UPA is its multifunctionality in providing social, economic and environmental co-benefits and ecosystem services. When implementing UPA, social, institutional, economic, technical, geographical, and ecological drivers and constraints need to be considered. To upscale UPA successfully, the study develops an integrative assessment framework for evaluating the implementation and </w:t>
      </w:r>
    </w:p>
    <w:p>
      <w:pPr/>
      <w:r>
        <w:rPr>
          <w:b/>
        </w:rPr>
        <w:t>POSSIBLE 2017:</w:t>
      </w:r>
      <w:r>
        <w:t xml:space="preserve"> Study of Flare Assessment in Systemic Lupus Erythematosus Based on Paper Patients — https://doi.org/10.1002/acr.23252</w:t>
      </w:r>
    </w:p>
    <w:p>
      <w:pPr/>
      <w:r>
        <w:rPr>
          <w:b/>
        </w:rPr>
        <w:t>Shared claim-specific concepts:</w:t>
      </w:r>
      <w:r>
        <w:t xml:space="preserve"> based, systemic, assessment, factors; EU scope not established. This is a provisional connection, not an outcome finding.</w:t>
      </w:r>
    </w:p>
    <w:p>
      <w:pPr>
        <w:pStyle w:val="SourceNote"/>
      </w:pPr>
      <w:r>
        <w:rPr>
          <w:b/>
        </w:rPr>
        <w:t>Available abstract (not full text):</w:t>
      </w:r>
      <w:r>
        <w:t xml:space="preserve"> OBJECTIVE: To determine the level of agreement of disease flare severity (distinguishing severe, moderate, and mild flare and persistent disease activity) in a large paper-patient exercise involving 988 individual cases of systemic lupus erythematosus. METHODS: A total of 988 individual lupus case histories were assessed by 3 individual physicians. Complete agreement about the degree of flare (or persistent disease activity) was obtained in 451 cases (46%), and these provided the reference standard for the second part of the study. This component used 3 flare activity instruments (the British Isles Lupus Assessment Group [BILAG] 2004, Safety of Estrogens in Lupus Erythematosus National Assessment [SELENA] flare index [SFI] and the revised SELENA flare index [rSFI]). The 451 patient case histories were distributed to 18 pairs of physicians, carefully randomized in a manner designed to ensure a fair case mix and equal distribution of flare according to severity. RESULTS: The 3-physician assessment of flare matched the level of flare using the 3 indices, with 67% for BILAG 2004, 72% for SFI, and 70% for rSFI. The corresponding weighted kappa coefficients for each instrument were 0.82, 0.59, and 0.74, respectively. We undertook a detailed analysis of the discrepant cases and several factors emerged, including a tendency to score moderate flares as severe and persistent activity as </w:t>
      </w:r>
    </w:p>
    <w:p>
      <w:pPr/>
      <w:r>
        <w:rPr>
          <w:b/>
        </w:rPr>
        <w:t>POSSIBLE 2017:</w:t>
      </w:r>
      <w:r>
        <w:t xml:space="preserve"> A systemic risk assessment of OTC derivatives reforms and skin‐in‐the‐game for CCPs — https://openalex.org/W2610571913</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G20 OTC (over-the-counter) derivatives reforms impose large collateral/liquidity demands on clearing members of Central Counterparty (CCP) clearing platforms in the form of initial margins, variation margins and contributions to the default fund. In Heath et al. (2016), it was shown how this introduces a trade-off between liquidity risk and solvency risk with the system manifesting considerable systemic risk from these two sources of risk while CCP penetration is at current levels. The authors extend this analysis to include the European Market Infrastructure Regulation (EMIR) skin-in-the-game requirements for CCPs, which aim to ameliorate the contributions to the default fund by clearing members and also to prevent moral hazard problems associated with the too-interconnected-to-fail (TITF) status of CCPs as more and more derivatives are centrally cleared. The authors provide a systemic risk assessment of these features of the OTC derivatives reforms using network analysis based on 2015-end data on the derivatives positions for 40 globally systemically important banks (G-SIBs).</w:t>
      </w:r>
    </w:p>
    <w:p>
      <w:pPr>
        <w:pStyle w:val="Heading2"/>
      </w:pPr>
      <w:r>
        <w:t>776.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r>
        <w:rPr>
          <w:b/>
        </w:rPr>
        <w:t>POSSIBLE 2020:</w:t>
      </w:r>
      <w:r>
        <w:t xml:space="preserve"> Theoretical background — https://doi.org/10.4324/9781003018353-2</w:t>
      </w:r>
    </w:p>
    <w:p>
      <w:pPr/>
      <w:r>
        <w:rPr>
          <w:b/>
        </w:rPr>
        <w:t>Shared claim-specific concepts:</w:t>
      </w:r>
      <w:r>
        <w:t xml:space="preserve"> gives, background, main, factors; EU scope visible. This is a provisional connection, not an outcome finding.</w:t>
      </w:r>
    </w:p>
    <w:p>
      <w:pPr>
        <w:pStyle w:val="SourceNote"/>
      </w:pPr>
      <w:r>
        <w:rPr>
          <w:b/>
        </w:rPr>
        <w:t>Available abstract (not full text):</w:t>
      </w:r>
      <w:r>
        <w:t xml:space="preserve">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pPr/>
      <w:r>
        <w:rPr>
          <w:b/>
        </w:rPr>
        <w:t>POSSIBLE 2019:</w:t>
      </w:r>
      <w:r>
        <w:t xml:space="preserve"> Macroeconomic background — https://doi.org/10.1787/b7d2e31f-en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2018.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2018:</w:t>
      </w:r>
      <w:r>
        <w:t xml:space="preserve"> Macroeconomic background — https://doi.org/10.1787/tax_pol-2018-4-en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up until 2017.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2018:</w:t>
      </w:r>
      <w:r>
        <w:t xml:space="preserve"> The background markernáin Barayin — https://doi.org/10.1515/jall-2018-0001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Abstract This article gives a first account of the background markernáin Barayin, an East Chadic language spoken in the Guera region of Chad. The article describes the marker’s syntactic distribution and the semantic and pragmatic contexts it occurs in. It commonly occurs following a sentence-initial noun phrase or adverbial, and it also commonly follows a sentence-initial dependent clause such as a conditional clause. The material precedingnáis background information which provides a context for the interpretation of the following proposition, which is the main point of the communication.</w:t>
      </w:r>
    </w:p>
    <w:p>
      <w:pPr/>
      <w:r>
        <w:rPr>
          <w:b/>
        </w:rPr>
        <w:t>POSSIBLE 2018:</w:t>
      </w:r>
      <w:r>
        <w:t xml:space="preserve"> Digital economy: backgrounds, main drivers and new challenges — https://doi.org/10.1051/shsconf/20184400006</w:t>
      </w:r>
    </w:p>
    <w:p>
      <w:pPr/>
      <w:r>
        <w:rPr>
          <w:b/>
        </w:rPr>
        <w:t>Shared claim-specific concepts:</w:t>
      </w:r>
      <w:r>
        <w:t xml:space="preserve"> main, factors; EU scope not established. This is a provisional connection, not an outcome finding.</w:t>
      </w:r>
    </w:p>
    <w:p>
      <w:pPr>
        <w:pStyle w:val="SourceNote"/>
      </w:pPr>
      <w:r>
        <w:rPr>
          <w:b/>
        </w:rPr>
        <w:t>Available abstract (not full text):</w:t>
      </w:r>
      <w:r>
        <w:t xml:space="preserve"> The industry development over the last hundred years has had a huge impact on the development of technological infrastructure and life change. Three main components of this development are related to personalization: a car as a personal vehicle and greater personal freedom; a personal computer as a means of intellectual autonomy; a personal phone as a means of freedom of communication and access to information. These three development factors significantly changed the employee psychology and created the conditions for diffusion of qualitatively new, synthesized (cyber-physical) technologies that became the basis of the Industry 4.0 and the Internet of Things – two main working concepts of industrial and infrastructural development for the next 20 years. The conventional or classical industrial systems that are dominant to the present day have mainly been based on the principles of human muscle energy replacement, but the technological changes of our days raise the question of the substantial scale of displacement of the living manpower both in production and in management and services. The process of technological and industrial transformation that has already begun will inevitably lead to the transformation of social and economic systems, and here the key problem will not only be the provision of a new quality of economic growth, but also the solution of the employment problem</w:t>
      </w:r>
    </w:p>
    <w:p>
      <w:pPr/>
      <w:r>
        <w:rPr>
          <w:b/>
        </w:rPr>
        <w:t>POSSIBLE 2017:</w:t>
      </w:r>
      <w:r>
        <w:t xml:space="preserve"> Macroeconomic background — https://doi.org/10.1787/9789264279919-4-en</w:t>
      </w:r>
    </w:p>
    <w:p>
      <w:pPr/>
      <w:r>
        <w:rPr>
          <w:b/>
        </w:rPr>
        <w:t>Shared claim-specific concepts:</w:t>
      </w:r>
      <w:r>
        <w:t xml:space="preserve"> gives, background, main, trends; EU scope not established. This is a provisional connection, not an outcome finding.</w:t>
      </w:r>
    </w:p>
    <w:p>
      <w:pPr>
        <w:pStyle w:val="SourceNote"/>
      </w:pPr>
      <w:r>
        <w:rPr>
          <w:b/>
        </w:rPr>
        <w:t>Available abstract (not full text):</w:t>
      </w:r>
      <w:r>
        <w:t xml:space="preserve"> This chapter gives an overview of the main macroeconomic trends from the end of the crisis until 2016.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pPr/>
      <w:r>
        <w:rPr>
          <w:b/>
        </w:rPr>
        <w:t>POSSIBLE 2017:</w:t>
      </w:r>
      <w:r>
        <w:t xml:space="preserve"> Research Background on Ontology — https://doi.org/10.4018/978-1-5225-2058-0.ch011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The literature review gives the background to the research process, which consisted of three main aspects to find out the theoretical background essential to this project. These aspects were: ontological engineering, Information Science, and Communities of Practice within knowledge management. The following sections provide an overview of key literature relevant to this project. Firstly, however, the background starts with some basic definitions to establish what is meant by ontology and what the significance of creating ontology is. The survey will come back to the three key aspects of this study and review literature on these; firstly, ontology.</w:t>
      </w:r>
    </w:p>
    <w:p>
      <w:pPr/>
      <w:r>
        <w:rPr>
          <w:b/>
        </w:rPr>
        <w:t>POSSIBLE 2017:</w:t>
      </w:r>
      <w:r>
        <w:t xml:space="preserve"> The reform of the administrative jurisdiction in Austria - theoretical background and main features of the system — https://openalex.org/W2995068676</w:t>
      </w:r>
    </w:p>
    <w:p>
      <w:pPr/>
      <w:r>
        <w:rPr>
          <w:b/>
        </w:rPr>
        <w:t>Shared claim-specific concepts:</w:t>
      </w:r>
      <w:r>
        <w:t xml:space="preserve"> background, main; EU scope visible. This is a provisional connection, not an outcome finding.</w:t>
      </w:r>
    </w:p>
    <w:p>
      <w:pPr>
        <w:pStyle w:val="SourceNote"/>
      </w:pPr>
      <w:r>
        <w:rPr>
          <w:b/>
        </w:rPr>
        <w:t>Available abstract (not full text):</w:t>
      </w:r>
      <w:r>
        <w:t xml:space="preserve"> The Austrian Administrative Jurisdiction has undergone a decisive change by the “Verwaltungsgerichtsbarkeits-Novelle 2012”, BGBl. I 2012/51 (Amendment to the Federal Constitutional Law concerning the Administrative Jurisdiction). There was established a system of two instances of Administrative Courts. At the same time the possibility to lodge an appeal with the higher administrative authority has been abolished. The reform provides for 9 Administrative Courts of First Instance in the Länder (the Austrian Provinces; deciding upon appeals against decisions of authorities of the Länder) and two Administrative Courts of the Federation (deciding upon appeals against decisions of Federal authorities). The article aims at describing the contents of the reform and its main characteristics. For the sake of a better understanding of the background of the reform and the principle legal foundations of the new system a short description of the development of the Austrian Administrative Jurisdiction is given in the beginning. In the main part of the contribution the competences and tasks of the new Administrative Courts are described in detail. The focus of the description lies on the unique character of the system because of the competence of the Administrative Courts to decide on the substance of the (administrative) matter that makes it different from the ones in other European countries</w:t>
      </w:r>
    </w:p>
    <w:p>
      <w:pPr/>
      <w:r>
        <w:rPr>
          <w:b/>
        </w:rPr>
        <w:t>POSSIBLE 2017:</w:t>
      </w:r>
      <w:r>
        <w:t xml:space="preserve"> Hybrid method for background modeling and subtracting — https://doi.org/10.1109/isacv.2017.8054941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In this paper, we propose a hybrid method for background modeling, subtracting, and extracting moving objects, which is based on the use of W4and Extended Centre Symmetric Local Binary Pattern (XCS-LBP) approaches. Initially, we apply W4 to get the foreground mask of the video scene, after that we use XCS-LBP to clarify the results obtained. The main focus of this paper is to illustrate moving objects. In the evaluation section, we will prove that the proposed hybrid method gives better results than W4with the use of datasets contains a different background.</w:t>
      </w:r>
    </w:p>
    <w:p>
      <w:pPr>
        <w:pStyle w:val="Heading2"/>
      </w:pPr>
      <w:r>
        <w:t>777.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2021:</w:t>
      </w:r>
      <w:r>
        <w:t xml:space="preserve"> Networked foresight — https://doi.org/10.25932/publishup-50385</w:t>
      </w:r>
    </w:p>
    <w:p>
      <w:pPr/>
      <w:r>
        <w:rPr>
          <w:b/>
        </w:rPr>
        <w:t>Shared claim-specific concepts:</w:t>
      </w:r>
      <w:r>
        <w:t xml:space="preserve"> foresight, designed, based, systems; EU scope visible. This is a provisional connection, not an outcome finding.</w:t>
      </w:r>
    </w:p>
    <w:p>
      <w:pPr>
        <w:pStyle w:val="SourceNote"/>
      </w:pPr>
      <w:r>
        <w:rPr>
          <w:b/>
        </w:rPr>
        <w:t>Available abstract (not full text):</w:t>
      </w:r>
      <w:r>
        <w:t xml:space="preserve">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pPr/>
      <w:r>
        <w:rPr>
          <w:b/>
        </w:rPr>
        <w:t>POSSIBLE 2020:</w:t>
      </w:r>
      <w:r>
        <w:t xml:space="preserve"> Foresight for Career Development — https://doi.org/10.17323/2500-2597.2020.2.88.104</w:t>
      </w:r>
    </w:p>
    <w:p>
      <w:pPr/>
      <w:r>
        <w:rPr>
          <w:b/>
        </w:rPr>
        <w:t>Shared claim-specific concepts:</w:t>
      </w:r>
      <w:r>
        <w:t xml:space="preserve"> foresight, current; EU scope visible. This is a provisional connection, not an outcome finding.</w:t>
      </w:r>
    </w:p>
    <w:p>
      <w:pPr>
        <w:pStyle w:val="SourceNote"/>
      </w:pPr>
      <w:r>
        <w:rPr>
          <w:b/>
        </w:rPr>
        <w:t>Available abstract (not full text):</w:t>
      </w:r>
      <w:r>
        <w:t xml:space="preserve">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pPr/>
      <w:r>
        <w:rPr>
          <w:b/>
        </w:rPr>
        <w:t>POSSIBLE 2017:</w:t>
      </w:r>
      <w:r>
        <w:t xml:space="preserve"> Envisioning future innovative experimental ecosystems through the foresight approach. Case: Design Factory — https://doi.org/10.1007/s40309-017-0128-2</w:t>
      </w:r>
    </w:p>
    <w:p>
      <w:pPr/>
      <w:r>
        <w:rPr>
          <w:b/>
        </w:rPr>
        <w:t>Shared claim-specific concepts:</w:t>
      </w:r>
      <w:r>
        <w:t xml:space="preserve"> foresight, drivers; EU scope visible. This is a provisional connection, not an outcome finding.</w:t>
      </w:r>
    </w:p>
    <w:p>
      <w:pPr>
        <w:pStyle w:val="SourceNote"/>
      </w:pPr>
      <w:r>
        <w:rPr>
          <w:b/>
        </w:rPr>
        <w:t>Available abstract (not full text):</w:t>
      </w:r>
      <w:r>
        <w:t xml:space="preserve"> Change makers are visionaries who wish to bring change to their respective fields. As technological change is accelerating, it is relevant to consider, how the way and what we teach can evolve with the future to remain meaningful and pioneering. Design Factory at Aalto University, as an innovative experimental ecosystem with interdisciplinary principles and new teaching methodologies has been successful in and at the forefront in educating the students to be change-makers. The paper presents a case study of holistically anticipating plausible futures for innovative experimental ecosystems utilizing a foresight approach. We analyze how the ways of working, spaces, and teaching methods of one such ecosystem, Design Factory at Aalto University in Finland, could support students learning in the year 20 × 6 {x = 2, 3}. We present the process of drawing virtual lines that connect trends, future drivers, visions, and scenarios using a contemporary approach that fuses qualitative and quantitative methods. The results from the study are six future scenarios for the Design Factory, that have implications for innovation ecosystems in general. These results are expected to further foster or trigger new research and development experiments, directions for building radical environments, new teaching methods and ways of working.</w:t>
      </w:r>
    </w:p>
    <w:p>
      <w:pPr>
        <w:pStyle w:val="Heading2"/>
      </w:pPr>
      <w:r>
        <w:t>778.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2020:</w:t>
      </w:r>
      <w:r>
        <w:t xml:space="preserve"> Law, biomedical technoscience, and imaginaries — https://doi.org/10.1093/jlb/lsaa088</w:t>
      </w:r>
    </w:p>
    <w:p>
      <w:pPr/>
      <w:r>
        <w:rPr>
          <w:b/>
        </w:rPr>
        <w:t>Shared claim-specific concepts:</w:t>
      </w:r>
      <w:r>
        <w:t xml:space="preserve"> concept, imaginary, investigate, constructed; EU scope visible. This is a provisional connection, not an outcome finding.</w:t>
      </w:r>
    </w:p>
    <w:p>
      <w:pPr>
        <w:pStyle w:val="SourceNote"/>
      </w:pPr>
      <w:r>
        <w:rPr>
          <w:b/>
        </w:rPr>
        <w:t>Available abstract (not full text):</w:t>
      </w:r>
      <w:r>
        <w:t xml:space="preserve">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pPr/>
      <w:r>
        <w:rPr>
          <w:b/>
        </w:rPr>
        <w:t>POSSIBLE 2019:</w:t>
      </w:r>
      <w:r>
        <w:t xml:space="preserve"> The Circular Economy in Europe: Critical Perspectives on Policies and Imaginaries — https://doi.org/10.4324/9780429061028</w:t>
      </w:r>
    </w:p>
    <w:p>
      <w:pPr/>
      <w:r>
        <w:rPr>
          <w:b/>
        </w:rPr>
        <w:t>Shared claim-specific concepts:</w:t>
      </w:r>
      <w:r>
        <w:t xml:space="preserve"> authors, ideas; EU scope visible. This is a provisional connection, not an outcome finding.</w:t>
      </w:r>
    </w:p>
    <w:p>
      <w:pPr>
        <w:pStyle w:val="SourceNote"/>
      </w:pPr>
      <w:r>
        <w:rPr>
          <w:b/>
        </w:rPr>
        <w:t>Available abstract (not full text):</w:t>
      </w:r>
      <w:r>
        <w:t xml:space="preserve">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pPr/>
      <w:r>
        <w:rPr>
          <w:b/>
        </w:rPr>
        <w:t>POSSIBLE 2019:</w:t>
      </w:r>
      <w:r>
        <w:t xml:space="preserve"> The social imaginaries of data activism — https://doi.org/10.1177/2053951718821146</w:t>
      </w:r>
    </w:p>
    <w:p>
      <w:pPr/>
      <w:r>
        <w:rPr>
          <w:b/>
        </w:rPr>
        <w:t>Shared claim-specific concepts:</w:t>
      </w:r>
      <w:r>
        <w:t xml:space="preserve"> imaginary, structures, political; EU scope visible. This is a provisional connection, not an outcome finding.</w:t>
      </w:r>
    </w:p>
    <w:p>
      <w:pPr>
        <w:pStyle w:val="SourceNote"/>
      </w:pPr>
      <w:r>
        <w:rPr>
          <w:b/>
        </w:rPr>
        <w:t>Available abstract (not full text):</w:t>
      </w:r>
      <w:r>
        <w:t xml:space="preserve">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pStyle w:val="Heading2"/>
      </w:pPr>
      <w:r>
        <w:t>779.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r>
        <w:rPr>
          <w:b/>
        </w:rPr>
        <w:t>POSSIBLE 2023:</w:t>
      </w:r>
      <w:r>
        <w:t xml:space="preserve"> The Impact of COVID-19 in Europe: A Comprehensive Analysis — https://doi.org/10.54783/ijsoc.v5i4.787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pPr/>
      <w:r>
        <w:rPr>
          <w:b/>
        </w:rPr>
        <w:t>POSSIBLE 2023:</w:t>
      </w:r>
      <w:r>
        <w:t xml:space="preserve"> A Study on the Interpretation and Application of Article 2 of the European Convention on Human Rights: Focusing on the Case Law of the European Court of Human Rights — https://doi.org/10.21592/eucj.2023.42.99</w:t>
      </w:r>
    </w:p>
    <w:p>
      <w:pPr/>
      <w:r>
        <w:rPr>
          <w:b/>
        </w:rPr>
        <w:t>Shared claim-specific concepts:</w:t>
      </w:r>
      <w:r>
        <w:t xml:space="preserve"> article, aims, provide, understanding, role; EU scope visible. This is a provisional connection, not an outcome finding.</w:t>
      </w:r>
    </w:p>
    <w:p>
      <w:pPr>
        <w:pStyle w:val="SourceNote"/>
      </w:pPr>
      <w:r>
        <w:rPr>
          <w:b/>
        </w:rPr>
        <w:t>Available abstract (not full text):</w:t>
      </w:r>
      <w:r>
        <w:t xml:space="preserve">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pPr/>
      <w:r>
        <w:rPr>
          <w:b/>
        </w:rPr>
        <w:t>POSSIBLE 2023:</w:t>
      </w:r>
      <w:r>
        <w:t xml:space="preserve"> The Impact of COVID-19 in Europe: An Overview of the Pandemic's Challenges and Responses — https://openalex.org/W7217768397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pPr/>
      <w:r>
        <w:rPr>
          <w:b/>
        </w:rPr>
        <w:t>POSSIBLE 2022:</w:t>
      </w:r>
      <w:r>
        <w:t xml:space="preserve"> The Regional Development Trap in Europe — https://doi.org/10.1080/00130095.2022.2080655</w:t>
      </w:r>
    </w:p>
    <w:p>
      <w:pPr/>
      <w:r>
        <w:rPr>
          <w:b/>
        </w:rPr>
        <w:t>Shared claim-specific concepts:</w:t>
      </w:r>
      <w:r>
        <w:t xml:space="preserve"> article, indicators;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r>
        <w:rPr>
          <w:b/>
        </w:rPr>
        <w:t>POSSIBLE 2022:</w:t>
      </w:r>
      <w:r>
        <w:t xml:space="preserve"> European Investigation Order and the Right to a Trial Consecrated in Article 47 of the Charter of Fundamental Rights of the European Union. — https://doi.org/10.51389/sxtm4110</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In 2019, the Court of Justice of the European Union (CJEU) delivered its first decision on the European Investigation Order (EIO) adopted by Directive 2014/41/EU in Case C-324/17, Gavanozov, 24th of October. Following a request for a preliminary ruling, the CJEU stated that "Article 5(1) of Directive 2014/41/EU of the European Parliament and the Council, of 3 April 2014, on the European Investigation Order (EIO), read in conjunction with Section J of the form in Annex A to that directive, must be interpreted as meaning that the judicial authority of a Member State does not, at the time of issuing a European investigative decision, have to include in this section a description of any legal remedies in its Member State against the issuing of that decision". However, the Advocate General of the Union, Yves Bot, considered that the Bulgarian judicial authority could not have issued the EIO because the national legislation did not provide for any legal remedy against the investigative measures that were requested, which is contrary to what is foreseen in Article 47 of the Charter of Fundamental Rights of the European Union (CFREU). In view of the opposite readings regarding this instrument of judicial cooperation in criminal matters, this presentation aims to examine the Court of Justice’s decision and the AG’s conclusions to substantiate a position on the possible need for the EU l</w:t>
      </w:r>
    </w:p>
    <w:p>
      <w:pPr/>
      <w:r>
        <w:rPr>
          <w:b/>
        </w:rPr>
        <w:t>POSSIBLE 2021:</w:t>
      </w:r>
      <w:r>
        <w:t xml:space="preserve"> The Integrated Carbon Observation System in Europe — https://doi.org/10.1175/bams-d-19-0364.1</w:t>
      </w:r>
    </w:p>
    <w:p>
      <w:pPr/>
      <w:r>
        <w:rPr>
          <w:b/>
        </w:rPr>
        <w:t>Shared claim-specific concepts:</w:t>
      </w:r>
      <w:r>
        <w:t xml:space="preserve"> article, aims, provide, information; EU scope visible. This is a provisional connection, not an outcome finding.</w:t>
      </w:r>
    </w:p>
    <w:p>
      <w:pPr>
        <w:pStyle w:val="SourceNote"/>
      </w:pPr>
      <w:r>
        <w:rPr>
          <w:b/>
        </w:rPr>
        <w:t>Available abstract (not full text):</w:t>
      </w:r>
      <w:r>
        <w:t xml:space="preserve">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pPr/>
      <w:r>
        <w:rPr>
          <w:b/>
        </w:rPr>
        <w:t>POSSIBLE 2019:</w:t>
      </w:r>
      <w:r>
        <w:t xml:space="preserve"> Challenges to the sustainability of climate services in Europe — https://doi.org/10.1002/wcc.587</w:t>
      </w:r>
    </w:p>
    <w:p>
      <w:pPr/>
      <w:r>
        <w:rPr>
          <w:b/>
        </w:rPr>
        <w:t>Shared claim-specific concepts:</w:t>
      </w:r>
      <w:r>
        <w:t xml:space="preserve"> article, aims, provide, role; EU scope visible. This is a provisional connection, not an outcome finding.</w:t>
      </w:r>
    </w:p>
    <w:p>
      <w:pPr>
        <w:pStyle w:val="SourceNote"/>
      </w:pPr>
      <w:r>
        <w:rPr>
          <w:b/>
        </w:rPr>
        <w:t>Available abstract (not full text):</w:t>
      </w:r>
      <w:r>
        <w:t xml:space="preserve"> Abstract Climate services have emerged as a research and operational field in recent years. This development has been underpinned and supported by significant research, funding and agenda‐setting efforts such as the Global Framework for Climate Services internationally and the Roadmap for Climate Services and the Copernicus Climate Change Service in Europe. The fast pace at which this field is developing raises a number of key challenges that need to be critically examined and addressed to ensure the future development and sustainability of climate services in Europe. This opinion piece highlights a number of challenges currently threatening the viability of climate services including the complexity of the concept of climate services; the complex landscape of complementary research and development areas relevant to climate services; existing rights to freely access and use climate services; current limitations to funding structures and mechanisms and how that impacts on the development of climate services; the emphasis on co‐production as a precondition to climate services development; and the limited role of the social sciences in the research and operational field of climate services. Effectively addressing these challenges will require a commitment from the scientific and practitioner communities to engage in critical and reflective debates around the future conceptualizatio</w:t>
      </w:r>
    </w:p>
    <w:p>
      <w:pPr/>
      <w:r>
        <w:rPr>
          <w:b/>
        </w:rPr>
        <w:t>POSSIBLE 2018:</w:t>
      </w:r>
      <w:r>
        <w:t xml:space="preserve"> The Race-Religion Constellation: A European Contribution to the Critical Philosophy of Race — https://doi.org/10.5325/critphilrace.6.1.0058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Abstract This article traces the hidden race-religion constellation in Europe. The term “race-religion constellation” refers to the connection or co-constitution of the categories of race and “religion.” Specifically, the term “race-religion constellation” is used to refer to the practice of classifying people into races according to categories we now associate with the term “religion.” This calls for a consideration of European history and forms of racism in Europe, such as anti-Semitism and Islamophobia. This article aims to provide an alternative non-secularized or biological account of the origins of the socially constructed category of race in Europe. The alternative story begins in the sixteenth century, when the category of “religion” as a means for classifying peoples was both constructed and politicized. In tracing this alternative story, this article seeks to outline a framework for a critical philosophy of race focused on a European religion line that intersects with Du Bois's color line.</w:t>
      </w:r>
    </w:p>
    <w:p>
      <w:pPr/>
      <w:r>
        <w:rPr>
          <w:b/>
        </w:rPr>
        <w:t>POSSIBLE 2017:</w:t>
      </w:r>
      <w:r>
        <w:t xml:space="preserve"> Policies for biosimilar uptake in Europe: An overview — https://doi.org/10.1371/journal.pone.0190147</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pPr/>
      <w:r>
        <w:rPr>
          <w:b/>
        </w:rPr>
        <w:t>POSSIBLE 2017:</w:t>
      </w:r>
      <w:r>
        <w:t xml:space="preserve"> Export Promotion Aims and Reality: A Comparison of the Iberian, Baltic and Central European Region — https://doi.org/10.1515/bjes-2017-0004</w:t>
      </w:r>
    </w:p>
    <w:p>
      <w:pPr/>
      <w:r>
        <w:rPr>
          <w:b/>
        </w:rPr>
        <w:t>Shared claim-specific concepts:</w:t>
      </w:r>
      <w:r>
        <w:t xml:space="preserve"> article, aims, provide, role; EU scope visible. This is a provisional connection, not an outcome finding.</w:t>
      </w:r>
    </w:p>
    <w:p>
      <w:pPr>
        <w:pStyle w:val="SourceNote"/>
      </w:pPr>
      <w:r>
        <w:rPr>
          <w:b/>
        </w:rPr>
        <w:t>Available abstract (not full text):</w:t>
      </w:r>
      <w:r>
        <w:t xml:space="preserve"> Abstract As a consequence of the international crisis in 2008-2009, the role of exports in economic growth came into focus in most countries. Exports of EU Member States gained momentum from 2010 onward but with certain changes in their structure and direction. In several countries, the turn towards non-EU areas, such as China or Latin America was part of the state export strategy. On the one hand, our article describes these foreign trade strategies and their institutional framework of the Iberian, Baltic and Central European governments, detecting possible similarities. On the other hand, we analyse recent export data. This way we can get a picture on the structure and direction of exports of periphery economies and this can be compared to the aims of the given states. Our hypothesis is that there is a gap between the reality and the intentions of the governments. The size of this gap varies and is influenced by certain factors such as the different involvement of multinational companies in foreign trade or the different economic structure of these countries. In our paper we list which countries adopted a government strategy and with what aim. We provide a short literature review on state trade promotion policies and discuss these policies and their institutions in the Baltic, Visegrád and Iberian countries.</w:t>
      </w:r>
    </w:p>
    <w:p>
      <w:pPr>
        <w:pStyle w:val="Heading2"/>
      </w:pPr>
      <w:r>
        <w:t>780.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2021:</w:t>
      </w:r>
      <w:r>
        <w:t xml:space="preserve"> Escalating incidence of infective endocarditis in Europe in the 21st century — https://doi.org/10.1136/openhrt-2021-001846</w:t>
      </w:r>
    </w:p>
    <w:p>
      <w:pPr/>
      <w:r>
        <w:rPr>
          <w:b/>
        </w:rPr>
        <w:t>Shared claim-specific concepts:</w:t>
      </w:r>
      <w:r>
        <w:t xml:space="preserve"> aim, factors, past, trends; EU scope visible. This is a provisional connection, not an outcome finding.</w:t>
      </w:r>
    </w:p>
    <w:p>
      <w:pPr>
        <w:pStyle w:val="SourceNote"/>
      </w:pPr>
      <w:r>
        <w:rPr>
          <w:b/>
        </w:rPr>
        <w:t>Available abstract (not full text):</w:t>
      </w:r>
      <w:r>
        <w:t xml:space="preserve"> AIM: To provide a contemporary analysis of incidence trends of infective endocarditis (IE) with its changing epidemiology over the past two decades in Europe. METHODS: A systematic review was conducted at the Mayo Clinic, Rochester. Ovid EBM Reviews, Ovid Embase, Ovid Medline, Scopus and Web of Science were searched for studies published between 1 January 2000 and 30 November 2020. All studies were independently reviewed by four referees and those that included a population-based incidence of IE in patients, irrespective of age, in Europe were included. Least squares regression was used to estimate pooled temporal trends in IE incidence. RESULTS: Of 9138 articles screened, 18 studies were included in the review. Elderly men predominated in all studies. IE incidence increased 4.1% per year (95% CI 1.8% to 6.4%) in the pooled regression analysis of eight studies that included comprehensive and consistent trends data. When trends data were weighted according to population size of individual countries, an increase in yearly incidence of 0.27 cases per 100 000 people was observed. Staphylococci and streptococci were the most common pathogens identified. The rate of surgical intervention ranged from 10.2% to 60.0%, and the rate of inpatient mortality ranged from 14.3% to 17.5%. In six studies that examined the rate of injection drug use, five of them reported a rate of less than 10%.</w:t>
      </w:r>
    </w:p>
    <w:p>
      <w:pPr/>
      <w:r>
        <w:rPr>
          <w:b/>
        </w:rPr>
        <w:t>POSSIBLE 2020:</w:t>
      </w:r>
      <w:r>
        <w:t xml:space="preserve"> Stressors, coping and symptoms of adjustment disorder in the course of the COVID-19 pandemic – study protocol of the European Society for Traumatic Stress Studies (ESTSS) pan-European study — https://doi.org/10.1080/20008198.2020.1780832</w:t>
      </w:r>
    </w:p>
    <w:p>
      <w:pPr/>
      <w:r>
        <w:rPr>
          <w:b/>
        </w:rPr>
        <w:t>Shared claim-specific concepts:</w:t>
      </w:r>
      <w:r>
        <w:t xml:space="preserve"> examine, factors, current, framework; EU scope visible. This is a provisional connection, not an outcome finding.</w:t>
      </w:r>
    </w:p>
    <w:p>
      <w:pPr>
        <w:pStyle w:val="SourceNote"/>
      </w:pPr>
      <w:r>
        <w:rPr>
          <w:b/>
        </w:rPr>
        <w:t>Available abstract (not full text):</w:t>
      </w:r>
      <w:r>
        <w:t xml:space="preserve"> BACKGROUND: During the current COVID-19 pandemic, the people in Europe are exposed to self-isolation, quarantine, job loss, risk of contracting COVID-19, or grief of loved ones. Such a complex array of stressors may lead to symptoms of adjustment disorder or posttraumatic stress disorder. This research protocol describes a study launched by the European Society of Traumatic Stress Studies (ESTSS) to investigate the impact of the COVID-19 pandemic on symptoms of adjustment disorder across European countries. OBJECTIVE: The longitudinal online cohort study aims (1) to explore psychosocial reactions to the COVID-19 pandemic across ten European countries; (2) to examine the relationships between risk and resilience factors, stressors and symptoms of adjustment disorder during the pandemic; and (3) to investigate whether these relationships are moderated by coping behaviours. METHOD: In ten countries (Austria, Croatia, Georgia, Germany, Italy, Lithuania, Netherlands, Poland, Portugal, and Sweden), between 1,000 and 2,000 participants will be recruited, depending on the size of the country. Participants will be assessed at two timepoints with a six-month interval. Following a conceptual framework based on the WHO's social framework of health, an assessment of risk and resilience factors, COVID-19 related stressors and pandemic-specific coping behaviours will be measured to estimate t</w:t>
      </w:r>
    </w:p>
    <w:p>
      <w:pPr/>
      <w:r>
        <w:rPr>
          <w:b/>
        </w:rPr>
        <w:t>POSSIBLE 2019:</w:t>
      </w:r>
      <w:r>
        <w:t xml:space="preserve"> Spatial and Seasonal Patterns in Vegetation Growth-Limiting Factors over Europe — https://doi.org/10.3390/rs11202406</w:t>
      </w:r>
    </w:p>
    <w:p>
      <w:pPr/>
      <w:r>
        <w:rPr>
          <w:b/>
        </w:rPr>
        <w:t>Shared claim-specific concepts:</w:t>
      </w:r>
      <w:r>
        <w:t xml:space="preserve"> factors, current, long-term; EU scope visible. This is a provisional connection, not an outcome finding.</w:t>
      </w:r>
    </w:p>
    <w:p>
      <w:pPr>
        <w:pStyle w:val="SourceNote"/>
      </w:pPr>
      <w:r>
        <w:rPr>
          <w:b/>
        </w:rPr>
        <w:t>Available abstract (not full text):</w:t>
      </w:r>
      <w:r>
        <w:t xml:space="preserve"> Water and energy are recognized as the most influential climatic vegetation growth-limiting factors. These factors are usually measured from ground meteorological stations. However, since both vary in space, time, and scale, they can be assessed by satellite-derived biophysical indicators. Energy, represented by land surface temperature (LST), is assumed to resemble air temperature; and water availability, related to precipitation, is represented by the normalized difference vegetation index (NDVI). It is hypothesized that positive correlations between LST and NDVI indicate energy-limited conditions, while negative correlations indicate water-limited conditions. The current project aimed to quantify the spatial and seasonal (spring and summer) distributions of LST–NDVI relations over Europe, using long-term (2000–2017) MODIS images. Overlaying the LST–NDVI relations on the European biome map revealed that relations between LST and NDVI were highly diverse among the various biomes and throughout the entire study period (March–August). During the spring season (March–May), 80% of the European domain, across all biomes, showed the dominance of significant positive relations. However, during the summer season (June–August), most of the biomes—except the northern ones—turned to negative correlation. This study demonstrates that the drought/vegetation/stress spectral indices, based o</w:t>
      </w:r>
    </w:p>
    <w:p>
      <w:pPr/>
      <w:r>
        <w:rPr>
          <w:b/>
        </w:rPr>
        <w:t>POSSIBLE 2018:</w:t>
      </w:r>
      <w:r>
        <w:t xml:space="preserve"> Dietary Patterns in European and Brazilian Adolescents: Comparisons and Associations with Socioeconomic Factors — https://doi.org/10.3390/nu10010057</w:t>
      </w:r>
    </w:p>
    <w:p>
      <w:pPr/>
      <w:r>
        <w:rPr>
          <w:b/>
        </w:rPr>
        <w:t>Shared claim-specific concepts:</w:t>
      </w:r>
      <w:r>
        <w:t xml:space="preserve"> aim, examine, factors; EU scope visible. This is a provisional connection, not an outcome finding.</w:t>
      </w:r>
    </w:p>
    <w:p>
      <w:pPr>
        <w:pStyle w:val="SourceNote"/>
      </w:pPr>
      <w:r>
        <w:rPr>
          <w:b/>
        </w:rPr>
        <w:t>Available abstract (not full text):</w:t>
      </w:r>
      <w:r>
        <w:t xml:space="preserve"> Associations between dietary patterns (DP) and socioeconomic factors have been little explored in adolescents. The aim of this study was to identify DP in European and Brazilian adolescents and to investigate their associations with a range of socioeconomic indicators. Adolescents from the HELENA-study and the Household Budget Survey were analyzed. Factor analysis was used to obtain DP. Linear regression was used to examine the association between DP and SES. In Europeans, the Western DP was associated with low education of the mother, high socioeconomic status (boys), older age (boys), and living in cities of the Northern Europe; in Brazilians, the Western DP was associated with high secondary education of the mother, high socioeconomic status and living in Southern areas of the country. The Traditional European DP, in both genders, was associated with high secondary education of the mother and inversely associated with a high socioeconomic status; the Traditional Brazilian DP, was associated with university level education of the mother and older age (boys). The association between DP and socioeconomic factors is relevant for the understanding of food-related practices and highlight the importance of performing a complete assessment of the socioeconomic influence in adolescent's DP from developed and developing countries.</w:t>
      </w:r>
    </w:p>
    <w:p>
      <w:pPr/>
      <w:r>
        <w:rPr>
          <w:b/>
        </w:rPr>
        <w:t>POSSIBLE 2017:</w:t>
      </w:r>
      <w:r>
        <w:t xml:space="preserve"> Socioeconomic inequality in clusters of health-related behaviours in Europe: latent class analysis of a cross-sectional European survey — https://doi.org/10.1186/s12889-017-4440-3</w:t>
      </w:r>
    </w:p>
    <w:p>
      <w:pPr/>
      <w:r>
        <w:rPr>
          <w:b/>
        </w:rPr>
        <w:t>Shared claim-specific concepts:</w:t>
      </w:r>
      <w:r>
        <w:t xml:space="preserve"> examine, factors, three; EU scope visible. This is a provisional connection, not an outcome finding.</w:t>
      </w:r>
    </w:p>
    <w:p>
      <w:pPr>
        <w:pStyle w:val="SourceNote"/>
      </w:pPr>
      <w:r>
        <w:rPr>
          <w:b/>
        </w:rPr>
        <w:t>Available abstract (not full text):</w:t>
      </w:r>
      <w:r>
        <w:t xml:space="preserve"> BACKGROUND: Modifiable health-related behaviours tend to cluster among most vulnerable sectors of the population, particularly those at the bottom of the social hierarchy. This study aimed to identify the clusters of health-related behaviours in 27 European countries and to examine the socioeconomic inequalities in these clusters. METHODS: Data were from Eurobarometer 72.3-2009, a cross-sectional survey of 27 European countries. The analyses were conducted in 2016. The main sections of the survey included questions pertaining to sociodemographic factors, health-related behaviours, and use of services. In this study, those aged 18 years and older were included. We selected five health-related behaviours, namely smoking, excessive alcohol consumption, frequent fresh fruit consumption, physical activity and dental check-ups. Socioeconomic position was indicated by education, subjective social status and difficulty in paying bills. Latent class analysis was conducted to explore the clusters of these five behaviours. Multinomial logistic regression model was used to examine the relationships between the clusters and socioeconomic positions adjusting for age, gender, marital status and urbanisation. RESULTS: The eligible total population was 23,842. Latent class analysis identified three clusters; healthy, moderate and risky clusters in this European population. Individuals with the </w:t>
      </w:r>
    </w:p>
    <w:p>
      <w:pPr/>
      <w:r>
        <w:rPr>
          <w:b/>
        </w:rPr>
        <w:t>POSSIBLE 2017:</w:t>
      </w:r>
      <w:r>
        <w:t xml:space="preserve"> The Style As a Factor of Office Building Concentration Locations in European Cities — https://doi.org/10.1515/ceer-2017-0001</w:t>
      </w:r>
    </w:p>
    <w:p>
      <w:pPr/>
      <w:r>
        <w:rPr>
          <w:b/>
        </w:rPr>
        <w:t>Shared claim-specific concepts:</w:t>
      </w:r>
      <w:r>
        <w:t xml:space="preserve"> aim, examine, factors, structures; EU scope visible. This is a provisional connection, not an outcome finding.</w:t>
      </w:r>
    </w:p>
    <w:p>
      <w:pPr>
        <w:pStyle w:val="SourceNote"/>
      </w:pPr>
      <w:r>
        <w:rPr>
          <w:b/>
        </w:rPr>
        <w:t>Available abstract (not full text):</w:t>
      </w:r>
      <w:r>
        <w:t xml:space="preserve"> Where should office building concentrations be located in cities? What kind of factors has an influence on its locations? The aim of the research is to examine factors of office locations in cities. Selected office building concentrations in European cities were investigated as case studies. The research method was the spatial decision paradigm. The style, one of the main elements of the paradigm, was selected to answer the research question. The style was defined a composition of existing urban structures. Basic elements of urban composition in selected European cities were examined closely. Research results are conditions of office building concentration locations in European cities in term of urban composition. Such knowledge should be a base of decision-making processe during preparing master plans and city development plans.</w:t>
      </w:r>
    </w:p>
    <w:p>
      <w:pPr>
        <w:pStyle w:val="Heading2"/>
      </w:pPr>
      <w:r>
        <w:t>781.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2020:</w:t>
      </w:r>
      <w:r>
        <w:t xml:space="preserve"> Identity Politics and Populism in Europe — https://doi.org/10.1146/annurev-polisci-050718-033542</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pPr/>
      <w:r>
        <w:rPr>
          <w:b/>
        </w:rPr>
        <w:t>POSSIBLE 2019:</w:t>
      </w:r>
      <w:r>
        <w:t xml:space="preserve"> Causes and main routes of the mass immigration to Europe in 2015 — https://doi.org/10.18778/1231-1952.26.2.01</w:t>
      </w:r>
    </w:p>
    <w:p>
      <w:pPr/>
      <w:r>
        <w:rPr>
          <w:b/>
        </w:rPr>
        <w:t>Shared claim-specific concepts:</w:t>
      </w:r>
      <w:r>
        <w:t xml:space="preserve"> since, one, main, after, political, place; EU scope visible. This is a provisional connection, not an outcome finding.</w:t>
      </w:r>
    </w:p>
    <w:p>
      <w:pPr>
        <w:pStyle w:val="SourceNote"/>
      </w:pPr>
      <w:r>
        <w:rPr>
          <w:b/>
        </w:rPr>
        <w:t>Available abstract (not full text):</w:t>
      </w:r>
      <w:r>
        <w:t xml:space="preserve"> The flow of immigrants into Europe is a phenomenon commonly known since the end of the Second World War. To a large extent it was the result of a colonial and then post-colonial relationship between metropolises and their overseas territories. Migration movements in Europe intensified after 1989 along with systemic changes in the eastern part of the continent. The phenomenon of increased migration to Europe observed since March 2015 combines both processes: economic migration, which undoubtedly dominates in terms of number, and exiles, of a much smaller scale, but given as the cause of migration by almost all migrants. A new phenomenon is the fact that a large part of migrants constitutes uncontrolled migration, which in previous years was marginal. In 2015, asylum applications were submitted in EU countries by as many as 1.25 million people. The influx of refugees to Europe has become not only a demographic phenomenon, but also a political one, evoking strong political emotions. Mass migrations also seem to be an instrument of international policy implementation by key world powers. The main purpose of the article was to present the background of the mass migration to Europe that took place in 2015. The main reasons for the decision to emigrate by the citizens of origin countries were shown, as well as the routes by which refugees flow into Europe.</w:t>
      </w:r>
    </w:p>
    <w:p>
      <w:pPr/>
      <w:r>
        <w:rPr>
          <w:b/>
        </w:rPr>
        <w:t>POSSIBLE 2019:</w:t>
      </w:r>
      <w:r>
        <w:t xml:space="preserve"> Is social transnationalism fusing European societies into one? — https://doi.org/10.46692/9781447334217.010</w:t>
      </w:r>
    </w:p>
    <w:p>
      <w:pPr/>
      <w:r>
        <w:rPr>
          <w:b/>
        </w:rPr>
        <w:t>Shared claim-specific concepts:</w:t>
      </w:r>
      <w:r>
        <w:t xml:space="preserve"> since, one, main, they, tourism; EU scope visible. This is a provisional connection, not an outcome finding.</w:t>
      </w:r>
    </w:p>
    <w:p>
      <w:pPr>
        <w:pStyle w:val="SourceNote"/>
      </w:pPr>
      <w:r>
        <w:rPr>
          <w:b/>
        </w:rPr>
        <w:t>Available abstract (not full text):</w:t>
      </w:r>
      <w:r>
        <w:t xml:space="preserve"> Introduction: one Europe for whom? ‘Europe’ – as such – is the main intercontinental travel destination of Chinese tourists. In 2016, 12 million visited from Mainland China, six times their number in 2000 (Artl 2016). The rise continues, as 2018 was announced by the EU and the Chinese government as the ‘EU–China Year of Tourism’ (whatever this may mean). More sophisticated and diversified than in the early 2000s, still the majority of Chinese tourists set foot on the Old Continent as part of an organised group package trip. On average they stay between one and three nights per country – overall visiting between five and ten different nations (Croce 2016). The Schengen visa (which costs €60) favours such cross-border travel, as it allows access to more than 20 countries with a single authorisation, and removes the perception of frontiers. On their way from one destination to the other, typically under strict timelines, Chinese tourists hardly have the impression of crossing national borders. In their eyes, Europe is one. Contrast this with the experience of European movers. Their perceptions along with their hosts’ resonate with persisting cultural differences, language barriers, diverse cuisines, bureaucratic rules, sexual and family mores. It is true that passport controls have been removed since the 1990s (but have been reinstated more or less systematically since the Islamis</w:t>
      </w:r>
    </w:p>
    <w:p>
      <w:pPr/>
      <w:r>
        <w:rPr>
          <w:b/>
        </w:rPr>
        <w:t>POSSIBLE 2019:</w:t>
      </w:r>
      <w:r>
        <w:t xml:space="preserve"> European Journal of Preventive Cardiology — https://doi.org/10.1093/eurheartj/ehz546</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If there is one thing more relevant than maintaining the current health status, it is improving it. This should be one of the main objectives of the preventive cardiologist when it comes to cardiovascular health. Sharing and disseminating the supporting knowledge to that end is the object of the European Journal of Preventive Cardiology (EJPC), published by Sage (@SAGEClinMed). Whether primary, secondary, or tertiary prevention, the goal is always to improve the state of health. The various disciplines that the EJPC embraces include primary care and risk factor management, public health and epidemiology, rehabilitation, exercise physiology, and sports cardiology. These also represent the main sections of the European Association of Preventive Cardiology (EAPC-#EAPC_ESC), of which the EJPC is the official journal. Unlike other cardiovascular journals, the EJPC instead of focusing on a specific area of cardiology provides the reader with a unique perspective of medicine, traversing all fields and sub-specialities. That is prevention. An approach that is able to include the whole spectrum of cardiovascular medicine, with topics that vary from a general population and epidemiological approach, to the molecular effects of medications and basic science. There is no doubt that interest in preventive cardiology is increasing. Numbers confirm the increase as can be seen in the EJPC’s in</w:t>
      </w:r>
    </w:p>
    <w:p>
      <w:pPr/>
      <w:r>
        <w:rPr>
          <w:b/>
        </w:rPr>
        <w:t>POSSIBLE 2019:</w:t>
      </w:r>
      <w:r>
        <w:t xml:space="preserve"> Morphogenesis of New Straits and Islands Originated in the European Arctic Since the 1980s — https://doi.org/10.3390/geosciences9110476</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Several new islands and many islets have appeared in the European Arctic since the end of the 20th century due to glacial recession under climate warming. The specificity of the formation of each individual strait and island is shown in the paper (apart from its location and timing of its origin). Analysis of available maps and satellite images of all three European Arctic archipelagos, from different times since 1909–1910, was the main research method. There are three pathways of the morphogenesis of the new islands: (1) simultaneous recession of glaciers from both sides of a depression in bedrock being a potential strait (typical in Franz Josef Land), (2) uncovering a rocky hill (which protrudes from a depression in bedrock) from under a receding glacier, (3) recession of one glacier which had reached a rocky fragment of a coastline (e.g., headland or peninsula), being a potential new island, during a maximum extent of this glacier during the Little Ice Age (in the beginning of the 20th century). Additional straits and islands are currently at the stage of formation and will continue to form in the European Arctic in the case of further warming or stabilization of the current climate conditions.</w:t>
      </w:r>
    </w:p>
    <w:p>
      <w:pPr>
        <w:pStyle w:val="Heading2"/>
      </w:pPr>
      <w:r>
        <w:t>782.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2021:</w:t>
      </w:r>
      <w:r>
        <w:t xml:space="preserve"> Relevant aspects of carbon storage activities’ liability in paradigmatic countries: Australia, Brazil, Canada, European Union, Japan, Norway, United Kingdom, and United States — https://doi.org/10.1016/b978-0-323-85250-0.00013-x</w:t>
      </w:r>
    </w:p>
    <w:p>
      <w:pPr/>
      <w:r>
        <w:rPr>
          <w:b/>
        </w:rPr>
        <w:t>Shared claim-specific concepts:</w:t>
      </w:r>
      <w:r>
        <w:t xml:space="preserve"> countries, australia, brazil, canada, japan, united;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Comparison of Prices and Affordability of Cancer Medicines in 16 Countries in Europe and Latin America — https://doi.org/10.1007/s40258-021-00670-4</w:t>
      </w:r>
    </w:p>
    <w:p>
      <w:pPr/>
      <w:r>
        <w:rPr>
          <w:b/>
        </w:rPr>
        <w:t>Shared claim-specific concepts:</w:t>
      </w:r>
      <w:r>
        <w:t xml:space="preserve"> countries, brazil, france, germany, mexico, national; EU scope visible. This is a provisional connection, not an outcome finding.</w:t>
      </w:r>
    </w:p>
    <w:p>
      <w:pPr>
        <w:pStyle w:val="SourceNote"/>
      </w:pPr>
      <w:r>
        <w:rPr>
          <w:b/>
        </w:rPr>
        <w:t>Available abstract (not full text):</w:t>
      </w:r>
      <w:r>
        <w:t xml:space="preserve">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pPr/>
      <w:r>
        <w:rPr>
          <w:b/>
        </w:rPr>
        <w:t>POSSIBLE 2021:</w:t>
      </w:r>
      <w:r>
        <w:t xml:space="preserve"> Clinical practices related to high-flow nasal cannulas in pediatric critical care in Brazil compared to other countries: a Brazilian survey — https://doi.org/10.5935/0103-507x.20210055</w:t>
      </w:r>
    </w:p>
    <w:p>
      <w:pPr/>
      <w:r>
        <w:rPr>
          <w:b/>
        </w:rPr>
        <w:t>Shared claim-specific concepts:</w:t>
      </w:r>
      <w:r>
        <w:t xml:space="preserve"> countries, australia, brazil, canada, india, south; EU scope visible. This is a provisional connection, not an outcome finding.</w:t>
      </w:r>
    </w:p>
    <w:p>
      <w:pPr>
        <w:pStyle w:val="SourceNote"/>
      </w:pPr>
      <w:r>
        <w:rPr>
          <w:b/>
        </w:rPr>
        <w:t>Available abstract (not full text):</w:t>
      </w:r>
      <w:r>
        <w:t xml:space="preserve">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pPr/>
      <w:r>
        <w:rPr>
          <w:b/>
        </w:rPr>
        <w:t>POSSIBLE 2021:</w:t>
      </w:r>
      <w:r>
        <w:t xml:space="preserve"> Evolution of Medical Device Sector in India and Comparison of Registration Processes of Medical Devices in India with Countries like China, Australia, U.S. and Europe — https://doi.org/10.23880/pdraj-16000127</w:t>
      </w:r>
    </w:p>
    <w:p>
      <w:pPr/>
      <w:r>
        <w:rPr>
          <w:b/>
        </w:rPr>
        <w:t>Shared claim-specific concepts:</w:t>
      </w:r>
      <w:r>
        <w:t xml:space="preserve"> countries, australia, china, india, national; EU scope visible. This is a provisional connection, not an outcome finding.</w:t>
      </w:r>
    </w:p>
    <w:p>
      <w:pPr>
        <w:pStyle w:val="SourceNote"/>
      </w:pPr>
      <w:r>
        <w:rPr>
          <w:b/>
        </w:rPr>
        <w:t>Available abstract (not full text):</w:t>
      </w:r>
      <w:r>
        <w:t xml:space="preserve"> The medical device market in India is a sunrise sector in the pharmaceutical industry and has achieved a milestone in the last few years securing 4th position in the medical device market in Asia with increasing foreign direct investments through governments Make in India Campaign 2017, and PLI (Product linked incentive) schemes. To enter the medical device market in any country, one has to go through different procedures and regulatory requirements of that country. Medical devices are regulated in India by the DCGI (Drug Controller General of India) under the CDSCO (Central Drug Standard Control Organization). In China, the registration approval process is under NMPA (National Medical Product Administration) and requires complying with Chinese regulatory standard notice No. 218. Europe and Australian regulations are bit same and require a CE (Conformité Européenne) mark for manufacturing and marketing. U.S. regulations for approving medical devices are stringent and 510 (k) and PMA (pre-market authorization) is compulsory. In this review, the reader would get an idea about the evolution of medical devices and legislative changes in India and also about international standards and auditing programs. There is a comparison of Indian, Chinese, Australian, U.S., and European medical device registration processes for understanding the similarities and differences.</w:t>
      </w:r>
    </w:p>
    <w:p>
      <w:pPr/>
      <w:r>
        <w:rPr>
          <w:b/>
        </w:rPr>
        <w:t>POSSIBLE 2021:</w:t>
      </w:r>
      <w:r>
        <w:t xml:space="preserve"> AUSTRALIA AND BRAZIL: A DIALOGUE ON CITIZENSHIP EDUCATIONAL IN THE SCHOOL CURRICULA — https://doi.org/10.18224/educ.v24i1.8259</w:t>
      </w:r>
    </w:p>
    <w:p>
      <w:pPr/>
      <w:r>
        <w:rPr>
          <w:b/>
        </w:rPr>
        <w:t>Shared claim-specific concepts:</w:t>
      </w:r>
      <w:r>
        <w:t xml:space="preserve"> countries, australia, brazil, debate; EU scope not established. This is a provisional connection, not an outcome finding.</w:t>
      </w:r>
    </w:p>
    <w:p>
      <w:pPr>
        <w:pStyle w:val="SourceNote"/>
      </w:pPr>
      <w:r>
        <w:rPr>
          <w:b/>
        </w:rPr>
        <w:t>Available abstract (not full text):</w:t>
      </w:r>
      <w:r>
        <w:t xml:space="preserve"> The debate on citizenship education has impacted the area of education in several aspects, mainly in the introduction of changes in school curricula. Therefore, it is timely to identify, analyse and discuss the implications that such changes have had on curricula. The present study was carried out to understand the contents, skills, attitudes and values the Australian Curriculum and the Brazilian Curriculum have incorporated to develop citizenship education. This qualitative research highlights the relevance attributed to citizenship in the curriculum of several countries and in the proposals of international organizations. Therefore, it explains the main features of the curricula in focus. Finally, the results are discussed.</w:t>
      </w:r>
    </w:p>
    <w:p>
      <w:pPr/>
      <w:r>
        <w:rPr>
          <w:b/>
        </w:rPr>
        <w:t>POSSIBLE 2020:</w:t>
      </w:r>
      <w:r>
        <w:t xml:space="preserve"> Psychosocial Experiences of African Migrants in Six European Countries — https://doi.org/10.1007/978-3-030-48347-0</w:t>
      </w:r>
    </w:p>
    <w:p>
      <w:pPr/>
      <w:r>
        <w:rPr>
          <w:b/>
        </w:rPr>
        <w:t>Shared claim-specific concepts:</w:t>
      </w:r>
      <w:r>
        <w:t xml:space="preserve"> countries, france, germany, italy; EU scope visible. This is a provisional connection, not an outcome finding.</w:t>
      </w:r>
    </w:p>
    <w:p>
      <w:pPr>
        <w:pStyle w:val="SourceNote"/>
      </w:pPr>
      <w:r>
        <w:rPr>
          <w:b/>
        </w:rPr>
        <w:t>Available abstract (not full text):</w:t>
      </w:r>
      <w:r>
        <w:t xml:space="preserve"> This open access book is an empirical narrative of the psychological and social experiences of 3500 African migrants who migrated to 6 European countries: Germany, Spain, Italy, The Netherlands, France, and the UK. It is the only book that reports a cross-cultural study of African migrants to Europe</w:t>
      </w:r>
    </w:p>
    <w:p>
      <w:pPr/>
      <w:r>
        <w:rPr>
          <w:b/>
        </w:rPr>
        <w:t>POSSIBLE 2020:</w:t>
      </w:r>
      <w:r>
        <w:t xml:space="preserve"> A qualitative meta-synthesis study of the convergence between organic crop regulations in the United States, Brazil, and Europe — https://doi.org/10.1016/j.tifs.2020.10.044</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Brazilian consumers’ perception of edible insects — https://doi.org/10.1590/0103-8478cr20180960</w:t>
      </w:r>
    </w:p>
    <w:p>
      <w:pPr/>
      <w:r>
        <w:rPr>
          <w:b/>
        </w:rPr>
        <w:t>Shared claim-specific concepts:</w:t>
      </w:r>
      <w:r>
        <w:t xml:space="preserve"> countries, australia, south, africa; EU scope visible. This is a provisional connection, not an outcome finding.</w:t>
      </w:r>
    </w:p>
    <w:p>
      <w:pPr>
        <w:pStyle w:val="SourceNote"/>
      </w:pPr>
      <w:r>
        <w:rPr>
          <w:b/>
        </w:rPr>
        <w:t>Available abstract (not full text):</w:t>
      </w:r>
      <w:r>
        <w:t xml:space="preserve"> ABSTRACT: It is estimated that by 2050 the world population will be 9 billion people; and therefore, the need for alternative sources of protein is inevitable, since conventional sources, such as beef, pork and poultry, will not be sufficient to meet the demand of population growth. Food that includes alternative sources of protein, such as insects, is a reality in countries of Latin America, Asia, Australia, Europe and Africa. This research presents the results of an exploratory study that analysed the food profile of 1,619 consumers in the five Brazilian regions (North, Northeast, Midwest, Southeast and South) as well as their perception, motivation and preferred form of edible insects. The data were analysed by cross-tabulation and expressed as frequencies. Our results show that women are more reluctant than men to consume insects. In general, there is a preference for consumption of insects in the form of flour. However, those with more familiarity with this type of consumption prefer the whole insect. Most Brazilian consumers have no opinion about the safety of consuming insects; however, consumers with higher levels of education and familiarity consider it safe.</w:t>
      </w:r>
    </w:p>
    <w:p>
      <w:pPr/>
      <w:r>
        <w:rPr>
          <w:b/>
        </w:rPr>
        <w:t>POSSIBLE 2018:</w:t>
      </w:r>
      <w:r>
        <w:t xml:space="preserve"> Global burden of hypoglycaemia-related mortality in 109 countries, from 2000 to 2014: an analysis of death certificates — https://doi.org/10.1007/s00125-018-4626-y</w:t>
      </w:r>
    </w:p>
    <w:p>
      <w:pPr/>
      <w:r>
        <w:rPr>
          <w:b/>
        </w:rPr>
        <w:t>Shared claim-specific concepts:</w:t>
      </w:r>
      <w:r>
        <w:t xml:space="preserve"> countries, australia, brazil, canada, japan, south; EU scope visible. This is a provisional connection, not an outcome finding.</w:t>
      </w:r>
    </w:p>
    <w:p>
      <w:pPr>
        <w:pStyle w:val="SourceNote"/>
      </w:pPr>
      <w:r>
        <w:rPr>
          <w:b/>
        </w:rPr>
        <w:t>Available abstract (not full text):</w:t>
      </w:r>
      <w:r>
        <w:t xml:space="preserve"> AIMS/HYPOTHESIS: In the context of increasing prevalence of diabetes in elderly people with multimorbidity, intensive glucose control may increase the risk of severe hypoglycaemia, potentially leading to death. While rising trends of severe hypoglycaemia rates have been reported in some European, North American and Asian countries, the global burden of hypoglycaemia-related mortality is unknown. We aimed to investigate global differences and trends of hypoglycaemia-related mortality. METHODS: We used the WHO mortality database to extract information on death certificates reporting hypoglycaemia or diabetes as the underlying cause of death, and the United Nations demographic database to obtain data on mid-year population estimates from 2000 to 2014. We calculated crude and age-standardised proportions (defined as number of hypoglycaemia-related deaths divided by total number of deaths from diabetes [i.e. the sum of hypoglycaemia- and diabetes-related deaths]) and rates (hypoglycaemia-related deaths divided by mid-year population) of hypoglycaemia-related mortality and compared estimates across countries and over time. RESULTS: Data for proportions were extracted from 109 countries (31 had data from all years analysed [2000-2014] available). Combining all countries, the age-standardised proportion of hypoglycaemia-related deaths was 4.49 (95% CI 4.44, 4.55) per 1000 total diabete</w:t>
      </w:r>
    </w:p>
    <w:p>
      <w:pPr>
        <w:pStyle w:val="Heading2"/>
      </w:pPr>
      <w:r>
        <w:t>783.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2020:</w:t>
      </w:r>
      <w:r>
        <w:t xml:space="preserve"> European heart health survey 2019 — https://doi.org/10.1002/clc.23478</w:t>
      </w:r>
    </w:p>
    <w:p>
      <w:pPr/>
      <w:r>
        <w:rPr>
          <w:b/>
        </w:rPr>
        <w:t>Shared claim-specific concepts:</w:t>
      </w:r>
      <w:r>
        <w:t xml:space="preserve"> driven, awareness, potential; EU scope visible. This is a provisional connection, not an outcome finding.</w:t>
      </w:r>
    </w:p>
    <w:p>
      <w:pPr>
        <w:pStyle w:val="SourceNote"/>
      </w:pPr>
      <w:r>
        <w:rPr>
          <w:b/>
        </w:rPr>
        <w:t>Available abstract (not full text):</w:t>
      </w:r>
      <w:r>
        <w:t xml:space="preserve">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pPr/>
      <w:r>
        <w:rPr>
          <w:b/>
        </w:rPr>
        <w:t>POSSIBLE 2019:</w:t>
      </w:r>
      <w:r>
        <w:t xml:space="preserve"> Social Innovation in Community Energy in Europe: A Review of the Evidence — https://doi.org/10.3389/fenrg.2019.00031</w:t>
      </w:r>
    </w:p>
    <w:p>
      <w:pPr/>
      <w:r>
        <w:rPr>
          <w:b/>
        </w:rPr>
        <w:t>Shared claim-specific concepts:</w:t>
      </w:r>
      <w:r>
        <w:t xml:space="preserve"> production, economy, worldwide;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784.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2022:</w:t>
      </w:r>
      <w:r>
        <w:t xml:space="preserve"> Effects of Immigrants, Health, and Ageing on Economic Growth in the European Union — https://doi.org/10.3390/ijerph20010224</w:t>
      </w:r>
    </w:p>
    <w:p>
      <w:pPr/>
      <w:r>
        <w:rPr>
          <w:b/>
        </w:rPr>
        <w:t>Shared claim-specific concepts:</w:t>
      </w:r>
      <w:r>
        <w:t xml:space="preserve"> population, union, number, modeled; EU scope visible. This is a provisional connection, not an outcome finding.</w:t>
      </w:r>
    </w:p>
    <w:p>
      <w:pPr>
        <w:pStyle w:val="SourceNote"/>
      </w:pPr>
      <w:r>
        <w:rPr>
          <w:b/>
        </w:rPr>
        <w:t>Available abstract (not full text):</w:t>
      </w:r>
      <w:r>
        <w:t xml:space="preserve">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pPr/>
      <w:r>
        <w:rPr>
          <w:b/>
        </w:rPr>
        <w:t>POSSIBLE 2021:</w:t>
      </w:r>
      <w:r>
        <w:t xml:space="preserve"> Unveiling the local determinants of population growth in the European Union — https://doi.org/10.1111/grow.12469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pPr/>
      <w:r>
        <w:rPr>
          <w:b/>
        </w:rPr>
        <w:t>POSSIBLE 2021:</w:t>
      </w:r>
      <w:r>
        <w:t xml:space="preserve"> Determinants of economic growth in the European Union. An empirical analysis of conditional convergence — https://doi.org/10.21272/sec.5(2).26-34.2021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pPr/>
      <w:r>
        <w:rPr>
          <w:b/>
        </w:rPr>
        <w:t>POSSIBLE 2019:</w:t>
      </w:r>
      <w:r>
        <w:t xml:space="preserve"> Taxation and economic growth in the European Union: a quantile approach — https://doi.org/10.33776/rem.v0i51.3909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The available literature on the relationship between taxation and economic growth is mixed, although some consensus exists on the negative effects of some taxes on growth. In this paper we study the relationship between taxation and growth for the European Union in 2004?2016 through a quantile regression approach to detect different patterns along the distribution. The results show a negative effect of the tax burden, with higher impact at the last quantiles, evidencing a non-linear relationship between tax burden and economic growth in the European Union. In contrast, the top corporate tax rate appears as non-significant in this study. In addition, population growth, with negative impact, and investment and human capital, with positive effect, also explain the economic growth in the period.</w:t>
      </w:r>
    </w:p>
    <w:p>
      <w:pPr/>
      <w:r>
        <w:rPr>
          <w:b/>
        </w:rPr>
        <w:t>POSSIBLE 2019:</w:t>
      </w:r>
      <w:r>
        <w:t xml:space="preserve"> ECONOMIC GROWTH PROJECTION FOR EUROPEAN UNION BY 2030 — https://doi.org/10.5755/j01.eis.0.13.23709</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The paper contributes to a discussion on developments in output for the EU-27 group over the next 11 years, up to year 2030. It departs from a discussion on arguments of the production function, with focus on sudden changes to population in Europe, its growth rate and composition. A brief study of population-decreasing events in the European historical perspective may represent an inspiring part. Reasons for inconsistency in estimated parameters of production function for European countries seems to be well-explained this way. The projection for the next 11 years, up to 2030 has employed the production function framework. Parameters have been estimated on the period 2004 – 2016 that matches most closely conditions that one may expect over the projection horizon. Feeding the estimated production function for the 2018-2030 forecast has employed projected population by Eurostat, while private capital investment has been generated by an ARIMA model. Projection is offered in two forms: (1) aggregated real output for the whole EU, and (2) the same category for each of the EU-27 countries.</w:t>
      </w:r>
    </w:p>
    <w:p>
      <w:pPr>
        <w:pStyle w:val="Heading2"/>
      </w:pPr>
      <w:r>
        <w:t>785.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pStyle w:val="Heading2"/>
      </w:pPr>
      <w:r>
        <w:t>786.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2020:</w:t>
      </w:r>
      <w:r>
        <w:t xml:space="preserve"> A primer on model selection using the Akaike Information Criterion — https://doi.org/10.1016/j.idm.2019.12.010</w:t>
      </w:r>
    </w:p>
    <w:p>
      <w:pPr/>
      <w:r>
        <w:rPr>
          <w:b/>
        </w:rPr>
        <w:t>Shared claim-specific concepts:</w:t>
      </w:r>
      <w:r>
        <w:t xml:space="preserve"> then, different; EU scope not established. This is a provisional connection, not an outcome finding.</w:t>
      </w:r>
    </w:p>
    <w:p>
      <w:pPr>
        <w:pStyle w:val="SourceNote"/>
      </w:pPr>
      <w:r>
        <w:rPr>
          <w:b/>
        </w:rPr>
        <w:t>Available abstract (not full text):</w:t>
      </w:r>
      <w:r>
        <w:t xml:space="preserve">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pPr/>
      <w:r>
        <w:rPr>
          <w:b/>
        </w:rPr>
        <w:t>POSSIBLE 2019:</w:t>
      </w:r>
      <w:r>
        <w:t xml:space="preserve"> A note on model selection using information criteria for general linear models estimated using REML — https://doi.org/10.1111/anzs.12254</w:t>
      </w:r>
    </w:p>
    <w:p>
      <w:pPr/>
      <w:r>
        <w:rPr>
          <w:b/>
        </w:rPr>
        <w:t>Shared claim-specific concepts:</w:t>
      </w:r>
      <w:r>
        <w:t xml:space="preserve"> then, used, different, estimates; EU scope not established. This is a provisional connection, not an outcome finding.</w:t>
      </w:r>
    </w:p>
    <w:p>
      <w:pPr>
        <w:pStyle w:val="SourceNote"/>
      </w:pPr>
      <w:r>
        <w:rPr>
          <w:b/>
        </w:rPr>
        <w:t>Available abstract (not full text):</w:t>
      </w:r>
      <w:r>
        <w:t xml:space="preserve">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pPr/>
      <w:r>
        <w:rPr>
          <w:b/>
        </w:rPr>
        <w:t>POSSIBLE 2017:</w:t>
      </w:r>
      <w:r>
        <w:t xml:space="preserve"> Model selection using information criteria, but is the “best” model any good? — https://doi.org/10.1111/1365-2664.13060</w:t>
      </w:r>
    </w:p>
    <w:p>
      <w:pPr/>
      <w:r>
        <w:rPr>
          <w:b/>
        </w:rPr>
        <w:t>Shared claim-specific concepts:</w:t>
      </w:r>
      <w:r>
        <w:t xml:space="preserve"> used, leading; EU scope not established. This is a provisional connection, not an outcome finding.</w:t>
      </w:r>
    </w:p>
    <w:p>
      <w:pPr>
        <w:pStyle w:val="SourceNote"/>
      </w:pPr>
      <w:r>
        <w:rPr>
          <w:b/>
        </w:rPr>
        <w:t>Available abstract (not full text):</w:t>
      </w:r>
      <w:r>
        <w:t xml:space="preserve"> Abstract Information criteria ( IC s) are used widely for data summary and model building in ecology, especially in applied ecology and wildlife management. Although IC s are useful for distinguishing among rival candidate models, IC s do not necessarily indicate whether the “best” model (or a model‐averaged version) is a good representation of the data or whether the model has useful “explanatory” or “predictive” ability. As editors and reviewers, we have seen many submissions that did not evaluate whether the nominal “best” model(s) found using IC is a useful model in the above sense. We scrutinized six leading ecological journals for papers that used IC to compare models. More than half of papers using IC for model comparison did not evaluate the adequacy of the best model(s) in either “explaining” or “predicting” the data. Synthesis and applications . Authors need to evaluate the adequacy of the model identified as the “best” model by using information criteria methods to provide convincing evidence to readers and users that inferences from the best models are useful and reliable.</w:t>
      </w:r>
    </w:p>
    <w:p>
      <w:pPr/>
      <w:r>
        <w:rPr>
          <w:b/>
        </w:rPr>
        <w:t>POSSIBLE 2017:</w:t>
      </w:r>
      <w:r>
        <w:t xml:space="preserve"> AraVec: A set of Arabic Word Embedding Models for use in Arabic NLP — https://doi.org/10.1016/j.procs.2017.10.117</w:t>
      </w:r>
    </w:p>
    <w:p>
      <w:pPr/>
      <w:r>
        <w:rPr>
          <w:b/>
        </w:rPr>
        <w:t>Shared claim-specific concepts:</w:t>
      </w:r>
      <w:r>
        <w:t xml:space="preserve"> used, three, different; EU scope not established. This is a provisional connection, not an outcome finding.</w:t>
      </w:r>
    </w:p>
    <w:p>
      <w:pPr>
        <w:pStyle w:val="SourceNote"/>
      </w:pPr>
      <w:r>
        <w:rPr>
          <w:b/>
        </w:rPr>
        <w:t>Available abstract (not full text):</w:t>
      </w:r>
      <w:r>
        <w:t xml:space="preserve"> Advancements in neural networks have led to developments in fields like computer vision, speech recognition and natural language processing (NLP). One of the most influential recent developments in NLP is the use of word embeddings, where words are represented as vectors in a continuous space, capturing many syntactic and semantic relations among them. AraVec is a pre-trained distributed word representation (word embedding) open source project which aims to provide the Arabic NLP research community with free to use and powerful word embedding models. The first version of AraVec provides six different word embedding models built on top of three different Arabic content domains; Tweets, World Wide Web pages and Wikipedia Arabic articles. The total number of tokens used to build the models amounts to more than 3,300,000,000. This paper describes the resources used for building the models, the employed data cleaning techniques, the carried out preprocessing step, as well as the details of the employed word embedding creation techniques.</w:t>
      </w:r>
    </w:p>
    <w:p>
      <w:pPr/>
      <w:r>
        <w:rPr>
          <w:b/>
        </w:rPr>
        <w:t>POSSIBLE 2017:</w:t>
      </w:r>
      <w:r>
        <w:t xml:space="preserve"> Modelling isoscapes using mixed models — https://doi.org/10.1101/207662</w:t>
      </w:r>
    </w:p>
    <w:p>
      <w:pPr/>
      <w:r>
        <w:rPr>
          <w:b/>
        </w:rPr>
        <w:t>Shared claim-specific concepts:</w:t>
      </w:r>
      <w:r>
        <w:t xml:space="preserve"> used, framework; EU scope visible. This is a provisional connection, not an outcome finding.</w:t>
      </w:r>
    </w:p>
    <w:p>
      <w:pPr>
        <w:pStyle w:val="SourceNote"/>
      </w:pPr>
      <w:r>
        <w:rPr>
          <w:b/>
        </w:rPr>
        <w:t>Available abstract (not full text):</w:t>
      </w:r>
      <w:r>
        <w:t xml:space="preserve"> Isoscapes are maps depicting the continuous spatial (and sometimes temporal) variation in isotope composition. They have various applications ranging from the study of isotope circulation in the main earth systems to the determination of the provenance of migratory animals. Isoscapes can be produced from the fit of statistical models to observations originating from a set of discrete locations. Mixed models are powerful tools for drawing inferences from correlated data. While they are widely used to study non-spatial variation, they are often overlooked in spatial analyses. In particular, they have not been used to study the spatial variation of isotope composition. Here, we introduce this statistical framework and illustrate the methodology by building isoscapes of the isotope composition of hydrogen for precipitation water in Europe. For this example, the approach based on mixed models presents a higher predictive power than a widespread alternative approach. We discuss other advantages offered by mixed models including: the ability to model the residual variance in isotope composition, the quantification of prediction uncertainty, and the simplicity of model comparison and selection using an adequate information criterion: the conditional AIC (cAIC). We provide all source code required for the replication of the results of this paper as a small R package to foster a transpar</w:t>
      </w:r>
    </w:p>
    <w:p>
      <w:pPr/>
      <w:r>
        <w:rPr>
          <w:b/>
        </w:rPr>
        <w:t>POSSIBLE 2017:</w:t>
      </w:r>
      <w:r>
        <w:t xml:space="preserve"> Mining Logs to Model the Use of a System — https://doi.org/10.1109/esem.2017.47</w:t>
      </w:r>
    </w:p>
    <w:p>
      <w:pPr/>
      <w:r>
        <w:rPr>
          <w:b/>
        </w:rPr>
        <w:t>Shared claim-specific concepts:</w:t>
      </w:r>
      <w:r>
        <w:t xml:space="preserve"> used, different; EU scope not established. This is a provisional connection, not an outcome finding.</w:t>
      </w:r>
    </w:p>
    <w:p>
      <w:pPr>
        <w:pStyle w:val="SourceNote"/>
      </w:pPr>
      <w:r>
        <w:rPr>
          <w:b/>
        </w:rPr>
        <w:t>Available abstract (not full text):</w:t>
      </w:r>
      <w:r>
        <w:t xml:space="preserve"> Background. Process mining is a technique to build process models from "execution logs" (i.e., events triggered by the execution of a process). State-of-the-art tools can provide process managers with different graphical representations of such models. Managers use these models to compare them with an ideal process model or to support process improvement. They typically select the representation based on their experience and knowledge of the system. Aim. This work studies how to automatically build process models representing the actual intents (or uses) of users while interacting with a software system. Such intents are expressed as a set of actions performed by a user to a system to achieve specific use goals. Method. This work applies the theory of Hidden Markov Models to mine use logs and automatically model the use of a system. Results. Unlike the models generated with process mining tools, the Hidden Markov Models automatically generated in this study provide the intents of a user and can be used to recommend managers with a faithful representation of the use of their systems. Conclusions. The automatic generation of the Hidden Markov Models can achieve a good level of accuracy in representing the actual user's intents provided the log dataset is carefully chosen. In our study, the information contained in one-month set of logs helped automatically build Hidden Markov Mod</w:t>
      </w:r>
    </w:p>
    <w:p>
      <w:pPr>
        <w:pStyle w:val="Heading2"/>
      </w:pPr>
      <w:r>
        <w:t>787.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projections, highly, uncertain;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2023:</w:t>
      </w:r>
      <w:r>
        <w:t xml:space="preserve"> European projections of West Nile virus transmission under climate change scenarios — https://doi.org/10.1016/j.onehlt.2023.100509</w:t>
      </w:r>
    </w:p>
    <w:p>
      <w:pPr/>
      <w:r>
        <w:rPr>
          <w:b/>
        </w:rPr>
        <w:t>Shared claim-specific concepts:</w:t>
      </w:r>
      <w:r>
        <w:t xml:space="preserve"> climate, projections, area, not; EU scope visible. This is a provisional connection, not an outcome finding.</w:t>
      </w:r>
    </w:p>
    <w:p>
      <w:pPr>
        <w:pStyle w:val="SourceNote"/>
      </w:pPr>
      <w:r>
        <w:rPr>
          <w:b/>
        </w:rPr>
        <w:t>Available abstract (not full text):</w:t>
      </w:r>
      <w:r>
        <w:t xml:space="preserve">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r>
        <w:rPr>
          <w:b/>
        </w:rPr>
        <w:t>POSSIBLE 2023:</w:t>
      </w:r>
      <w:r>
        <w:t xml:space="preserve"> Climate change projections of commercial fish distribution and suitable habitat around north western Europe — https://doi.org/10.1111/faf.12773</w:t>
      </w:r>
    </w:p>
    <w:p>
      <w:pPr/>
      <w:r>
        <w:rPr>
          <w:b/>
        </w:rPr>
        <w:t>Shared claim-specific concepts:</w:t>
      </w:r>
      <w:r>
        <w:t xml:space="preserve"> climate, projections, past; EU scope visible. This is a provisional connection, not an outcome finding.</w:t>
      </w:r>
    </w:p>
    <w:p>
      <w:pPr>
        <w:pStyle w:val="SourceNote"/>
      </w:pPr>
      <w:r>
        <w:rPr>
          <w:b/>
        </w:rPr>
        <w:t>Available abstract (not full text):</w:t>
      </w:r>
      <w:r>
        <w:t xml:space="preserve">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pPr/>
      <w:r>
        <w:rPr>
          <w:b/>
        </w:rPr>
        <w:t>POSSIBLE 2023:</w:t>
      </w:r>
      <w:r>
        <w:t xml:space="preserve"> Climate Change Projections of Agricultural Droughts in Europe: A Comparison between Standardized Drought Indices — https://doi.org/10.5194/ems2023-289</w:t>
      </w:r>
    </w:p>
    <w:p>
      <w:pPr/>
      <w:r>
        <w:rPr>
          <w:b/>
        </w:rPr>
        <w:t>Shared claim-specific concepts:</w:t>
      </w:r>
      <w:r>
        <w:t xml:space="preserve"> climate, projections, precipitation, uncertain, droughts; EU scope visible. This is a provisional connection, not an outcome finding.</w:t>
      </w:r>
    </w:p>
    <w:p>
      <w:pPr>
        <w:pStyle w:val="SourceNote"/>
      </w:pPr>
      <w:r>
        <w:rPr>
          <w:b/>
        </w:rPr>
        <w:t>Available abstract (not full text):</w:t>
      </w:r>
      <w:r>
        <w:t xml:space="preserve">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pPr/>
      <w:r>
        <w:rPr>
          <w:b/>
        </w:rPr>
        <w:t>POSSIBLE 2022:</w:t>
      </w:r>
      <w:r>
        <w:t xml:space="preserve"> Attribution of streamflow changes to future climate projections across Europe — https://doi.org/10.5194/iahs2022-569</w:t>
      </w:r>
    </w:p>
    <w:p>
      <w:pPr/>
      <w:r>
        <w:rPr>
          <w:b/>
        </w:rPr>
        <w:t>Shared claim-specific concepts:</w:t>
      </w:r>
      <w:r>
        <w:t xml:space="preserve"> climate, projections, century, droughts; EU scope visible. This is a provisional connection, not an outcome finding.</w:t>
      </w:r>
    </w:p>
    <w:p>
      <w:pPr>
        <w:pStyle w:val="SourceNote"/>
      </w:pPr>
      <w:r>
        <w:rPr>
          <w:b/>
        </w:rPr>
        <w:t>Available abstract (not full text):</w:t>
      </w:r>
      <w:r>
        <w:t xml:space="preserve"> Ongoing warming strongly influences the water cycle at the regional scale and increases concerns about future streamflow changes with consequences for water availability and potential intensification of hydrological extremes, i.e. floods and droughts. Detecting and identifying controlling factors of future streamflow changes is a key point to understand the hydrological response to changing climate and develop tailored strategies for the water resources management and risk adaption. In this study we investigate the streamflow changes, including extremes, across Europe in the mid (2041-2070) and late (2070-2099) century. We used streamflow simulations from the E-HYPE hydrological model and the EURO-CORDEX climate model projections. The sensitivity of streamflow changes to the climatic factors compared to the reference period (1981-2010) is evaluated with the climatic elasticity method based on the Budyko framework. Moreover, we assess the spatial consistency and uncertainty of the streamflow changes due to the ensemble variability. Results show that the sensitivity of streamflow changes to climatic change varies depending on the climatic gradient and physiographic properties of the domain.</w:t>
      </w:r>
    </w:p>
    <w:p>
      <w:pPr/>
      <w:r>
        <w:rPr>
          <w:b/>
        </w:rPr>
        <w:t>POSSIBLE 2021:</w:t>
      </w:r>
      <w:r>
        <w:t xml:space="preserve"> Climate change and infectious disease in Europe: Impact, projection and adaptation — https://doi.org/10.1016/j.lanepe.2021.100230</w:t>
      </w:r>
    </w:p>
    <w:p>
      <w:pPr/>
      <w:r>
        <w:rPr>
          <w:b/>
        </w:rPr>
        <w:t>Shared claim-specific concepts:</w:t>
      </w:r>
      <w:r>
        <w:t xml:space="preserve"> climate, precipitation, not; EU scope visible. This is a provisional connection, not an outcome finding.</w:t>
      </w:r>
    </w:p>
    <w:p>
      <w:pPr>
        <w:pStyle w:val="SourceNote"/>
      </w:pPr>
      <w:r>
        <w:rPr>
          <w:b/>
        </w:rPr>
        <w:t>Available abstract (not full text):</w:t>
      </w:r>
      <w:r>
        <w:t xml:space="preserve"> Europeans are not only exposed to direct effects from climate change, but also vulnerable to indirect effects from infectious disease, many of which are climate sensitive, which is of concern because of their epidemic potential. Climatic conditions have facilitated vector-borne disease outbreaks like chikungunya, dengue, and West Nile fever and have contributed to a geographic range expansion of tick vectors that transmit Lyme disease and tick-borne encephalitis. Extreme precipitation events have caused waterborne outbreaks and longer summer seasons have contributed to increases in foodborne diseases. Under the Green Deal, The European Union aims to support climate change health policy, in order to be better prepared for the next health security threat, particularly in the aftermath of the traumatic COVID-19 experience. To bolster this policy process we discuss climate change-related hazards, exposures and vulnerabilities to infectious disease and describe observed impacts, projected risks, with policy entry points for adaptation to reduce these risks or avoid them altogether.</w:t>
      </w:r>
    </w:p>
    <w:p>
      <w:pPr/>
      <w:r>
        <w:rPr>
          <w:b/>
        </w:rPr>
        <w:t>POSSIBLE 2021:</w:t>
      </w:r>
      <w:r>
        <w:t xml:space="preserve"> How does the CMIP6 ensemble change the picture for European climate projections? — https://doi.org/10.1088/1748-9326/ac1ed9</w:t>
      </w:r>
    </w:p>
    <w:p>
      <w:pPr/>
      <w:r>
        <w:rPr>
          <w:b/>
        </w:rPr>
        <w:t>Shared claim-specific concepts:</w:t>
      </w:r>
      <w:r>
        <w:t xml:space="preserve"> climate, projections, warmer, temperatures, precipitation; EU scope visible. This is a provisional connection, not an outcome finding.</w:t>
      </w:r>
    </w:p>
    <w:p>
      <w:pPr>
        <w:pStyle w:val="SourceNote"/>
      </w:pPr>
      <w:r>
        <w:rPr>
          <w:b/>
        </w:rPr>
        <w:t>Available abstract (not full text):</w:t>
      </w:r>
      <w:r>
        <w:t xml:space="preserve">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pPr/>
      <w:r>
        <w:rPr>
          <w:b/>
        </w:rPr>
        <w:t>POSSIBLE 2021:</w:t>
      </w:r>
      <w:r>
        <w:t xml:space="preserve"> High-resolution projections of the aridity in Europe under climate change — https://doi.org/10.1016/b978-0-12-822184-6.00009-0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788.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2023:</w:t>
      </w:r>
      <w:r>
        <w:t xml:space="preserve"> Decoding ChatGPT: A taxonomy of existing research, current challenges, and possible future directions — https://doi.org/10.1016/j.jksuci.2023.101675</w:t>
      </w:r>
    </w:p>
    <w:p>
      <w:pPr/>
      <w:r>
        <w:rPr>
          <w:b/>
        </w:rPr>
        <w:t>Shared claim-specific concepts:</w:t>
      </w:r>
      <w:r>
        <w:t xml:space="preserve"> possible, directions; EU scope not established. This is a provisional connection, not an outcome finding.</w:t>
      </w:r>
    </w:p>
    <w:p>
      <w:pPr>
        <w:pStyle w:val="SourceNote"/>
      </w:pPr>
      <w:r>
        <w:rPr>
          <w:b/>
        </w:rPr>
        <w:t>Available abstract (not full text):</w:t>
      </w:r>
      <w:r>
        <w:t xml:space="preserve">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pPr/>
      <w:r>
        <w:rPr>
          <w:b/>
        </w:rPr>
        <w:t>POSSIBLE 2023:</w:t>
      </w:r>
      <w:r>
        <w:t xml:space="preserve"> Directions and risks for the recovery of Ukraine in the context of European integration during the recovery period — https://doi.org/10.24144/2788-6018.2023.03.15</w:t>
      </w:r>
    </w:p>
    <w:p>
      <w:pPr/>
      <w:r>
        <w:rPr>
          <w:b/>
        </w:rPr>
        <w:t>Shared claim-specific concepts:</w:t>
      </w:r>
      <w:r>
        <w:t xml:space="preserve"> analyzes, possible, directions, terms, adaptation, domestic; EU scope visible. This is a provisional connection, not an outcome finding.</w:t>
      </w:r>
    </w:p>
    <w:p>
      <w:pPr>
        <w:pStyle w:val="SourceNote"/>
      </w:pPr>
      <w:r>
        <w:rPr>
          <w:b/>
        </w:rPr>
        <w:t>Available abstract (not full text):</w:t>
      </w:r>
      <w:r>
        <w:t xml:space="preserve">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pPr/>
      <w:r>
        <w:rPr>
          <w:b/>
        </w:rPr>
        <w:t>POSSIBLE 2023:</w:t>
      </w:r>
      <w:r>
        <w:t xml:space="preserve"> Legal Regulation of the Status of Ukrainian Refugees in the European Union: Prospective Directions Concerning Reform — https://doi.org/10.52244/c.2023.11.10</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The report is devoted to the important topic of modern migration policy and legal regulation of the status of refugees from Ukraine in the context of European integration. In connection with the complex events on the territory of Ukraine and the rapid increase in the number of Ukrainian refugees, new challenges and opportunities are opening up for their legal status and integration into the countries of the European Union. The report analyzes the current state of legal regulation of the status of Ukrainian refugees in the European Union and identifies the problems faced by these refugees. Next, the article highlights promising directions and possible ways of reforming and improving this legal regulation with the aim of ensuring better protection of the rights and interests of Ukrainian refugees, as well as promoting their effective integration into European society. One of the key directions is to improve procedures for assessing refugee status, reduce administrative barriers to obtaining this status, and establish fast and effective appeal mechanisms. It is also important to consider the possibility of expanding the list of bases on the basis of which refugee status can be granted, taking into account the specific situations faced by Ukrainian refugees. The next important aspect is the support and integration of refugees once they have been granted status. This includes provid</w:t>
      </w:r>
    </w:p>
    <w:p>
      <w:pPr/>
      <w:r>
        <w:rPr>
          <w:b/>
        </w:rPr>
        <w:t>POSSIBLE 2022:</w:t>
      </w:r>
      <w:r>
        <w:t xml:space="preserve"> Directions of green transformation of the European Union countries — https://doi.org/10.1016/j.ecolind.2022.108601</w:t>
      </w:r>
    </w:p>
    <w:p>
      <w:pPr/>
      <w:r>
        <w:rPr>
          <w:b/>
        </w:rPr>
        <w:t>Shared claim-specific concepts:</w:t>
      </w:r>
      <w:r>
        <w:t xml:space="preserve"> directions, different, energy; EU scope visible. This is a provisional connection, not an outcome finding.</w:t>
      </w:r>
    </w:p>
    <w:p>
      <w:pPr>
        <w:pStyle w:val="SourceNote"/>
      </w:pPr>
      <w:r>
        <w:rPr>
          <w:b/>
        </w:rPr>
        <w:t>Available abstract (not full text):</w:t>
      </w:r>
      <w:r>
        <w:t xml:space="preserve"> Green transformation has become one of the most important directions in the further development of the world. It involves the development of green technologies and the creation of legal regulations enforcing, for example, saving energy or reducing the emissions of greenhouse gases, as well as any other activities aimed at changing society’s attitude towards the acceptance of – frequently more expensive but more environment-friendly – technological solutions and legal norms. Thus green transformation can be defined as combining economic growth with caring about the environment in order to guarantee a high quality of life for present and future generations at the level which is attainable due to civilisational development, as well as to an effective and rational use of the available resources. Still, there is no single globally accepted way to this transformation. It is proceeding in a variety of ways and depends on many different factors. The main purpose of the paper is a comparative analysis of the directions of changes occurring in the process of green transformation in EU countries. The added value of the research presented in the paper and its novelty is the analysis of the current patterns of green transformation in EU countries. The paper concentrated on recognizing them and drawing attention to the unfavourable directions of this transformation as well as to its positive</w:t>
      </w:r>
    </w:p>
    <w:p>
      <w:pPr/>
      <w:r>
        <w:rPr>
          <w:b/>
        </w:rPr>
        <w:t>POSSIBLE 2022:</w:t>
      </w:r>
      <w:r>
        <w:t xml:space="preserve"> 11.A. Workshop: Leveraging meso-level data to advance population health in Europe: further directions — https://doi.org/10.1093/eurpub/ckac129.687</w:t>
      </w:r>
    </w:p>
    <w:p>
      <w:pPr/>
      <w:r>
        <w:rPr>
          <w:b/>
        </w:rPr>
        <w:t>Shared claim-specific concepts:</w:t>
      </w:r>
      <w:r>
        <w:t xml:space="preserve"> possible, directions, terms, conditions; EU scope visible. This is a provisional connection, not an outcome finding.</w:t>
      </w:r>
    </w:p>
    <w:p>
      <w:pPr>
        <w:pStyle w:val="SourceNote"/>
      </w:pPr>
      <w:r>
        <w:rPr>
          <w:b/>
        </w:rPr>
        <w:t>Available abstract (not full text):</w:t>
      </w:r>
      <w:r>
        <w:t xml:space="preserve"> Abstract Health services and public health researchers provide timely and critical evidence to answer real-world policy questions and work extensively with policymakers at the macro, meso and micro levels of government. One goal shared by researchers and policymakers is to foster evidence-informed policy and program development to ensure that policy initiatives provide the greatest benefit possible to individuals and society. Among other sources of data, meso-level datasets are usually comprising contextual data aggregated at various geographical areas such as cities, counties, and regions. Although meso-level data are sometimes used as proxies for individual level data, they can also be used to explore complex questions at the population level. This workshop aims to provide a unique, interprofessional, European conversation about how to translate meso-level research evidence into meaningful insights or recommendations. It brings together a group of high-level people from academia, think tanks, and companies who are involved in generating, transferring, or using meso-level evidence to inform public health and health care policy in Germany and France. In the first presentation, Schüttig et al. use district-level data from Germany to suggest that increased spending and improved continuity of care may be effective ways to reduce the rate of potentially avoidable hospitalizations a</w:t>
      </w:r>
    </w:p>
    <w:p>
      <w:pPr/>
      <w:r>
        <w:rPr>
          <w:b/>
        </w:rPr>
        <w:t>POSSIBLE 2022:</w:t>
      </w:r>
      <w:r>
        <w:t xml:space="preserve"> The Conference on the Future of Europe: possible scenarios of the forthcoming European Perestroika — https://doi.org/10.21128/1812-7126-2022-1-14-42</w:t>
      </w:r>
    </w:p>
    <w:p>
      <w:pPr/>
      <w:r>
        <w:rPr>
          <w:b/>
        </w:rPr>
        <w:t>Shared claim-specific concepts:</w:t>
      </w:r>
      <w:r>
        <w:t xml:space="preserve"> possible, directions, different; EU scope visible. This is a provisional connection, not an outcome finding.</w:t>
      </w:r>
    </w:p>
    <w:p>
      <w:pPr>
        <w:pStyle w:val="SourceNote"/>
      </w:pPr>
      <w:r>
        <w:rPr>
          <w:b/>
        </w:rPr>
        <w:t>Available abstract (not full text):</w:t>
      </w:r>
      <w:r>
        <w:t xml:space="preserve"> A Pan-European discussion on the future of Europe was officially initiated by European authorities after Brexit — the shocking decision by the UK to withdraw from the European Union after its referendum of June 23, 2016. This debate covered all the most vital aspects of the European integration project: the nature of European identity, the prospects for integration, democracy deficits, the future of multi-layer constitutionalism, mechanisms of power and the decision-making process, conflicts between European institutions and national governments and elites, and the problem of uneven European leadership. At the core of the debate is the question of the legitimacy of the whole integration project — the eroding support for that idea in society and among elites and experts; the growing divide between Euro-optimist, Euro-pessimist, and Euro-realist trends; and the varying interpretations of an “ever closer union”.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 In some way, this problem-set is similar to that of the Soviet Union</w:t>
      </w:r>
    </w:p>
    <w:p>
      <w:pPr/>
      <w:r>
        <w:rPr>
          <w:b/>
        </w:rPr>
        <w:t>POSSIBLE 2022:</w:t>
      </w:r>
      <w:r>
        <w:t xml:space="preserve"> Strategies of European Energy Producers: Directions of Evolution — https://doi.org/10.3390/en15020609</w:t>
      </w:r>
    </w:p>
    <w:p>
      <w:pPr/>
      <w:r>
        <w:rPr>
          <w:b/>
        </w:rPr>
        <w:t>Shared claim-specific concepts:</w:t>
      </w:r>
      <w:r>
        <w:t xml:space="preserve"> directions, sector, energy, climate; EU scope visible. This is a provisional connection, not an outcome finding.</w:t>
      </w:r>
    </w:p>
    <w:p>
      <w:pPr>
        <w:pStyle w:val="SourceNote"/>
      </w:pPr>
      <w:r>
        <w:rPr>
          <w:b/>
        </w:rPr>
        <w:t>Available abstract (not full text):</w:t>
      </w:r>
      <w:r>
        <w:t xml:space="preserve"> The article presents an innovative method of analyzing energy companies’ strategies, which aims to identify the strategic orientation of the entities subject to the research and, thus, to initially define the directions of strategic changes in the analyzed sector. The aim of the research, the results of which were used in this publication, was to identify the features of energy sector companies’ strategies in the European Union in the period of sector transformation caused by the new climate policy. The analysis area is the energy sector, i.e., the sector whose fundamental strategic goal is energy production. The research used a critical analysis of the subject literature and desk research method with the use of the researchers’ own analytical equipment, developed for the needs of this analysis. It was assumed in the conducted research that the primary source of information in the empirical study, the information subject to subsequent analysis, was the analysis of official documents (strategies, financial reports, etc.) posted on the websites of the surveyed corporations. The research results indicate the dominance of the resource-based approach in implementing strategic postulates of the surveyed companies. Nevertheless, the operational activity focuses on the implementation of innovative solutions towards decarbonization and climate neutrality.</w:t>
      </w:r>
    </w:p>
    <w:p>
      <w:pPr/>
      <w:r>
        <w:rPr>
          <w:b/>
        </w:rPr>
        <w:t>POSSIBLE 2022:</w:t>
      </w:r>
      <w:r>
        <w:t xml:space="preserve"> Short Food Supply Chains in Europe: Scientific Research Directions — https://doi.org/10.3390/su14063602</w:t>
      </w:r>
    </w:p>
    <w:p>
      <w:pPr/>
      <w:r>
        <w:rPr>
          <w:b/>
        </w:rPr>
        <w:t>Shared claim-specific concepts:</w:t>
      </w:r>
      <w:r>
        <w:t xml:space="preserve"> directions, sector, performed;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2022:</w:t>
      </w:r>
      <w:r>
        <w:t xml:space="preserve"> CURRENT STATE AND DIRECTIONS OF INTEGRATION OF UKRAINE’S PENSION SYSTEM INTO THE EUROPEAN AND WORLD PENSION SYSTEM — https://doi.org/10.30525/978-9934-26-193-0-6</w:t>
      </w:r>
    </w:p>
    <w:p>
      <w:pPr/>
      <w:r>
        <w:rPr>
          <w:b/>
        </w:rPr>
        <w:t>Shared claim-specific concepts:</w:t>
      </w:r>
      <w:r>
        <w:t xml:space="preserve"> possible, directions, conditions; EU scope visible. This is a provisional connection, not an outcome finding.</w:t>
      </w:r>
    </w:p>
    <w:p>
      <w:pPr>
        <w:pStyle w:val="SourceNote"/>
      </w:pPr>
      <w:r>
        <w:rPr>
          <w:b/>
        </w:rPr>
        <w:t>Available abstract (not full text):</w:t>
      </w:r>
      <w:r>
        <w:t xml:space="preserve"> In Ukraine, the problem of building an effective system of social protection that can respond quickly to modern economic processes, provide citizens with a decent life, guarantee pensions and other social benefits at the level of market realities and state social standards remains one of the important objectives of public policy. The subject of the study is the pension insurance system in Ukraine, the activities of insurance companies in the pension system. The aim of the research is to study the theoretical foundations and practical aspects of pension insurance, the functioning of the Pension Fund of Ukraine and private pension funds, the formation and use of their funds and justify possible ways to improve the pension insurance system in Ukraine. to international standards. In accordance with the set goal, the following tasks were identified: to characterize the theoretical foundations of the functioning and development of pension insurance in Ukraine; to study the experience of reforming the pension systems of foreign countries, to analyze the current state of the pension system in Ukraine; to characterize the problems of development of non-state pension insurance and to develop measures to intensify pension insurance programs taking into account international experience; to determine the directions of integration of the pension system of Ukraine into the European and world </w:t>
      </w:r>
    </w:p>
    <w:p>
      <w:pPr/>
      <w:r>
        <w:rPr>
          <w:b/>
        </w:rPr>
        <w:t>POSSIBLE 2021:</w:t>
      </w:r>
      <w:r>
        <w:t xml:space="preserve"> New Energy Policy Directions in the European Union Developing the Concept of Smart Cities — https://doi.org/10.3390/smartcities4010015</w:t>
      </w:r>
    </w:p>
    <w:p>
      <w:pPr/>
      <w:r>
        <w:rPr>
          <w:b/>
        </w:rPr>
        <w:t>Shared claim-specific concepts:</w:t>
      </w:r>
      <w:r>
        <w:t xml:space="preserve"> directions, different, technology, energy, conditions, climate; EU scope visible. This is a provisional connection, not an outcome finding.</w:t>
      </w:r>
    </w:p>
    <w:p>
      <w:pPr>
        <w:pStyle w:val="SourceNote"/>
      </w:pPr>
      <w:r>
        <w:rPr>
          <w:b/>
        </w:rPr>
        <w:t>Available abstract (not full text):</w:t>
      </w:r>
      <w:r>
        <w:t xml:space="preserve"> In the context of the European Union promoting clean energy, sustainability and better living conditions for its citizens, the development of smarts cities is an initiative supported at the European Union level, in line with the new energy policies of the European Union promoted by the package “Clean Energy for All Europeans”. The concept of smart cities gains increasing importance in the European Union, a fact that is reflected in the project “European Innovation Partnership on Smart Cities and Communities” of the European Commission. Smart cities are a practical example of how the new energy policies shape the lives of the European Union citizens, trying to improve it. As a consequence, new business models arise in big cities, involving the use of technology for better living conditions. These new, technology-based business models are important, as they improve the life quality of the inhabitants, they reduce the climate change impact, and they contribute as well to job creation in the IT-industry, promoting innovation. They have as well a social impact, as they bring experts from energy policies, business, economics, legal and IT together in order to project a new type of city—the smart city. The research hypothesis of the present article is that there is a high acceptance towards the concept of smart cities at the European Union level and that this concept could be implemen</w:t>
      </w:r>
    </w:p>
    <w:p>
      <w:pPr/>
      <w:r>
        <w:rPr>
          <w:b/>
        </w:rPr>
        <w:t>POSSIBLE 2020:</w:t>
      </w:r>
      <w:r>
        <w:t xml:space="preserve"> Analyzing Similarities between the European Union Countries in Terms of the Structure and Volume of Energy Production from Renewable Energy Sources — https://doi.org/10.3390/en13040913</w:t>
      </w:r>
    </w:p>
    <w:p>
      <w:pPr/>
      <w:r>
        <w:rPr>
          <w:b/>
        </w:rPr>
        <w:t>Shared claim-specific concepts:</w:t>
      </w:r>
      <w:r>
        <w:t xml:space="preserve"> possible, directions, sector, terms, energy, domestic; EU scope visible. This is a provisional connection, not an outcome finding.</w:t>
      </w:r>
    </w:p>
    <w:p>
      <w:pPr>
        <w:pStyle w:val="SourceNote"/>
      </w:pPr>
      <w:r>
        <w:rPr>
          <w:b/>
        </w:rPr>
        <w:t>Available abstract (not full text):</w:t>
      </w:r>
      <w:r>
        <w:t xml:space="preserve"> The European Union (EU) countries, as one of the most economically developed regions in the world, are taking increasingly decisive actions to reduce the emission of harmful substances into the natural environment. This can be exemplified by a new climate strategy referred to as “The European Green Deal”. Its basic assumption is that the EU countries will have achieved climate neutrality by 2050. To do so, it is necessary to make an energy transition involving the widest possible use of renewable energy sources (RES) for energy production. However, activities in this area should be preceded by analyses due to the large diversity of the EU countries in terms of economic development, the number of inhabitants and their wealth as well as geographical location and area. The results of such analyses should support the implementation of adopted strategies. In order to assess the current state of the energy sector in the EU and indicate future directions of activities, research was carried out to analyze the structure and volume of energy production from RES in the EU countries. The aim of the study was to divide the EU countries into similar groups by the structure and volume of energy production from RES. This production was compared with the number of inhabitants of each EU country, its area and the value of Gross Domestic Product (GDP). This approach allows a new and broader view </w:t>
      </w:r>
    </w:p>
    <w:p>
      <w:pPr>
        <w:pStyle w:val="Heading2"/>
      </w:pPr>
      <w:r>
        <w:t>789.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2022:</w:t>
      </w:r>
      <w:r>
        <w:t xml:space="preserve"> Health Inequalities: To What Extent are Decision-Makers and Economic Evaluations on the Same Page? An English Case Study — https://doi.org/10.1007/s40258-022-00739-8</w:t>
      </w:r>
    </w:p>
    <w:p>
      <w:pPr/>
      <w:r>
        <w:rPr>
          <w:b/>
        </w:rPr>
        <w:t>Shared claim-specific concepts:</w:t>
      </w:r>
      <w:r>
        <w:t xml:space="preserve"> extent, case, explore, within, evolved; EU scope not established. This is a provisional connection, not an outcome finding.</w:t>
      </w:r>
    </w:p>
    <w:p>
      <w:pPr>
        <w:pStyle w:val="SourceNote"/>
      </w:pPr>
      <w:r>
        <w:rPr>
          <w:b/>
        </w:rPr>
        <w:t>Available abstract (not full text):</w:t>
      </w:r>
      <w:r>
        <w:t xml:space="preserve">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pPr/>
      <w:r>
        <w:rPr>
          <w:b/>
        </w:rPr>
        <w:t>POSSIBLE 2022:</w:t>
      </w:r>
      <w:r>
        <w:t xml:space="preserve"> Determinants of the extent and quality of corporate social responsibility disclosure in the industrial and services sectors: the case of Jordan — https://doi.org/10.1108/jfra-05-2021-0133</w:t>
      </w:r>
    </w:p>
    <w:p>
      <w:pPr/>
      <w:r>
        <w:rPr>
          <w:b/>
        </w:rPr>
        <w:t>Shared claim-specific concepts:</w:t>
      </w:r>
      <w:r>
        <w:t xml:space="preserve"> extent, case, authors, corporate; EU scope not established. This is a provisional connection, not an outcome finding.</w:t>
      </w:r>
    </w:p>
    <w:p>
      <w:pPr>
        <w:pStyle w:val="SourceNote"/>
      </w:pPr>
      <w:r>
        <w:rPr>
          <w:b/>
        </w:rPr>
        <w:t>Available abstract (not full text):</w:t>
      </w:r>
      <w:r>
        <w:t xml:space="preserve">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pPr/>
      <w:r>
        <w:rPr>
          <w:b/>
        </w:rPr>
        <w:t>POSSIBLE 2022:</w:t>
      </w:r>
      <w:r>
        <w:t xml:space="preserve"> Assessing annual thermal comfort extent in central courtyards: Baghdad as a case study — https://doi.org/10.1108/sasbe-09-2021-0154</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pPr/>
      <w:r>
        <w:rPr>
          <w:b/>
        </w:rPr>
        <w:t>POSSIBLE 2021:</w:t>
      </w:r>
      <w:r>
        <w:t xml:space="preserve"> Pathways to Sexual Assault Case Attrition: Culture, Context, and Case Clearance — https://doi.org/10.1080/15564886.2021.1970661</w:t>
      </w:r>
    </w:p>
    <w:p>
      <w:pPr/>
      <w:r>
        <w:rPr>
          <w:b/>
        </w:rPr>
        <w:t>Shared claim-specific concepts:</w:t>
      </w:r>
      <w:r>
        <w:t xml:space="preserve"> considers, extent, case, context; EU scope not established. This is a provisional connection, not an outcome finding.</w:t>
      </w:r>
    </w:p>
    <w:p>
      <w:pPr>
        <w:pStyle w:val="SourceNote"/>
      </w:pPr>
      <w:r>
        <w:rPr>
          <w:b/>
        </w:rPr>
        <w:t>Available abstract (not full text):</w:t>
      </w:r>
      <w:r>
        <w:t xml:space="preserve"> Sexual assault case attrition research has been consistent in documenting that sexual assault complaints fall out of the system at disturbing rates. In this article, we describe a pathway to attrition where managerial concerns incentivize case processing outcomes that remove cases early in the system and scaffolds a decision-making context where rape myth adherence provides sustained rationalizations for closing cases. Using data on sexual assault incidents reported to the police, we present a quantitative analysis that investigates such a pathway to attrition that considers how police and prosecutors work together at the pre-arrest stage and the extent to which this practice facilitates the use of exceptional clearance police classification to close sexual assault investigations.</w:t>
      </w:r>
    </w:p>
    <w:p>
      <w:pPr/>
      <w:r>
        <w:rPr>
          <w:b/>
        </w:rPr>
        <w:t>POSSIBLE 2019:</w:t>
      </w:r>
      <w:r>
        <w:t xml:space="preserve"> 7. Using cases — https://doi.org/10.1093/he/9780198831273.003.0007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the means by which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2018:</w:t>
      </w:r>
      <w:r>
        <w:t xml:space="preserve"> An extent analysis of 3PL provider selection criteria: A case on Turkey cement sector — https://doi.org/10.1080/23311975.2018.1469183</w:t>
      </w:r>
    </w:p>
    <w:p>
      <w:pPr/>
      <w:r>
        <w:rPr>
          <w:b/>
        </w:rPr>
        <w:t>Shared claim-specific concepts:</w:t>
      </w:r>
      <w:r>
        <w:t xml:space="preserve"> considers, extent, case; EU scope not established. This is a provisional connection, not an outcome finding.</w:t>
      </w:r>
    </w:p>
    <w:p>
      <w:pPr>
        <w:pStyle w:val="SourceNote"/>
      </w:pPr>
      <w:r>
        <w:rPr>
          <w:b/>
        </w:rPr>
        <w:t>Available abstract (not full text):</w:t>
      </w:r>
      <w:r>
        <w:t xml:space="preserve"> Outsourcing has become an increasingly popular means for businesses to improve their efficiency. Logistics outsourcing can be described as transferring some of the logistics functions to an external firm. This paper aims to identify the selection criteria that are used by logistics service providers in Turkey’s cement sector in choosing the third-party service provider. By drawing focus on Chang’s Extent Analysis on Fuzzy Analytical Hierarchy Process (FAHP), the present paper evaluates cost, service/operation quality, competencies, general attributes of firms and relational factors as the main criteria, and considers explanatory 29 sub-criteria. In doing so, a questionnaire that was prepared in the pairwise comparison model was used as a large sample to collect data from a total of 25 experts working in 14 cement companies. As a result, the analysis identifies service/operation quality as the most important one among the main criteria, and determines the service price as the most preferred criterion among the sub-criteria. The study and results both provides particular insight into a specific sector as it is based on the data collected from a large number of experts in one sector, and offers an opportunity for other sectors from the same point of view.</w:t>
      </w:r>
    </w:p>
    <w:p>
      <w:pPr/>
      <w:r>
        <w:rPr>
          <w:b/>
        </w:rPr>
        <w:t>POSSIBLE 2018:</w:t>
      </w:r>
      <w:r>
        <w:t xml:space="preserve"> The Nature of Theology and the Extent of the Atonement — https://doi.org/10.2478/perc-2018-0020</w:t>
      </w:r>
    </w:p>
    <w:p>
      <w:pPr/>
      <w:r>
        <w:rPr>
          <w:b/>
        </w:rPr>
        <w:t>Shared claim-specific concepts:</w:t>
      </w:r>
      <w:r>
        <w:t xml:space="preserve"> considers, extent, case, explore, reference, context; EU scope not established. This is a provisional connection, not an outcome finding.</w:t>
      </w:r>
    </w:p>
    <w:p>
      <w:pPr>
        <w:pStyle w:val="SourceNote"/>
      </w:pPr>
      <w:r>
        <w:rPr>
          <w:b/>
        </w:rPr>
        <w:t>Available abstract (not full text):</w:t>
      </w:r>
      <w:r>
        <w:t xml:space="preserve"> Abstract This article considers the post-Reformation debates over the extent of the Atonement. It traces the origins of these debates from the articles of the Arminian Remonstrance of 1610 through the declarations of the supporters of the Synod of Dort in 1618-19. The debate is then considered in relation to an English Baptist context, and specifically the exegetical dispute over the meaning of the word ‘all’ in 2 Corinthians 5:14-15 and Romans 3:23-4. Three options are examined and the various difficulties in arbitrating between these various interpretations. Recognising these difficulties, the article goes on to explore the relationship between scriptural exegesis and theology with reference to the formulation of the ecumenical doctrine of the Trinity in the fourth century. It argues that while theology should always attempt to be consistent with the exegetical data on occasion it proves inconclusive, as in the case of the debate over the extent of the atonement. In such cases the role of theology becomes one of mediation as it seeks a way of reading the texts of Scripture that allows them to be heard without contradicting each other. Again, this is illustrated from the fourth century and the Christology of Basil of Caesarea and Gregory of Nyssa. Returning to the question of atonement with this understanding of the task of theology the article seeks to propose a way to reconc</w:t>
      </w:r>
    </w:p>
    <w:p>
      <w:pPr/>
      <w:r>
        <w:rPr>
          <w:b/>
        </w:rPr>
        <w:t>POSSIBLE 2017:</w:t>
      </w:r>
      <w:r>
        <w:t xml:space="preserve"> The Extent and Implications of the Microclimatic Conditions in the Urban Environment: A Vienna Case Study — https://doi.org/10.3390/su9020177</w:t>
      </w:r>
    </w:p>
    <w:p>
      <w:pPr/>
      <w:r>
        <w:rPr>
          <w:b/>
        </w:rPr>
        <w:t>Shared claim-specific concepts:</w:t>
      </w:r>
      <w:r>
        <w:t xml:space="preserve"> extent, case, conditions; EU scope visible. This is a provisional connection, not an outcome finding.</w:t>
      </w:r>
    </w:p>
    <w:p>
      <w:pPr>
        <w:pStyle w:val="SourceNote"/>
      </w:pPr>
      <w:r>
        <w:rPr>
          <w:b/>
        </w:rPr>
        <w:t>Available abstract (not full text):</w:t>
      </w:r>
      <w:r>
        <w:t xml:space="preserve"> Recent challenges in the realm of urban studies concern better understanding of microclimatic conditions. Changes in urban climate affect cities at local and global scales, with consequences for human health, thermal comfort, building energy use, and anthropogenic emissions. The extent of these impacts may vary due to different morphologies and materials of the built environment. The present contribution summarizes the results of a multi-year effort concerned with the extent and implications of urban heat in Vienna, Austria. For this purpose, high-resolution weather data across six locations are obtained and analyzed. This allowed for an objective assessment of urban-level climatic circumstances across distinct low-density and high-density typologies. Subsequently, a systematic framework was developed for identification of essential properties of the built environment (geometric and material-related) that are hypothesized to influence microclimate variation. Results point to a number of related (positive and negative) correlations with microclimatic tendencies. Additionally, the impact of this location-specific weather data on building performance simulation results is evaluated. The results suggest that buildings' thermal performance is significantly influenced by location-specific microclimatic conditions with variation of mean annual heating load across locations of up to 16</w:t>
      </w:r>
    </w:p>
    <w:p>
      <w:pPr/>
      <w:r>
        <w:rPr>
          <w:b/>
        </w:rPr>
        <w:t>POSSIBLE 2017:</w:t>
      </w:r>
      <w:r>
        <w:t xml:space="preserve"> The extent of female unpaid work in India: A case of rural agricultural households — https://doi.org/10.18356/5e29aba4-en</w:t>
      </w:r>
    </w:p>
    <w:p>
      <w:pPr/>
      <w:r>
        <w:rPr>
          <w:b/>
        </w:rPr>
        <w:t>Shared claim-specific concepts:</w:t>
      </w:r>
      <w:r>
        <w:t xml:space="preserve"> considers, extent, case, context; EU scope not established. This is a provisional connection, not an outcome finding.</w:t>
      </w:r>
    </w:p>
    <w:p>
      <w:pPr>
        <w:pStyle w:val="SourceNote"/>
      </w:pPr>
      <w:r>
        <w:rPr>
          <w:b/>
        </w:rPr>
        <w:t>Available abstract (not full text):</w:t>
      </w:r>
      <w:r>
        <w:t xml:space="preserve"> This study analyses the extent and nature of female unpaid work in the context of rural households in India. In particular, the study looks at the relationship between land ownership and the extent of domestic duties performed by females, adjusted by family size, in rural agricultural households. Further, the study considers the role of socioeconomic and socio-religious class and the engagement of women in domestic duties. The study uses the Indian National Sample Survey quinquennial round of employment and unemployment survey data for the period 2011-2012. To find out the relationship between various land ownership modalities and domestic duties performed by females, the study makes use of the fractional logit regression model. The empirical result suggests that there is a greater probability of more women workers getting involved in unpaid work as the land-ownership size of the household increases. Further, it is seen that the probability that females engaged in unpaid work is greater for those in casual agricultural households with large land cultivated than for those who are in self-employed households. The study finds that the proportion of rural women engaged in domestic duties is 34 per cent, and the majority of them want to work either on a regular or part-time basis (74 per cent) as well as be able to attend to domestic duties. These results suggest that more effective</w:t>
      </w:r>
    </w:p>
    <w:p>
      <w:pPr>
        <w:pStyle w:val="Heading2"/>
      </w:pPr>
      <w:r>
        <w:t>790.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2023:</w:t>
      </w:r>
      <w:r>
        <w:t xml:space="preserve"> Morocco’s Quest for Stronger and Inclusive Growth — https://doi.org/10.5089/9798400225406.071</w:t>
      </w:r>
    </w:p>
    <w:p>
      <w:pPr/>
      <w:r>
        <w:rPr>
          <w:b/>
        </w:rPr>
        <w:t>Shared claim-specific concepts:</w:t>
      </w:r>
      <w:r>
        <w:t xml:space="preserve"> stronger, not, but; EU scope not established. This is a provisional connection, not an outcome finding.</w:t>
      </w:r>
    </w:p>
    <w:p>
      <w:pPr>
        <w:pStyle w:val="SourceNote"/>
      </w:pPr>
      <w:r>
        <w:rPr>
          <w:b/>
        </w:rPr>
        <w:t>Available abstract (not full text):</w:t>
      </w:r>
      <w:r>
        <w:t xml:space="preserve">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pPr/>
      <w:r>
        <w:rPr>
          <w:b/>
        </w:rPr>
        <w:t>POSSIBLE 2023:</w:t>
      </w:r>
      <w:r>
        <w:t xml:space="preserve"> Strong Inhibition of Ice Growth by Biomimetic Crowding Coacervates — https://doi.org/10.1002/anie.202311047</w:t>
      </w:r>
    </w:p>
    <w:p>
      <w:pPr/>
      <w:r>
        <w:rPr>
          <w:b/>
        </w:rPr>
        <w:t>Shared claim-specific concepts:</w:t>
      </w:r>
      <w:r>
        <w:t xml:space="preserve"> not, activity, strong, but; EU scope not established. This is a provisional connection, not an outcome finding.</w:t>
      </w:r>
    </w:p>
    <w:p>
      <w:pPr>
        <w:pStyle w:val="SourceNote"/>
      </w:pPr>
      <w:r>
        <w:rPr>
          <w:b/>
        </w:rPr>
        <w:t>Available abstract (not full text):</w:t>
      </w:r>
      <w:r>
        <w:t xml:space="preserve">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pPr/>
      <w:r>
        <w:rPr>
          <w:b/>
        </w:rPr>
        <w:t>POSSIBLE 2020:</w:t>
      </w:r>
      <w:r>
        <w:t xml:space="preserve"> Peatland warming strongly increases fine-root growth — https://doi.org/10.1073/pnas.2003361117</w:t>
      </w:r>
    </w:p>
    <w:p>
      <w:pPr/>
      <w:r>
        <w:rPr>
          <w:b/>
        </w:rPr>
        <w:t>Shared claim-specific concepts:</w:t>
      </w:r>
      <w:r>
        <w:t xml:space="preserve"> stronger, but; EU scope not established. This is a provisional connection, not an outcome finding.</w:t>
      </w:r>
    </w:p>
    <w:p>
      <w:pPr>
        <w:pStyle w:val="SourceNote"/>
      </w:pPr>
      <w:r>
        <w:rPr>
          <w:b/>
        </w:rPr>
        <w:t>Available abstract (not full text):</w:t>
      </w:r>
      <w:r>
        <w:t xml:space="preserve"> Significance Peatlands store up to two-thirds of the world’s soil carbon, but this carbon may be released under warmer conditions, creating an important climate feedback. The belowground warming response of peatlands is particularly uncertain even though factors such as plant root growth regulate ecosystem water, carbon, and nutrient cycles. We studied how peatland fine roots respond to warming in a whole-ecosystem experiment. Fine-root growth increased dramatically, +130% for a degree of warming, primarily driven by soil drying. This warming response is 20 times stronger than in other ecosystem experiments, highlighting peatland vulnerability to warming. Our study elucidates large and rapid belowground changes that will affect peatlands of a warmer world and their ability to store carbon into the future.</w:t>
      </w:r>
    </w:p>
    <w:p>
      <w:pPr/>
      <w:r>
        <w:rPr>
          <w:b/>
        </w:rPr>
        <w:t>POSSIBLE 2020:</w:t>
      </w:r>
      <w:r>
        <w:t xml:space="preserve"> Strong Social Distancing Measures In The United States Reduced The COVID-19 Growth Rate — https://doi.org/10.1377/hlthaff.2020.00608</w:t>
      </w:r>
    </w:p>
    <w:p>
      <w:pPr/>
      <w:r>
        <w:rPr>
          <w:b/>
        </w:rPr>
        <w:t>Shared claim-specific concepts:</w:t>
      </w:r>
      <w:r>
        <w:t xml:space="preserve"> over, four, activity, strong; EU scope not established. This is a provisional connection, not an outcome finding.</w:t>
      </w:r>
    </w:p>
    <w:p>
      <w:pPr>
        <w:pStyle w:val="SourceNote"/>
      </w:pPr>
      <w:r>
        <w:rPr>
          <w:b/>
        </w:rPr>
        <w:t>Available abstract (not full text):</w:t>
      </w:r>
      <w:r>
        <w:t xml:space="preserve"> State and local governments imposed social distancing measures in March and April 2020 to contain the spread of the novel coronavirus disease (COVID-19). These measures included bans on large social gatherings; school closures; closures of entertainment venues, gyms, bars, and restaurant dining areas; and shelter-in-place orders. We evaluated the impact of these measures on the growth rate of confirmed COVID-19 cases across US counties between March 1, 2020, and April 27, 2020. An event study design allowed each policy's impact on COVID-19 case growth to evolve over time. Adoption of government-imposed social distancing measures reduced the daily growth rate of confirmed COVID-19 cases by 5.4 percentage points after one to five days, 6.8 percentage points after six to ten days, 8.2 percentage points after eleven to fifteen days, and 9.1 percentage points after sixteen to twenty days. Holding the amount of voluntary social distancing constant, these results imply that there would have been ten times greater spread of COVID-19 by April 27 without shelter-in-place orders (ten million cases) and more than thirty-five times greater spread without any of the four measures (thirty-five million cases). Our article illustrates the potential danger of exponential spread in the absence of interventions, providing information relevant to strategies for restarting economic activity.</w:t>
      </w:r>
    </w:p>
    <w:p>
      <w:pPr/>
      <w:r>
        <w:rPr>
          <w:b/>
        </w:rPr>
        <w:t>POSSIBLE 2018:</w:t>
      </w:r>
      <w:r>
        <w:t xml:space="preserve"> Moderate Growth with a Stronger Industrial Sector — https://openalex.org/W2811409944</w:t>
      </w:r>
    </w:p>
    <w:p>
      <w:pPr/>
      <w:r>
        <w:rPr>
          <w:b/>
        </w:rPr>
        <w:t>Shared claim-specific concepts:</w:t>
      </w:r>
      <w:r>
        <w:t xml:space="preserve"> stronger, not, period, but; EU scope not established. This is a provisional connection, not an outcome finding.</w:t>
      </w:r>
    </w:p>
    <w:p>
      <w:pPr>
        <w:pStyle w:val="SourceNote"/>
      </w:pPr>
      <w:r>
        <w:rPr>
          <w:b/>
        </w:rPr>
        <w:t>Available abstract (not full text):</w:t>
      </w:r>
      <w:r>
        <w:t xml:space="preserve"> Nebraska will record solid economic growth during the forecast period but will lag U.S. growth. While Nebraska’s large farming sector has stabilized, it will not contribute much to economic growth during the forecast period. Job growth also will be sluggish in transportation, retail trade and state and local government. Job growth, however, will be stronger in the services, finance, manufacturing and construction. Projected growth rates for 2018 to 2020 are presented in Table 1. Employment will grow by 0.8% to 1.0% per year, below the national rate. Non-farm income will grow between 3.6% and 3.8% each year. This growth is sufficient to exceed inflation and population growth, implying growth in real per capita income in Nebraska from 2018 through 2020.</w:t>
      </w:r>
    </w:p>
    <w:p>
      <w:pPr>
        <w:pStyle w:val="Heading2"/>
      </w:pPr>
      <w:r>
        <w:t>791.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pStyle w:val="Heading2"/>
      </w:pPr>
      <w:r>
        <w:t>792.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r>
        <w:rPr>
          <w:b/>
        </w:rPr>
        <w:t>POSSIBLE 2019:</w:t>
      </w:r>
      <w:r>
        <w:t xml:space="preserve"> Social Innovation in Community Energy in Europe: A Review of the Evidence — https://doi.org/10.3389/fenrg.2019.00031</w:t>
      </w:r>
    </w:p>
    <w:p>
      <w:pPr/>
      <w:r>
        <w:rPr>
          <w:b/>
        </w:rPr>
        <w:t>Shared claim-specific concepts:</w:t>
      </w:r>
      <w:r>
        <w:t xml:space="preserve"> identify, opportunities, government;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The populist citizen: Empirical evidence from Europe and Latin America — https://doi.org/10.1017/s1755773919000262</w:t>
      </w:r>
    </w:p>
    <w:p>
      <w:pPr/>
      <w:r>
        <w:rPr>
          <w:b/>
        </w:rPr>
        <w:t>Shared claim-specific concepts:</w:t>
      </w:r>
      <w:r>
        <w:t xml:space="preserve"> identify, between, government; EU scope visible. This is a provisional connection, not an outcome finding.</w:t>
      </w:r>
    </w:p>
    <w:p>
      <w:pPr>
        <w:pStyle w:val="SourceNote"/>
      </w:pPr>
      <w:r>
        <w:rPr>
          <w:b/>
        </w:rPr>
        <w:t>Available abstract (not full text):</w:t>
      </w:r>
      <w:r>
        <w:t xml:space="preserve">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pStyle w:val="Heading2"/>
      </w:pPr>
      <w:r>
        <w:t>793.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r>
        <w:rPr>
          <w:b/>
        </w:rPr>
        <w:t>POSSIBLE 2021:</w:t>
      </w:r>
      <w:r>
        <w:t xml:space="preserve"> Customer Work Practices and the Productive Third Place — https://doi.org/10.1177/10946705211014278</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pPr/>
      <w:r>
        <w:rPr>
          <w:b/>
        </w:rPr>
        <w:t>POSSIBLE 2021:</w:t>
      </w:r>
      <w:r>
        <w:t xml:space="preserve"> Work, family life and recovery: An exploratory study of “the third shift” — https://doi.org/10.3233/wor-213624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pPr/>
      <w:r>
        <w:rPr>
          <w:b/>
        </w:rPr>
        <w:t>POSSIBLE 2019:</w:t>
      </w:r>
      <w:r>
        <w:t xml:space="preserve"> Show Your Work: Improved Reporting of Experimental Results — https://doi.org/10.18653/v1/d19-1224</w:t>
      </w:r>
    </w:p>
    <w:p>
      <w:pPr/>
      <w:r>
        <w:rPr>
          <w:b/>
        </w:rPr>
        <w:t>Shared claim-specific concepts:</w:t>
      </w:r>
      <w:r>
        <w:t xml:space="preserve"> show, work, methods; EU scope not established. This is a provisional connection, not an outcome finding.</w:t>
      </w:r>
    </w:p>
    <w:p>
      <w:pPr>
        <w:pStyle w:val="SourceNote"/>
      </w:pPr>
      <w:r>
        <w:rPr>
          <w:b/>
        </w:rPr>
        <w:t>Available abstract (not full text):</w:t>
      </w:r>
      <w:r>
        <w:t xml:space="preserve"> Jesse Dodge, Suchin Gururangan, Dallas Card, Roy Schwartz, Noah A. Smith. Proceedings of the 2019 Conference on Empirical Methods in Natural Language Processing and the 9th International Joint Conference on Natural Language Processing (EMNLP-IJCNLP). 2019.</w:t>
      </w:r>
    </w:p>
    <w:p>
      <w:pPr>
        <w:pStyle w:val="Heading2"/>
      </w:pPr>
      <w:r>
        <w:t>794.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2020:</w:t>
      </w:r>
      <w:r>
        <w:t xml:space="preserve"> Light opens a new window for N-heterocyclic carbene catalysis — https://doi.org/10.1039/d0sc03595e</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pPr/>
      <w:r>
        <w:rPr>
          <w:b/>
        </w:rPr>
        <w:t>POSSIBLE 2019:</w:t>
      </w:r>
      <w:r>
        <w:t xml:space="preserve"> Developing a vector light sensor — https://openalex.org/W2947760590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pPr/>
      <w:r>
        <w:rPr>
          <w:b/>
        </w:rPr>
        <w:t>POSSIBLE 2019:</w:t>
      </w:r>
      <w:r>
        <w:t xml:space="preserve"> Development of computer simulations to overcome students misconceptions on light and optical instruments — https://doi.org/10.1088/1742-6596/1321/3/032074</w:t>
      </w:r>
    </w:p>
    <w:p>
      <w:pPr/>
      <w:r>
        <w:rPr>
          <w:b/>
        </w:rPr>
        <w:t>Shared claim-specific concepts:</w:t>
      </w:r>
      <w:r>
        <w:t xml:space="preserve"> light, developed, set, assessed; EU scope not established. This is a provisional connection, not an outcome finding.</w:t>
      </w:r>
    </w:p>
    <w:p>
      <w:pPr>
        <w:pStyle w:val="SourceNote"/>
      </w:pPr>
      <w:r>
        <w:rPr>
          <w:b/>
        </w:rPr>
        <w:t>Available abstract (not full text):</w:t>
      </w:r>
      <w:r>
        <w:t xml:space="preserve">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pPr/>
      <w:r>
        <w:rPr>
          <w:b/>
        </w:rPr>
        <w:t>POSSIBLE 2018:</w:t>
      </w:r>
      <w:r>
        <w:t xml:space="preserve"> The light ages: An investigation into the relationship between photography and the hegemony of light. — https://doi.org/10.48773/949w6</w:t>
      </w:r>
    </w:p>
    <w:p>
      <w:pPr/>
      <w:r>
        <w:rPr>
          <w:b/>
        </w:rPr>
        <w:t>Shared claim-specific concepts:</w:t>
      </w:r>
      <w:r>
        <w:t xml:space="preserve"> light, developed, different; EU scope not established. This is a provisional connection, not an outcome finding.</w:t>
      </w:r>
    </w:p>
    <w:p>
      <w:pPr>
        <w:pStyle w:val="SourceNote"/>
      </w:pPr>
      <w:r>
        <w:rPr>
          <w:b/>
        </w:rPr>
        <w:t>Available abstract (not full text):</w:t>
      </w:r>
      <w:r>
        <w:t xml:space="preserve"> This study sets out to establish an hegemony of light and examine its relationship to the lens in photography. Through a series of sequenced photographs presented as an exhibition The Light Ages in May 2017. The photographs were 841mm x 1189 mm Giclee prints mounted on aluminum which explore the way in which difference sources of light contribute to the identity of different spaces by fracturing and separating the light and duration of the image. The thesis explores how light permeates the English language and is inscribed in terms used to define photography. As a source of energy, light provides the very essence of visibility and defines the perception of objectivity and its limits. The geometric relationship between the light axes and the lens axis is what forms the basis of my development of Gramsci’s concept of hegemony. Since all photographs rely on some kind of light it was important to identify one that was developed specifically for photographic use and controlled almost exclusively by the agents of photographic representation. It also appears to mark the ontology of the image, however, as this study examines it is only one of the temporal registers. The practice seeks to tear apart these temporal registers to show the dualism and hegemony of light, how it attempts to pin down one interpretation at the expense of another. One of the greatest challenges for researchers, </w:t>
      </w:r>
    </w:p>
    <w:p>
      <w:pPr>
        <w:pStyle w:val="Heading2"/>
      </w:pPr>
      <w:r>
        <w:t>795.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r>
        <w:rPr>
          <w:b/>
        </w:rPr>
        <w:t>POSSIBLE 2022:</w:t>
      </w:r>
      <w:r>
        <w:t xml:space="preserve"> Computer‐aided scenario design using participatory backcasting: A case study of sustainable vision creation in a Japanese city — https://doi.org/10.1002/ffo2.141</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pPr/>
      <w:r>
        <w:rPr>
          <w:b/>
        </w:rPr>
        <w:t>POSSIBLE 2022:</w:t>
      </w:r>
      <w:r>
        <w:t xml:space="preserve"> Envisioning the driverless city using backcasting and Q-methodology — https://doi.org/10.1016/j.cities.2022.104159</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pPr/>
      <w:r>
        <w:rPr>
          <w:b/>
        </w:rPr>
        <w:t>POSSIBLE 2021:</w:t>
      </w:r>
      <w:r>
        <w:t xml:space="preserve"> Gamification of backcasting for sustainability: The development of the gameful backcasting framework (GAMEBACK) — https://doi.org/10.1016/j.jclepro.2021.126609</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pPr/>
      <w:r>
        <w:rPr>
          <w:b/>
        </w:rPr>
        <w:t>POSSIBLE 2021:</w:t>
      </w:r>
      <w:r>
        <w:t xml:space="preserve"> Future export markets of industrial wood construction – A qualitative backcasting study — https://doi.org/10.1016/j.forpol.2021.102480</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pPr/>
      <w:r>
        <w:rPr>
          <w:b/>
        </w:rPr>
        <w:t>POSSIBLE 2020:</w:t>
      </w:r>
      <w:r>
        <w:t xml:space="preserve"> Combining participatory games and backcasting to support collective scenario evaluation: an action research approach for sustainable agroforestry landscape management — https://doi.org/10.1007/s11625-020-00829-3</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pPr/>
      <w:r>
        <w:rPr>
          <w:b/>
        </w:rPr>
        <w:t>POSSIBLE 2020:</w:t>
      </w:r>
      <w:r>
        <w:t xml:space="preserve"> Backcasting-Based Method for Designing Roadmaps to Achieve a Sustainable Future — https://doi.org/10.1109/tem.2020.3008444</w:t>
      </w:r>
    </w:p>
    <w:p>
      <w:pPr/>
      <w:r>
        <w:rPr>
          <w:b/>
        </w:rPr>
        <w:t>Shared claim-specific concepts:</w:t>
      </w:r>
      <w:r>
        <w:t xml:space="preserve"> developed, backcasting; EU scope not established. This is a provisional connection, not an outcome finding.</w:t>
      </w:r>
    </w:p>
    <w:p>
      <w:pPr>
        <w:pStyle w:val="SourceNote"/>
      </w:pPr>
      <w:r>
        <w:rPr>
          <w:b/>
        </w:rPr>
        <w:t>Available abstract (not full text):</w:t>
      </w:r>
      <w:r>
        <w:t xml:space="preserve"> Much attention has been paid internationally to the adoption of sustainable development goals to achieve sustainable outcomes. Although roadmapping is widely used by companies and other organizations to plan long-term strategies, relatively few studies have examined the development of roadmapping methods aiming at sustainability. To address this challenge, in this article, a backcasting-based method to design roadmaps that could be used to facilitate decision making and plan sustainable futures is proposed. By drawing on the concept of backcasting, the proposed roadmap design method consists of two phases: defining a sustainable vision, and describing the pathways that are required to realize that vision. In order to develop pathways that bridge the gap between the present and the vision, we develop a roadmap template called a “four-arrow model.” To demonstrate the proposed method, roadmaps are developed for Japanese manufacturing from the present to 2050 by organizing an expert workshop. As a result, two different roadmaps that connected sustainable visions and associated pathways are successfully developed. The number of ideas generated through the workshop indicates that the proposed method encouraged brainstorming and concept development. Future research will focus on making the roadmap design process more comprehensive by conducting industrial case studies.</w:t>
      </w:r>
    </w:p>
    <w:p>
      <w:pPr/>
      <w:r>
        <w:rPr>
          <w:b/>
        </w:rPr>
        <w:t>POSSIBLE 2019:</w:t>
      </w:r>
      <w:r>
        <w:t xml:space="preserve"> Co-design agricultural systems combining gaming and backcasting methods in smallholder coffee agroforestry systems — https://openalex.org/W2955102564</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In Central America, smallholder coffee farmers rely on low input agroforestry systems (AFS) while experiencing increased pressure from climate change and social inequality. In order to increase the sustainability of these systems and to guide farmers along agroecological transition pathways, participatory approaches are needed. However, methods for the co-design process of such complex AFS are still scarce. Here, we present a practical approach based on game sessions and backcasting for the development of sustainable farming systems, together with the smallholder communities. We organized five game sessions and one backcasting workshop with farmer communities, technicians, researchers and municipality officials in La Dalia, Nicaragua. Through the game sessions we managed to highlight the key factors that allow or impede successful coordination among farmers to diversify their systems and develop organic and/or low input agriculture. Furthermore, using backcasting, we shared the outcomes from the game sessions among the communities and co-designed new farming systems highlighting major economic, social and environmental benefits and barriers. Through combining game and backcasting sessions, we were able to describe the current system and co-construct a desirable future vision towards agrological transition. We envision a wide range of relevant applications of this method in agri</w:t>
      </w:r>
    </w:p>
    <w:p>
      <w:pPr/>
      <w:r>
        <w:rPr>
          <w:b/>
        </w:rPr>
        <w:t>POSSIBLE 2018:</w:t>
      </w:r>
      <w:r>
        <w:t xml:space="preserve"> Backcasting in futures studies: a synthesized scholarly and planning approach to strategic smart sustainable city development — https://doi.org/10.1186/s40309-018-0142-z</w:t>
      </w:r>
    </w:p>
    <w:p>
      <w:pPr/>
      <w:r>
        <w:rPr>
          <w:b/>
        </w:rPr>
        <w:t>Shared claim-specific concepts:</w:t>
      </w:r>
      <w:r>
        <w:t xml:space="preserve"> backcasting, methodology; EU scope not established. This is a provisional connection, not an outcome finding.</w:t>
      </w:r>
    </w:p>
    <w:p>
      <w:pPr>
        <w:pStyle w:val="SourceNote"/>
      </w:pPr>
      <w:r>
        <w:rPr>
          <w:b/>
        </w:rPr>
        <w:t>Available abstract (not full text):</w:t>
      </w:r>
      <w:r>
        <w:t xml:space="preserve"> Backcasting as a scholarly and planning approach is increasingly used in futures studies in fields related to urban sustainability as an alternative to traditional planning approaches and a formal element of future strategic initiatives. It is viewed as a natural step in operationalizing sustainable development within different societal spheres. As a holistic urban development strategy, smart sustainable cities represent a manifestation of sustainable development as a process of change and a strategic approach to achieving the long-term goals of sustainability. Achieving smart sustainable cities represents an instance of urban sustainability, a concept that refers to a desired state in which a city strives to retain the balance of socio-ecological system through sustainable development as a desired trajectory. This long-term goal requires fostering linkages between scientific and social research, technological innovations, institutional practices, and policy design and planning in relevance to urban sustainability. It also requires a long-term vision, a transdisciplinary approach, and a system-oriented perspective on addressing environmental, economic, and social issues. These requirements are at the core of backcasting as an approach to futures studies. Backcasting is a special kind of scenario methodology to develop future models for smart sustainable city as a planning tool </w:t>
      </w:r>
    </w:p>
    <w:p>
      <w:pPr>
        <w:pStyle w:val="Heading2"/>
      </w:pPr>
      <w:r>
        <w:t>796.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2020:</w:t>
      </w:r>
      <w:r>
        <w:t xml:space="preserve"> Recent Evolutions of Gender, State Feminism and Care Models in Latin America and Europe — https://doi.org/10.1007/978-3-030-48442-2_12</w:t>
      </w:r>
    </w:p>
    <w:p>
      <w:pPr/>
      <w:r>
        <w:rPr>
          <w:b/>
        </w:rPr>
        <w:t>Shared claim-specific concepts:</w:t>
      </w:r>
      <w:r>
        <w:t xml:space="preserve"> recent, process, one; EU scope visible. This is a provisional connection, not an outcome finding.</w:t>
      </w:r>
    </w:p>
    <w:p>
      <w:pPr>
        <w:pStyle w:val="SourceNote"/>
      </w:pPr>
      <w:r>
        <w:rPr>
          <w:b/>
        </w:rPr>
        <w:t>Available abstract (not full text):</w:t>
      </w:r>
      <w:r>
        <w:t xml:space="preserve">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looks, perspectives;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The European Union and social policy — https://doi.org/10.4324/9780429244681-26</w:t>
      </w:r>
    </w:p>
    <w:p>
      <w:pPr/>
      <w:r>
        <w:rPr>
          <w:b/>
        </w:rPr>
        <w:t>Shared claim-specific concepts:</w:t>
      </w:r>
      <w:r>
        <w:t xml:space="preserve"> specifically, looks, recent, particularly; EU scope visible. This is a provisional connection, not an outcome finding.</w:t>
      </w:r>
    </w:p>
    <w:p>
      <w:pPr>
        <w:pStyle w:val="SourceNote"/>
      </w:pPr>
      <w:r>
        <w:rPr>
          <w:b/>
        </w:rPr>
        <w:t>Available abstract (not full text):</w:t>
      </w:r>
      <w:r>
        <w:t xml:space="preserve"> This chapter outlines the development and role of the European Union as the world’s largest multi-state governance organisation. The chapter first explores at the origins and development of the EU, including the key points of growth in membership and in policy. In the chapter’s next section, we explore the structure of the EU, including questions around how far we can consider the EU to be a democratic body and the ways in which the EU makes social policy. Following this, the chapter explores some of the difficulties the EU has faced in recent years, focusing particularly on Eurozone crisis and the growth of nationalism and Euroscepticism, including the 2016 Brexit vote and 2019 political decision to exit the EU from the UK. The chapter then looks specifically at several aspects of European social policy, including the importance of the Charter of Fundamental Rights of the European Union and social policy directed at families, the elderly and disabled people, and around education and training. The chapter finishes with a brief look at the future of the European Union in a changing world and then summarises the key learning.</w:t>
      </w:r>
    </w:p>
    <w:p>
      <w:pPr/>
      <w:r>
        <w:rPr>
          <w:b/>
        </w:rPr>
        <w:t>POSSIBLE 2019:</w:t>
      </w:r>
      <w:r>
        <w:t xml:space="preserve"> European Union — https://doi.org/10.4324/9781351235624-6</w:t>
      </w:r>
    </w:p>
    <w:p>
      <w:pPr/>
      <w:r>
        <w:rPr>
          <w:b/>
        </w:rPr>
        <w:t>Shared claim-specific concepts:</w:t>
      </w:r>
      <w:r>
        <w:t xml:space="preserve"> specifically, looks, recent; EU scope visible. This is a provisional connection, not an outcome finding.</w:t>
      </w:r>
    </w:p>
    <w:p>
      <w:pPr>
        <w:pStyle w:val="SourceNote"/>
      </w:pPr>
      <w:r>
        <w:rPr>
          <w:b/>
        </w:rPr>
        <w:t>Available abstract (not full text):</w:t>
      </w:r>
      <w:r>
        <w:t xml:space="preserve"> This chapter discusses the European Union (EU) has evolved into a security provider, having performed military operations and civilian missions in many parts of the world in addition to creating security strategies and policy initiatives. It looks at the EU and its role in security, specifically focused on the Common Security and Defence Policy. The chapter looks at how the EU as a security and defence actor has been conceptualised. In order to understand the EU as a security actor we must have an idea as to what the EU looks like in terms of power projection, which interconnects with the strategy that the EU is able and willing to pursue. The EU’s role in defence and security is a recent ‘competence’, in the language of the EU treaties. The EU Battlegroup concept was a UK–French idea that was formally launched as a UK, French and German initiative in 2004.</w:t>
      </w:r>
    </w:p>
    <w:p>
      <w:pPr/>
      <w:r>
        <w:rPr>
          <w:b/>
        </w:rPr>
        <w:t>POSSIBLE 2017:</w:t>
      </w:r>
      <w:r>
        <w:t xml:space="preserve"> The rise of on-demand ‘Instant Deliveries’ in European cities — https://doi.org/10.1080/16258312.2017.1375375</w:t>
      </w:r>
    </w:p>
    <w:p>
      <w:pPr/>
      <w:r>
        <w:rPr>
          <w:b/>
        </w:rPr>
        <w:t>Shared claim-specific concepts:</w:t>
      </w:r>
      <w:r>
        <w:t xml:space="preserve"> specifically, looks, recent, mobility, transport; EU scope visible. This is a provisional connection, not an outcome finding.</w:t>
      </w:r>
    </w:p>
    <w:p>
      <w:pPr>
        <w:pStyle w:val="SourceNote"/>
      </w:pPr>
      <w:r>
        <w:rPr>
          <w:b/>
        </w:rPr>
        <w:t>Available abstract (not full text):</w:t>
      </w:r>
      <w:r>
        <w:t xml:space="preserve"> This exploratory paper contributes to a new body of research that investigates the potential of digital market places to disrupt transport and mobility services. We are specifically looking at the urban freight sector, where numerous app-based services have emerged in recent years. The paper specifically looks at ‘instant deliveries,’ i.e. services providing on-demand delivery within two hours – by either private individuals, independent contractors, or employees – by connecting consignors, couriers and consignees via a digital platform. The paper provides an overview of the main issues concerning instant deliveries, supported by data (including a survey of 96 courier delivery providers) and examples. After presenting a typology of companies (digital platforms) involved in ‘instant deliveries,’ we question in what way they transform the urban freight current patterns. We highlight four issues, discussing their potential to impact urban freight services and related policies in European cities: 1) Freight trips and data; 2) Business models; 3) Labor legislation and work conditions; and 4) Local public policies. We conclude by saying that predicting the medium-term consequences of these changes is difficult, but it is essential that city planning and policies take account of these developments and consider how planning and possibly regulation needs to be adapted to these new ways </w:t>
      </w:r>
    </w:p>
    <w:p>
      <w:pPr>
        <w:pStyle w:val="Heading2"/>
      </w:pPr>
      <w:r>
        <w:t>797.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2021:</w:t>
      </w:r>
      <w:r>
        <w:t xml:space="preserve"> Evaluating the systematic risk and its impact on profitability and liquidity; evidence from European countries — https://doi.org/10.1504/ijesb.2021.10040605</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r>
        <w:rPr>
          <w:b/>
        </w:rPr>
        <w:t>POSSIBLE 2020:</w:t>
      </w:r>
      <w:r>
        <w:t xml:space="preserve"> Impact of sex and gender on COVID-19 outcomes in Europe — https://doi.org/10.1186/s13293-020-00304-9</w:t>
      </w:r>
    </w:p>
    <w:p>
      <w:pPr/>
      <w:r>
        <w:rPr>
          <w:b/>
        </w:rPr>
        <w:t>Shared claim-specific concepts:</w:t>
      </w:r>
      <w:r>
        <w:t xml:space="preserve"> well, review;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2020:</w:t>
      </w:r>
      <w:r>
        <w:t xml:space="preserve"> Evaluating the impact of viewing location on view perception using a virtual environment — https://doi.org/10.1016/j.buildenv.2020.106932</w:t>
      </w:r>
    </w:p>
    <w:p>
      <w:pPr/>
      <w:r>
        <w:rPr>
          <w:b/>
        </w:rPr>
        <w:t>Shared claim-specific concepts:</w:t>
      </w:r>
      <w:r>
        <w:t xml:space="preserve"> view, evaluating; EU scope not established. This is a provisional connection, not an outcome finding.</w:t>
      </w:r>
    </w:p>
    <w:p>
      <w:pPr>
        <w:pStyle w:val="SourceNote"/>
      </w:pPr>
      <w:r>
        <w:rPr>
          <w:b/>
        </w:rPr>
        <w:t>Available abstract (not full text):</w:t>
      </w:r>
      <w:r>
        <w:t xml:space="preserve">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pPr/>
      <w:r>
        <w:rPr>
          <w:b/>
        </w:rPr>
        <w:t>POSSIBLE 2020:</w:t>
      </w:r>
      <w:r>
        <w:t xml:space="preserve"> The PROFOUND Database for evaluating vegetation models and simulating climate impacts on European forests — https://doi.org/10.5194/essd-12-1295-2020</w:t>
      </w:r>
    </w:p>
    <w:p>
      <w:pPr/>
      <w:r>
        <w:rPr>
          <w:b/>
        </w:rPr>
        <w:t>Shared claim-specific concepts:</w:t>
      </w:r>
      <w:r>
        <w:t xml:space="preserve"> evaluation, well, evaluating; EU scope visible. This is a provisional connection, not an outcome finding.</w:t>
      </w:r>
    </w:p>
    <w:p>
      <w:pPr>
        <w:pStyle w:val="SourceNote"/>
      </w:pPr>
      <w:r>
        <w:rPr>
          <w:b/>
        </w:rPr>
        <w:t>Available abstract (not full text):</w:t>
      </w:r>
      <w:r>
        <w:t xml:space="preserve">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pPr/>
      <w:r>
        <w:rPr>
          <w:b/>
        </w:rPr>
        <w:t>POSSIBLE 2019:</w:t>
      </w:r>
      <w:r>
        <w:t xml:space="preserve"> Evaluating Academic Legal Research in Europe — https://doi.org/10.4337/9781788115506</w:t>
      </w:r>
    </w:p>
    <w:p>
      <w:pPr/>
      <w:r>
        <w:rPr>
          <w:b/>
        </w:rPr>
        <w:t>Shared claim-specific concepts:</w:t>
      </w:r>
      <w:r>
        <w:t xml:space="preserve"> evaluation, review, evaluating, action; EU scope visible. This is a provisional connection, not an outcome finding.</w:t>
      </w:r>
    </w:p>
    <w:p>
      <w:pPr>
        <w:pStyle w:val="SourceNote"/>
      </w:pPr>
      <w:r>
        <w:rPr>
          <w:b/>
        </w:rPr>
        <w:t>Available abstract (not full text):</w:t>
      </w:r>
      <w:r>
        <w:t xml:space="preserve">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pPr/>
      <w:r>
        <w:rPr>
          <w:b/>
        </w:rPr>
        <w:t>POSSIBLE 2019:</w:t>
      </w:r>
      <w:r>
        <w:t xml:space="preserve"> Impact of the Electric Mobility Implementation on the Greenhouse Gases Production in Central European Countries — https://doi.org/10.3390/su11184948</w:t>
      </w:r>
    </w:p>
    <w:p>
      <w:pPr/>
      <w:r>
        <w:rPr>
          <w:b/>
        </w:rPr>
        <w:t>Shared claim-specific concepts:</w:t>
      </w:r>
      <w:r>
        <w:t xml:space="preserve"> view, expected; EU scope visible. This is a provisional connection, not an outcome finding.</w:t>
      </w:r>
    </w:p>
    <w:p>
      <w:pPr>
        <w:pStyle w:val="SourceNote"/>
      </w:pPr>
      <w:r>
        <w:rPr>
          <w:b/>
        </w:rPr>
        <w:t>Available abstract (not full text):</w:t>
      </w:r>
      <w:r>
        <w:t xml:space="preserve">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pPr/>
      <w:r>
        <w:rPr>
          <w:b/>
        </w:rPr>
        <w:t>POSSIBLE 2019:</w:t>
      </w:r>
      <w:r>
        <w:t xml:space="preserve"> Evaluation Practices and Impact: Overload? — https://doi.org/10.1007/978-3-030-11738-2_8</w:t>
      </w:r>
    </w:p>
    <w:p>
      <w:pPr/>
      <w:r>
        <w:rPr>
          <w:b/>
        </w:rPr>
        <w:t>Shared claim-specific concepts:</w:t>
      </w:r>
      <w:r>
        <w:t xml:space="preserve"> evaluation, offers; EU scope visible. This is a provisional connection, not an outcome finding.</w:t>
      </w:r>
    </w:p>
    <w:p>
      <w:pPr>
        <w:pStyle w:val="SourceNote"/>
      </w:pPr>
      <w:r>
        <w:rPr>
          <w:b/>
        </w:rPr>
        <w:t>Available abstract (not full text):</w:t>
      </w:r>
      <w:r>
        <w:t xml:space="preserve"> Abstract This chapter offers an analysis of evaluation practices in and around the universities in Denmark, Finland, Norway and Sweden. The analysis builds on a conceptual framework focussing on a typology of evaluation models and combines these with an actor’s perspective. The analysis shows that similar evaluation ideas and models have been implemented across the countries, but also that when looking into evaluation practices, variations are considerable. Further, the chapter explores academics’ views on evaluation and evaluation impact. This part of the analysis reveals country differences and shows that evaluation criteria in policy- and managerial-driven evaluation schemes often do not match academic views on what constitutes and supports good performance.</w:t>
      </w:r>
    </w:p>
    <w:p>
      <w:pPr/>
      <w:r>
        <w:rPr>
          <w:b/>
        </w:rPr>
        <w:t>POSSIBLE 2017:</w:t>
      </w:r>
      <w:r>
        <w:t xml:space="preserve"> Austerity and health: the impact in the UK and Europe — https://doi.org/10.1093/eurpub/ckx167</w:t>
      </w:r>
    </w:p>
    <w:p>
      <w:pPr/>
      <w:r>
        <w:rPr>
          <w:b/>
        </w:rPr>
        <w:t>Shared claim-specific concepts:</w:t>
      </w:r>
      <w:r>
        <w:t xml:space="preserve"> well, possible, review, about; EU scope visible. This is a provisional connection, not an outcome finding.</w:t>
      </w:r>
    </w:p>
    <w:p>
      <w:pPr>
        <w:pStyle w:val="SourceNote"/>
      </w:pPr>
      <w:r>
        <w:rPr>
          <w:b/>
        </w:rPr>
        <w:t>Available abstract (not full text):</w:t>
      </w:r>
      <w:r>
        <w:t xml:space="preserve"> Austerity measures-reducing social spending and increasing taxation-hurts deprived groups the most. Less is known about the impact on health. In this short review, we evaluate the evidence of austerity's impact on health, through two main mechanisms: a 'social risk effect' of increasing unemployment, poverty, homelessness and other socio-economic risk factors (indirect), and a 'healthcare effect' through cuts to healthcare services, as well as reductions in health coverage and restricting access to care (direct). We distinguish those impacts of economic crises from those of austerity as a response to it. Where possible, data from across Europe will be drawn upon, as well as more extensive analysis of the UK's austerity measures performed by the authors of this review.</w:t>
      </w:r>
    </w:p>
    <w:p>
      <w:pPr>
        <w:pStyle w:val="Heading2"/>
      </w:pPr>
      <w:r>
        <w:t>798.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2021:</w:t>
      </w:r>
      <w:r>
        <w:t xml:space="preserve"> The European Green Deal — More Than Climate Neutrality — https://doi.org/10.1007/s10272-021-0963-z</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European Green Deal aims at climate neutrality for Europe by 2050, implying a significant acceleration of emission reductions. To gain the necessary support, it needs to reduce regional and social inequalities in Europe. We present objectives in terms of jobs, growth and price stability to complement the emission reduction targets and sketch a proof-of-concept investment profile for reaching these goals. Substantial additional annual public investments, of about 1.8% of pre-COVID-19 GDP, are proposed for the next decade. Their allocation includes retrofitting the European building stock, consciously fostering a renewal of the European innovation system as well as complementary measures in the fields of education and health. The scenario outlined in this article is meant as an input to the urgently needed discussion on how the European Green Deal can shift the EU economy to a new development path that realises a carbon-neutral Europe by 2050 while strengthening European cohesion.</w:t>
      </w:r>
    </w:p>
    <w:p>
      <w:pPr/>
      <w:r>
        <w:rPr>
          <w:b/>
        </w:rPr>
        <w:t>POSSIBLE 2021:</w:t>
      </w:r>
      <w:r>
        <w:t xml:space="preserve"> The Past, Present, and Future of European integration: a French perspective — https://doi.org/10.47683/kkielemzesek.ke-2021.42</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As one of the founding member states of the European Communities (EC), France has played a major role in the process of European integration since the 1950s. However, French presidents have always treated European integration cautiously, generally supporting forms of supranational integration in areas of socio-economic policy and preferring the intergovernmental mode of governance in areas of defence and foreign policy. In a context marked by the recent weakening of the French influence on European integration (see Assemblée Nationale, 2016), the gradual rise in Euroscepticism since the 2010s (see European Parliament, 2017), as well as the destabilising effect of Brexit (see Zagdoun, 2016), Emmanuel Macron’s 2017 election on an openly pro-European program has foreshadowed the possibility for France to reassert its role as a leading actor in Europe. The aim of this article is to make sense of these events in terms of France’s relationship with the European integration process from its origins to the present day and to understand France’s future role in the evolution of the European Union (EU), while paying particular attention to President Macron’s pro- integrationist influence on the EU.</w:t>
      </w:r>
    </w:p>
    <w:p>
      <w:pPr/>
      <w:r>
        <w:rPr>
          <w:b/>
        </w:rPr>
        <w:t>POSSIBLE 2021:</w:t>
      </w:r>
      <w:r>
        <w:t xml:space="preserve"> PAN – EUROPEAN TRANSPORT CORRIDORS IN THE POLICY OF THE EUROPEAN UNION — https://doi.org/10.20858/sjsutst.2021.112.4</w:t>
      </w:r>
    </w:p>
    <w:p>
      <w:pPr/>
      <w:r>
        <w:rPr>
          <w:b/>
        </w:rPr>
        <w:t>Shared claim-specific concepts:</w:t>
      </w:r>
      <w:r>
        <w:t xml:space="preserve"> article, present; EU scope visible. This is a provisional connection, not an outcome finding.</w:t>
      </w:r>
    </w:p>
    <w:p>
      <w:pPr>
        <w:pStyle w:val="SourceNote"/>
      </w:pPr>
      <w:r>
        <w:rPr>
          <w:b/>
        </w:rPr>
        <w:t>Available abstract (not full text):</w:t>
      </w:r>
      <w:r>
        <w:t xml:space="preserve"> The issue of organising efficient transport within Europe is one of the areas of a common policy of the European Union, shaped for over 30 years. Poland has been participating in this creative process since May 1, 2004. The intensity of the development of transport and the economy of individual countries that do not only belong to the Community but also have a significant impact on changes in the European Union's transport policy aimed at improving the course of pan-European transport corridors. In parallel with the creation of an effective European transport network, the rapid economic development of the regions belonging to the Union, including Poland, is becoming increasingly important. This article aims to discuss the issue of the development of the trans-European transport corridors, which also passes through the territory of Poland. In addition, this paper aims to present changes in EU policy concerning the shaping of transport infrastructure in Europe, following which a single transport network is to be created soon, meeting the communication and economic needs of the countries belonging to the Community.</w:t>
      </w:r>
    </w:p>
    <w:p>
      <w:pPr/>
      <w:r>
        <w:rPr>
          <w:b/>
        </w:rPr>
        <w:t>POSSIBLE 2020:</w:t>
      </w:r>
      <w:r>
        <w:t xml:space="preserve"> Development and support of small innovative entrepreneurship in Europe and the USA — https://doi.org/10.36097/rsan.v1i42.1554</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Modern business practice shows that small innovative entrepreneurship needs special support in the context of rapid development of science and technology. To implement the outlined, various business support programs are being developed at a rapid pace, which are being actively implemented in practice. The aim of the article is to present the conceptual features of the development and support of small innovative entrepreneurship in Europe and the United States. The purpose of the academic paper is to present the conceptual features of supporting small innovative entrepreneurship in Europe and the United States of America. A number of research methods have been used to reveal the purpose of the article, including such as: system-structural method, method of description, method of theoretical analysis, method of comparison, method of observation, method of synthesis, experimental method, modeling method, grouping method, generalization method. It has been proved that in European countries and the USA the policy of support of small innovative business is actively pursued. It has been found that the UK has developed and implemented Europe 2020: Scottish national reform program 2017, which provides support for small innovative businesses by promoting innovation in the business environment. It has been established that the Netherlands intends to expand opportunities to increase fundin</w:t>
      </w:r>
    </w:p>
    <w:p>
      <w:pPr/>
      <w:r>
        <w:rPr>
          <w:b/>
        </w:rPr>
        <w:t>POSSIBLE 2020:</w:t>
      </w:r>
      <w:r>
        <w:t xml:space="preserve"> Spatial Diversity of Tourism in the Countries of the European Union — https://doi.org/10.3390/su12072713</w:t>
      </w:r>
    </w:p>
    <w:p>
      <w:pPr/>
      <w:r>
        <w:rPr>
          <w:b/>
        </w:rPr>
        <w:t>Shared claim-specific concepts:</w:t>
      </w:r>
      <w:r>
        <w:t xml:space="preserve"> aim, article, present, objective; EU scope visible. This is a provisional connection, not an outcome finding.</w:t>
      </w:r>
    </w:p>
    <w:p>
      <w:pPr>
        <w:pStyle w:val="SourceNote"/>
      </w:pPr>
      <w:r>
        <w:rPr>
          <w:b/>
        </w:rPr>
        <w:t>Available abstract (not full text):</w:t>
      </w:r>
      <w:r>
        <w:t xml:space="preserve"> The aim of the article is to present the spatial diversity of tourism in the countries of the European Union (EU). The main objective of the article can be divided into three immediate goals, each of which is to determine countries that are similar by means of: (1) accommodation base; (2) tourism traffic; and (3) tourism-related expenditures and revenues. In order to group countries, Ward’s cluster analysis method is used. The aim is verified with the use of 2017 United Nations World Tourism Organization (UNWTO) and Eurostat data. The analysis covers all EU member states. The research conducted confirms, inter alia, the key role of the accommodation base in the development of tourism in those countries.</w:t>
      </w:r>
    </w:p>
    <w:p>
      <w:pPr/>
      <w:r>
        <w:rPr>
          <w:b/>
        </w:rPr>
        <w:t>POSSIBLE 2019:</w:t>
      </w:r>
      <w:r>
        <w:t xml:space="preserve"> ‘Fear and loathing across party lines’ (also) in Europe: Affective polarisation in European party systems — https://doi.org/10.1111/1475-6765.12351</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Abstract Several scholars in the United States have recently addressed an increased partisan animosity between Democrats and Republicans, and have termed this phenomenon ‘affective polarisation’. This surge in partisan affective polarisation is perceived to be highly problematic, as it has been found to have a negative impact on the functioning of the party system and even society at large. The aim of this article is to study the concept of affective polarisation in European party systems. It introduces the Affective Polarisation Index (API) that allows for measuring and comparing levels of affective polarisation also in multiparty systems. This novel measure is applied to 22 European democracies and the United States between 2005 and 2016. The results indicate that affective polarisation is acutely present in European party systems, as partisans are often extremely hostile towards competing parties. The most affectively polarised countries are in Central Eastern and Southern Europe where the degree of affective polarisation is notably higher than it is in the United States, while Northwestern European countries are more moderate in terms of partisan feelings. Further analysis reveals that affective polarisation is significantly correlated with ideological polarisation, but the relationship between the two appears to be conditional: in some Western European political systems id</w:t>
      </w:r>
    </w:p>
    <w:p>
      <w:pPr/>
      <w:r>
        <w:rPr>
          <w:b/>
        </w:rPr>
        <w:t>POSSIBLE 2019:</w:t>
      </w:r>
      <w:r>
        <w:t xml:space="preserve"> Crises and transformations of European integration: European business circles during the long 1970s — https://doi.org/10.1080/13507486.2019.1613964</w:t>
      </w:r>
    </w:p>
    <w:p>
      <w:pPr/>
      <w:r>
        <w:rPr>
          <w:b/>
        </w:rPr>
        <w:t>Shared claim-specific concepts:</w:t>
      </w:r>
      <w:r>
        <w:t xml:space="preserve"> article, present, possible; EU scope visible. This is a provisional connection, not an outcome finding.</w:t>
      </w:r>
    </w:p>
    <w:p>
      <w:pPr>
        <w:pStyle w:val="SourceNote"/>
      </w:pPr>
      <w:r>
        <w:rPr>
          <w:b/>
        </w:rPr>
        <w:t>Available abstract (not full text):</w:t>
      </w:r>
      <w:r>
        <w:t xml:space="preserve"> This article aims to elucidate the way European capitalists reacted to the long crises of the 1970s through the analysis of the European League of Economic Cooperation (ELEC). It starts by introducing the ELEC as the most representative of European multinationals after merging with a rival transnational network: the European Committee for Economic and Social Progress (CEPES). Then it focuses on its 1975 London Conference where three representative strands of the European model of capitalism presented their views on the crises. All shared the view that the crises represented a structural rupture in the social and political legitimation of Fordism, Keynesianism and the welfare state, which put into question Europe’s role in the world. European integration was put forward as part of the solution. A review of four possible scenarios for European integration will be presented in the third section showing the views of a fourth component of European capitalism: Foreign Direct Investors from the USA. The last section will present the way the ELEC reacted to the second oil shock. The article will conclude that European capitalists conceived European integration as an integral element to reform and preserve the particular model of mixed economy and the welfare state in the midst of globalization.</w:t>
      </w:r>
    </w:p>
    <w:p>
      <w:pPr/>
      <w:r>
        <w:rPr>
          <w:b/>
        </w:rPr>
        <w:t>POSSIBLE 2019:</w:t>
      </w:r>
      <w:r>
        <w:t xml:space="preserve"> The ‘political’ roles of the European Commission — https://doi.org/10.1080/07036337.2019.1572135</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2019:</w:t>
      </w:r>
      <w:r>
        <w:t xml:space="preserve"> The European Logistics Space: On Jean Monnet and the Integration of Europe — https://doi.org/10.14195/2183-203x_49_3</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This article aims to investigate a different genealogical line of European integration. Through a partial use of the biography of Jean Monnet, I aim to expand the temporal borders of the path often outlined by European integration history, taking advantage of an analytical tool that is rarely used in this context: logistics. On the one hand, I propose to make the Schuman Declaration resonant with a broader “European past”. On the other hand, my aim is to show that some categories of the global present also pervade the process of continental integration. All in all, this path reveals that the latter process was originally developed to build what I call the “European Logistics Space”.</w:t>
      </w:r>
    </w:p>
    <w:p>
      <w:pPr/>
      <w:r>
        <w:rPr>
          <w:b/>
        </w:rPr>
        <w:t>POSSIBLE 2019:</w:t>
      </w:r>
      <w:r>
        <w:t xml:space="preserve"> The European Logistics Space: On Jean Monnet and the Integration of Europe — https://doi.org/10.14195/2183-203x_49</w:t>
      </w:r>
    </w:p>
    <w:p>
      <w:pPr/>
      <w:r>
        <w:rPr>
          <w:b/>
        </w:rPr>
        <w:t>Shared claim-specific concepts:</w:t>
      </w:r>
      <w:r>
        <w:t xml:space="preserve"> aim, article, present, different; EU scope visible. This is a provisional connection, not an outcome finding.</w:t>
      </w:r>
    </w:p>
    <w:p>
      <w:pPr>
        <w:pStyle w:val="SourceNote"/>
      </w:pPr>
      <w:r>
        <w:rPr>
          <w:b/>
        </w:rPr>
        <w:t>Available abstract (not full text):</w:t>
      </w:r>
      <w:r>
        <w:t xml:space="preserve"> This article aims to investigate a different genealogical line of European integration. Through \na partial use of the biography of Jean Monnet, I aim to expand the temporal borders of the \npath often outlined by European integration history, taking advantage of an analytical tool \nthat is rarely used in this context: logistics. On the one hand, I propose to make the Schuman \nDeclaration resonant with a broader “European past”. On the other hand, my aim is \nto show that some categories of the global present also pervade the process of continental \nintegration. All in all, this path reveals that the latter process was originally developed to \nbuild what I call the “European Logistics Space”.</w:t>
      </w:r>
    </w:p>
    <w:p>
      <w:pPr>
        <w:pStyle w:val="Heading2"/>
      </w:pPr>
      <w:r>
        <w:t>799.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The indicator-based measurement of the circular economy in the countries of the European Union — https://doi.org/10.17649/tet.36.2.3374</w:t>
      </w:r>
    </w:p>
    <w:p>
      <w:pPr/>
      <w:r>
        <w:rPr>
          <w:b/>
        </w:rPr>
        <w:t>Shared claim-specific concepts:</w:t>
      </w:r>
      <w:r>
        <w:t xml:space="preserve"> create, set, indicators, areas, high, based; EU scope visible. This is a provisional connection, not an outcome finding.</w:t>
      </w:r>
    </w:p>
    <w:p>
      <w:pPr>
        <w:pStyle w:val="SourceNote"/>
      </w:pPr>
      <w:r>
        <w:rPr>
          <w:b/>
        </w:rPr>
        <w:t>Available abstract (not full text):</w:t>
      </w:r>
      <w:r>
        <w:t xml:space="preserve">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pPr/>
      <w:r>
        <w:rPr>
          <w:b/>
        </w:rPr>
        <w:t>POSSIBLE 2022:</w:t>
      </w:r>
      <w:r>
        <w:t xml:space="preserve"> The 2018–2020 Multi‐Year Drought Sets a New Benchmark in Europe — https://doi.org/10.1029/2021ef002394</w:t>
      </w:r>
    </w:p>
    <w:p>
      <w:pPr/>
      <w:r>
        <w:rPr>
          <w:b/>
        </w:rPr>
        <w:t>Shared claim-specific concepts:</w:t>
      </w:r>
      <w:r>
        <w:t xml:space="preserve"> warming, socioeconomic, based;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A comprehensive indicator set for measuring the sustainable energy performance in the European Union — https://doi.org/10.1201/9781003259954-2</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pPr/>
      <w:r>
        <w:rPr>
          <w:b/>
        </w:rPr>
        <w:t>POSSIBLE 2022:</w:t>
      </w:r>
      <w:r>
        <w:t xml:space="preserve"> Digitalisation as the Indicator of the Evidence of Sustainability in the European Union — https://doi.org/10.3390/su14148371</w:t>
      </w:r>
    </w:p>
    <w:p>
      <w:pPr/>
      <w:r>
        <w:rPr>
          <w:b/>
        </w:rPr>
        <w:t>Shared claim-specific concepts:</w:t>
      </w:r>
      <w:r>
        <w:t xml:space="preserve"> create, indicators, indicator, fixed; EU scope visible. This is a provisional connection, not an outcome finding.</w:t>
      </w:r>
    </w:p>
    <w:p>
      <w:pPr>
        <w:pStyle w:val="SourceNote"/>
      </w:pPr>
      <w:r>
        <w:rPr>
          <w:b/>
        </w:rPr>
        <w:t>Available abstract (not full text):</w:t>
      </w:r>
      <w:r>
        <w:t xml:space="preserve">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pPr/>
      <w:r>
        <w:rPr>
          <w:b/>
        </w:rPr>
        <w:t>POSSIBLE 2021:</w:t>
      </w:r>
      <w:r>
        <w:t xml:space="preserve"> The impact of sustainable tourism indicators on destination competitiveness: the European Tourism Indicator System — https://doi.org/10.1080/09669582.2021.1910281</w:t>
      </w:r>
    </w:p>
    <w:p>
      <w:pPr/>
      <w:r>
        <w:rPr>
          <w:b/>
        </w:rPr>
        <w:t>Shared claim-specific concepts:</w:t>
      </w:r>
      <w:r>
        <w:t xml:space="preserve"> indicators, indicator, based; EU scope visible. This is a provisional connection, not an outcome finding.</w:t>
      </w:r>
    </w:p>
    <w:p>
      <w:pPr>
        <w:pStyle w:val="SourceNote"/>
      </w:pPr>
      <w:r>
        <w:rPr>
          <w:b/>
        </w:rPr>
        <w:t>Available abstract (not full text):</w:t>
      </w:r>
      <w:r>
        <w:t xml:space="preserve">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pPr/>
      <w:r>
        <w:rPr>
          <w:b/>
        </w:rPr>
        <w:t>POSSIBLE 2020:</w:t>
      </w:r>
      <w:r>
        <w:t xml:space="preserve"> National Set of MAES Indicators in Greece: Ecosystem Services and Management Implications — https://doi.org/10.3390/f11050595</w:t>
      </w:r>
    </w:p>
    <w:p>
      <w:pPr/>
      <w:r>
        <w:rPr>
          <w:b/>
        </w:rPr>
        <w:t>Shared claim-specific concepts:</w:t>
      </w:r>
      <w:r>
        <w:t xml:space="preserve"> create, set, indicators, areas, indicator, based; EU scope visible. This is a provisional connection, not an outcome finding.</w:t>
      </w:r>
    </w:p>
    <w:p>
      <w:pPr>
        <w:pStyle w:val="SourceNote"/>
      </w:pPr>
      <w:r>
        <w:rPr>
          <w:b/>
        </w:rPr>
        <w:t>Available abstract (not full text):</w:t>
      </w:r>
      <w:r>
        <w:t xml:space="preserve"> Research Highlights: The developed National Set of Indicators for the Mapping and Assessment of Ecosystems and their Services (MAES) implementation in Greece at the national level sets the official, national basis on which future studies will be conducted for MAES reporting for the achievement of targets within the National and the European Union (EU) biodiversity Strategy. Background and Objectives: Greece is currently developing and implementing a MAES nation-wide program based on the region’s unique characteristics following the proposed methodologies by the European Commission, in the frame of the LIFE-IP 4 NATURA project (Integrated actions for the conservation and management of Natura 2000 sites, species, habitats and ecosystems in Greece). In this paper, we present the steps followed to compile standardized MAES indicators for Greece that include: (a) collection and review of the available MAES-related datasets, (b) shortcomings and limitations encountered and overcome, (c) identification of data gaps and (d) assumptions and framework setting. Correspondence to EU and National Strategies and Policies are also examined to provide an initial guidance for detailed thematic studies. Materials and Methods: We followed the requirements of the EU MAES framework for ecosystem services and ecosystem condition indicator selection. Ecosystem services reported under the selected ind</w:t>
      </w:r>
    </w:p>
    <w:p>
      <w:pPr/>
      <w:r>
        <w:rPr>
          <w:b/>
        </w:rPr>
        <w:t>POSSIBLE 2020:</w:t>
      </w:r>
      <w:r>
        <w:t xml:space="preserve"> Spatial analysis of indicators affecting the exploitation of shallow geothermal energy at European scale — https://doi.org/10.1016/j.renene.2020.11.081</w:t>
      </w:r>
    </w:p>
    <w:p>
      <w:pPr/>
      <w:r>
        <w:rPr>
          <w:b/>
        </w:rPr>
        <w:t>Shared claim-specific concepts:</w:t>
      </w:r>
      <w:r>
        <w:t xml:space="preserve"> set, indicators, areas, high, indicator; EU scope visible. This is a provisional connection, not an outcome finding.</w:t>
      </w:r>
    </w:p>
    <w:p>
      <w:pPr>
        <w:pStyle w:val="SourceNote"/>
      </w:pPr>
      <w:r>
        <w:rPr>
          <w:b/>
        </w:rPr>
        <w:t>Available abstract (not full text):</w:t>
      </w:r>
      <w:r>
        <w:t xml:space="preserve"> Shallow Geothermal Energy (SGE) exploited by vertical close loop Ground Source Heat Pumps (GSHP) is a proven, reliable, and widespread renewable heating and cooling technology. However, in many regions there is still a lack of awareness among policy makers and end users, constituting a major constraint to wider deployment of SGE. In order to contribute to its market consolidation, this work focuses on bringing to light relevant spatial information affecting the suitability of SGE exploitation. This information is the result of the systematization of geological, climatic, and environmental open and available data translated into performance indicators. A set of thematic maps was created using Geographic Information Systems (GIS) comprising the European Member States and other European countries. The relative area and the amount of population affected per indicator was spatially analyzed to determine the most common values found and the affected population. The relationship between area percentage and population affected percentage per indicator was also analyzed and allowed to identify the most common indicators values in areas where high energy demands are expected. Additionally, an example of how this data can be used into a Multi-Criteria Decision-Making (MCDM) framework is shown.</w:t>
      </w:r>
    </w:p>
    <w:p>
      <w:pPr/>
      <w:r>
        <w:rPr>
          <w:b/>
        </w:rPr>
        <w:t>POSSIBLE 2020:</w:t>
      </w:r>
      <w:r>
        <w:t xml:space="preserve"> A comprehensive indicator set for measuring multiple benefits of energy efficiency — https://doi.org/10.1016/j.enpol.2020.111284</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 this paper, we develop a quantitative indicator approach including 20 indicators to measure the multiple benefits of energy efficiency (MB-EE). The MB-EEs are classified into three groups: environmental (e.g. energy savings, emissions), economic (e.g. GDP, employment), and social (health, energy poverty) aspects. We explain the methodological approach, the underlying data sources and limitations. The indicator set has been applied to 29 countries (EU28 plus Norway) for the period 2000 to 2015, proving that it allows to conduct in-depth comparisons of developments and differences across Europe. The indicator set also supports the design of well-suited energy policies by allowing to take into account, on an informed basis, more of the multiple impacts of energy efficiency. For example, our analysis of the effect of energy savings for the period 2000 to 2015 in Germany shows GHG savings of about 158 MtCO2eq., about 30,000 avoided deaths due to less air pollution, a reduction of Germany's import dependency by 5.8 percentage points and a growth of GDP by around 0.3% per year for the period 2010 to 2015) as a consequence of improved energy efficiency. To conclude, the presented approach allows to comprehensively and regularly assess policies in terms of their MB-EEs.</w:t>
      </w:r>
    </w:p>
    <w:p>
      <w:pPr>
        <w:pStyle w:val="Heading2"/>
      </w:pPr>
      <w:r>
        <w:t>800.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2020:</w:t>
      </w:r>
      <w:r>
        <w:t xml:space="preserve"> Foresight – Using Science and Evidence to Anticipate and Shape the Future — https://doi.org/10.1016/b978-0-12-822596-7.00012-7</w:t>
      </w:r>
    </w:p>
    <w:p>
      <w:pPr/>
      <w:r>
        <w:rPr>
          <w:b/>
        </w:rPr>
        <w:t>Shared claim-specific concepts:</w:t>
      </w:r>
      <w:r>
        <w:t xml:space="preserve"> foresight, possible, help, identify; EU scope not established. This is a provisional connection, not an outcome finding.</w:t>
      </w:r>
    </w:p>
    <w:p>
      <w:pPr>
        <w:pStyle w:val="SourceNote"/>
      </w:pPr>
      <w:r>
        <w:rPr>
          <w:b/>
        </w:rPr>
        <w:t>Available abstract (not full text):</w:t>
      </w:r>
      <w:r>
        <w:t xml:space="preserve">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pPr/>
      <w:r>
        <w:rPr>
          <w:b/>
        </w:rPr>
        <w:t>POSSIBLE 2020:</w:t>
      </w:r>
      <w:r>
        <w:t xml:space="preserve"> EVIDENCE- AND FORESIGHT-BASED POLICY: DICHOTOMY OR OVERLAP? — https://doi.org/10.46473/wcsaj27240606/18-09-2020-0014//full/html</w:t>
      </w:r>
    </w:p>
    <w:p>
      <w:pPr/>
      <w:r>
        <w:rPr>
          <w:b/>
        </w:rPr>
        <w:t>Shared claim-specific concepts:</w:t>
      </w:r>
      <w:r>
        <w:t xml:space="preserve"> foresight, economy, identify, best; EU scope not established. This is a provisional connection, not an outcome finding.</w:t>
      </w:r>
    </w:p>
    <w:p>
      <w:pPr>
        <w:pStyle w:val="SourceNote"/>
      </w:pPr>
      <w:r>
        <w:rPr>
          <w:b/>
        </w:rPr>
        <w:t>Available abstract (not full text):</w:t>
      </w:r>
      <w:r>
        <w:t xml:space="preserve">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pPr/>
      <w:r>
        <w:rPr>
          <w:b/>
        </w:rPr>
        <w:t>POSSIBLE 2019:</w:t>
      </w:r>
      <w:r>
        <w:t xml:space="preserve"> Forecasting and foresight — https://doi.org/10.17169/refubium-26117</w:t>
      </w:r>
    </w:p>
    <w:p>
      <w:pPr/>
      <w:r>
        <w:rPr>
          <w:b/>
        </w:rPr>
        <w:t>Shared claim-specific concepts:</w:t>
      </w:r>
      <w:r>
        <w:t xml:space="preserve"> foresight, help; EU scope visible. This is a provisional connection, not an outcome finding.</w:t>
      </w:r>
    </w:p>
    <w:p>
      <w:pPr>
        <w:pStyle w:val="SourceNote"/>
      </w:pPr>
      <w:r>
        <w:rPr>
          <w:b/>
        </w:rPr>
        <w:t>Available abstract (not full text):</w:t>
      </w:r>
      <w:r>
        <w:t xml:space="preserve">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pPr/>
      <w:r>
        <w:rPr>
          <w:b/>
        </w:rPr>
        <w:t>POSSIBLE 2017:</w:t>
      </w:r>
      <w:r>
        <w:t xml:space="preserve"> Deliberating foresight knowledge for policy and foresight knowledge assessment — https://doi.org/10.4324/9781351280440-10</w:t>
      </w:r>
    </w:p>
    <w:p>
      <w:pPr/>
      <w:r>
        <w:rPr>
          <w:b/>
        </w:rPr>
        <w:t>Shared claim-specific concepts:</w:t>
      </w:r>
      <w:r>
        <w:t xml:space="preserve"> foresight, sustainable, way, adapted; EU scope not established. This is a provisional connection, not an outcome finding.</w:t>
      </w:r>
    </w:p>
    <w:p>
      <w:pPr>
        <w:pStyle w:val="SourceNote"/>
      </w:pPr>
      <w:r>
        <w:rPr>
          <w:b/>
        </w:rPr>
        <w:t>Available abstract (not full text):</w:t>
      </w:r>
      <w:r>
        <w:t xml:space="preserve"> This chapter assesses the way in which foresight knowledge is deliberated in policy and offers methods to assess the quality of foresight knowledge generated during foresight exercises. It describes the deliberation process in the policy context and identifies the normative dimensions of such a process. The chapter examines the issue of knowledge assessment of foresight knowledge. Foresight knowledge is illustrated in relation to sustainable development issues. Foresight activities are, and should, in principle be adapted to processes of deliberative policy of modern Western societies. The level concerns a broad political debate, which assumes a political consensus on the need for long-term planning if it engages foresight exercises. To appreciate any type of knowledge assessment, one needs to take into account the particular features of &amp;s;foresight&amp;s; knowledge. Knowledge is an asset to initiate issue framing, exploring uncertainty, possibilities and action.</w:t>
      </w:r>
    </w:p>
    <w:p>
      <w:pPr>
        <w:pStyle w:val="Heading2"/>
      </w:pPr>
      <w:r>
        <w:t>801.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2024:</w:t>
      </w:r>
      <w:r>
        <w:t xml:space="preserve"> Factors Influencing Greenhouse Gas Reduction Measures in European Ports: Implications for Sustainable Investing — https://doi.org/10.3390/jrfm17080329</w:t>
      </w:r>
    </w:p>
    <w:p>
      <w:pPr/>
      <w:r>
        <w:rPr>
          <w:b/>
        </w:rPr>
        <w:t>Shared claim-specific concepts:</w:t>
      </w:r>
      <w:r>
        <w:t xml:space="preserve"> reduction, greenhouse, gas, used, methods; EU scope visible. This is a provisional connection, not an outcome finding.</w:t>
      </w:r>
    </w:p>
    <w:p>
      <w:pPr>
        <w:pStyle w:val="SourceNote"/>
      </w:pPr>
      <w:r>
        <w:rPr>
          <w:b/>
        </w:rPr>
        <w:t>Available abstract (not full text):</w:t>
      </w:r>
      <w:r>
        <w:t xml:space="preserve"> European Union cargo and container ports are under pressure to reduce GHG emissions and achieve carbon neutrality by 2050, as mandated by the European Commission. The pace of progress varies among ports. This study examined the characteristics influencing GHG reduction measures in European cargo and container ports and their implications for sustainable investing. The methods used in this study, such as linear regression models to analyze predictive variables, can be applied in sustainable investing to assess which factors most strongly predict a company’s environmental, social, and governance performance. Using linear regression models to analyze data from the 33 busiest European ports, we identified five predictive variables: port size, cargo mix, surrounding population density, access to the sea, and the economic wealth of the host country. Our findings revealed that the port size significantly correlates with the adoption of measures to reduce scope 1, 2, and 3 emissions. This study underscores the importance of contextual and operational factors in evaluating sustainability efforts across sectors. The results contribute to drawing parallels with the field of sustainable investing within finance. This offers valuable insights for sustainable investing, emphasizing the importance of considering various contextual and operational factors when evaluating the sustainability eff</w:t>
      </w:r>
    </w:p>
    <w:p>
      <w:pPr/>
      <w:r>
        <w:rPr>
          <w:b/>
        </w:rPr>
        <w:t>POSSIBLE 2024:</w:t>
      </w:r>
      <w:r>
        <w:t xml:space="preserve"> Greenhouse gas emission reduction potential in road tunnels – Can we reach the European Union goals with existing materials and technologies? — https://doi.org/10.1016/j.tust.2024.106011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To achieve the European Uniońs climate goals, the Norwegian transport sector has committed to decrease the Greenhouse gas (GHG) emissions by 2030. For infrastructure projects, the GHG emissions from construction must be reduced by 40 %, while the emissions from maintenance must be cut by 50%. This paper investigates how realistic the GHG emission reduction goals are, if available low carbon materials and technologies are fully adopted. To examine this, we have chosen a typical Norwegian road tunnel from which two carbon emission scenarios are presented. While tunnels represent a specific subset of road infrastructure, this study showcases that implementing sustainable practices in drill and blast tunnel construction can align with the European Union’s ambitious 2030 targets. Besides this, the findings can assist stakeholders to get advice on the environmental impacts of tunnel designs.</w:t>
      </w:r>
    </w:p>
    <w:p>
      <w:pPr/>
      <w:r>
        <w:rPr>
          <w:b/>
        </w:rPr>
        <w:t>POSSIBLE 2024:</w:t>
      </w:r>
      <w:r>
        <w:t xml:space="preserve"> Evolution and Impact of the European Union's Energy Policy: From Fossil Fuels to Renewable Energy and Greenhouse Gas Emissions Reduction — https://doi.org/10.35808/ersj/3352</w:t>
      </w:r>
    </w:p>
    <w:p>
      <w:pPr/>
      <w:r>
        <w:rPr>
          <w:b/>
        </w:rPr>
        <w:t>Shared claim-specific concepts:</w:t>
      </w:r>
      <w:r>
        <w:t xml:space="preserve"> reduction, greenhouse, gas, emission, further, approach; EU scope visible. This is a provisional connection, not an outcome finding.</w:t>
      </w:r>
    </w:p>
    <w:p>
      <w:pPr>
        <w:pStyle w:val="SourceNote"/>
      </w:pPr>
      <w:r>
        <w:rPr>
          <w:b/>
        </w:rPr>
        <w:t>Available abstract (not full text):</w:t>
      </w:r>
      <w:r>
        <w:t xml:space="preserve"> Purpose: This scientific work focuses on analyzing the energy transformation in the European Union (EU) from 2000 to 2021, considering the shift from fossil fuels to renewable energy sources and strategies for reducing greenhouse gas emissions.The research aims to understand how the EU's energy policy has influenced the structure of energy production and consumption, as well as the emission of greenhouse gases in its member states, with particular emphasis on key initiatives such as the Kyoto Protocol, the 2020 climate and energy package, and the European Green Deal.Design/methodology/approach: Utilizing a comprehensive dataset and a variety of research methods, this work provides empirical insights into the effects of the EU's energy policy.The analysis examines the impact of implemented initiatives and regulations on the energy mix, noting an increase in the share of renewable energy and a decrease in GHG emissions.Findings: The study revealed that these initiatives and regulations have contributed to a significant change in the energy mix, marking an increase in renewable energy's share and a decline in GHG emissions.However, the research also uncovers challenges and disparities in achieving these goals among different member states.Practical implications: This work makes a significant contribution to the discussion on the efficiency and future directions of the EU's energy </w:t>
      </w:r>
    </w:p>
    <w:p>
      <w:pPr/>
      <w:r>
        <w:rPr>
          <w:b/>
        </w:rPr>
        <w:t>POSSIBLE 2023:</w:t>
      </w:r>
      <w:r>
        <w:t xml:space="preserve"> Analysis of greenhouse gas and pollutant emission reduction in Ukraine and European Union countries — https://doi.org/10.23939/jeecs2023.01.001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pPr/>
      <w:r>
        <w:rPr>
          <w:b/>
        </w:rPr>
        <w:t>POSSIBLE 2023:</w:t>
      </w:r>
      <w:r>
        <w:t xml:space="preserve"> Climate Policy of the European Union: Reduction of Greenhouse Gas Emissions from Industrial Enterprises — https://doi.org/10.1051/bioconf/20236303014</w:t>
      </w:r>
    </w:p>
    <w:p>
      <w:pPr/>
      <w:r>
        <w:rPr>
          <w:b/>
        </w:rPr>
        <w:t>Shared claim-specific concepts:</w:t>
      </w:r>
      <w:r>
        <w:t xml:space="preserve"> reduction, greenhouse, gas, basis; EU scope visible. This is a provisional connection, not an outcome finding.</w:t>
      </w:r>
    </w:p>
    <w:p>
      <w:pPr>
        <w:pStyle w:val="SourceNote"/>
      </w:pPr>
      <w:r>
        <w:rPr>
          <w:b/>
        </w:rPr>
        <w:t>Available abstract (not full text):</w:t>
      </w:r>
      <w:r>
        <w:t xml:space="preserve"> The global climate is determined by the global average temperature, which depends on the concentration of greenhouse gases (GHGs) in the atmosphere, which continue to rise. The key to addressing climate change is to reduce emissions and reduce GHG concentrations through removals. As part of the global climate agenda, a goal has been developed: to reach net-zero emissions in the second half of the 21st century (anthropogenic emissions should be equal to GHG removals). Currently, the climate policy of developed countries is undergoing a stage of major changes, and new energy technologies play the main role in this process. At the same time, the future of global energy and climate is increasingly dependent on decisions made in emerging market and developing countries. Emerging market and developing economies now account for more than two-thirds of global CO2 emissions, while emissions in advanced economies are declining structurally. On a per capita basis, emissions are a quarter of those of advanced economies, but economic growth and rising incomes create potential for demand and emissions growth. The challenge for developing countries is to find new models of economic development that avoid high levels of emissions, rather than repeating the path traveled by developed countries. Lowering the cost of key clean energy technologies opens up opportunities for lower-emission economic</w:t>
      </w:r>
    </w:p>
    <w:p>
      <w:pPr/>
      <w:r>
        <w:rPr>
          <w:b/>
        </w:rPr>
        <w:t>POSSIBLE 2023:</w:t>
      </w:r>
      <w:r>
        <w:t xml:space="preserve"> Assessing the Convergence of Farming Systems towards a Reduction of Greenhouse Gas Emissions in European Union Countries — https://doi.org/10.3390/agronomy13051263</w:t>
      </w:r>
    </w:p>
    <w:p>
      <w:pPr/>
      <w:r>
        <w:rPr>
          <w:b/>
        </w:rPr>
        <w:t>Shared claim-specific concepts:</w:t>
      </w:r>
      <w:r>
        <w:t xml:space="preserve"> reduction, greenhouse, gas, basis, use, methods; EU scope visible. This is a provisional connection, not an outcome finding.</w:t>
      </w:r>
    </w:p>
    <w:p>
      <w:pPr>
        <w:pStyle w:val="SourceNote"/>
      </w:pPr>
      <w:r>
        <w:rPr>
          <w:b/>
        </w:rPr>
        <w:t>Available abstract (not full text):</w:t>
      </w:r>
      <w:r>
        <w:t xml:space="preserve"> This study investigates change in the intensification of agricultural activities and its effect on the greenhouse gas (GHG) emissions of the 27 European Union (EU) Member States over a ten-year period from 2009 to 2019. Both multivariate and non-parametric convergence analyses were employed, using 27 indicators extrapolated from the FAO dataset. The results provide a reasonable assessment of the differences between countries in relation to their farming production methods and show that the levels of convergence/divergence depend on changes in agricultural activities over the past decade. Indeed, differences in land use, the application of organic fertilizers and pesticides, the raising of livestock, and GHG emissions allow “homogenous” groups of Member States with common features to be identified. It is important to understand the dynamics of different agriculture systems and production activities because, beneath management practices, there may be differences between systems. In particular, in the context of the Common Agricultural Policy 2023–2027, the results of grouping can act as the basis for a diversified policy for reducing GHG emissions in relation to specific clusters of EU countries.</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reduction, greenhouse, gas, emission, about;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802.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r>
        <w:rPr>
          <w:b/>
        </w:rPr>
        <w:t>POSSIBLE 2019:</w:t>
      </w:r>
      <w:r>
        <w:t xml:space="preserve"> Evaluation of a constructed wetland for wastewater treatment: Addressing emerging organic contaminants and antibiotic resistant bacteria — https://doi.org/10.1016/j.nbt.2019.05.006</w:t>
      </w:r>
    </w:p>
    <w:p>
      <w:pPr/>
      <w:r>
        <w:rPr>
          <w:b/>
        </w:rPr>
        <w:t>Shared claim-specific concepts:</w:t>
      </w:r>
      <w:r>
        <w:t xml:space="preserve"> several, constructed, evaluate, different, water; EU scope not established. This is a provisional connection, not an outcome finding.</w:t>
      </w:r>
    </w:p>
    <w:p>
      <w:pPr>
        <w:pStyle w:val="SourceNote"/>
      </w:pPr>
      <w:r>
        <w:rPr>
          <w:b/>
        </w:rPr>
        <w:t>Available abstract (not full text):</w:t>
      </w:r>
      <w:r>
        <w:t xml:space="preserve">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pStyle w:val="Heading2"/>
      </w:pPr>
      <w:r>
        <w:t>803.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2023:</w:t>
      </w:r>
      <w:r>
        <w:t xml:space="preserve"> European Academy of Neurology/Peripheral Nerve Society Guideline on diagnosis and treatment of Guillain–Barré syndrome — https://doi.org/10.1111/ene.16073</w:t>
      </w:r>
    </w:p>
    <w:p>
      <w:pPr/>
      <w:r>
        <w:rPr>
          <w:b/>
        </w:rPr>
        <w:t>Shared claim-specific concepts:</w:t>
      </w:r>
      <w:r>
        <w:t xml:space="preserve"> specific, peripheral; EU scope visible. This is a provisional connection, not an outcome finding.</w:t>
      </w:r>
    </w:p>
    <w:p>
      <w:pPr>
        <w:pStyle w:val="SourceNote"/>
      </w:pPr>
      <w:r>
        <w:rPr>
          <w:b/>
        </w:rPr>
        <w:t>Available abstract (not full text):</w:t>
      </w:r>
      <w:r>
        <w:t xml:space="preserve">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pPr/>
      <w:r>
        <w:rPr>
          <w:b/>
        </w:rPr>
        <w:t>POSSIBLE 2022:</w:t>
      </w:r>
      <w:r>
        <w:t xml:space="preserve"> International Open Innovation Strategies of Firms in European Peripheral Regions — https://doi.org/10.3390/joitmc8010007</w:t>
      </w:r>
    </w:p>
    <w:p>
      <w:pPr/>
      <w:r>
        <w:rPr>
          <w:b/>
        </w:rPr>
        <w:t>Shared claim-specific concepts:</w:t>
      </w:r>
      <w:r>
        <w:t xml:space="preserve"> peripheral, local, used; EU scope visible. This is a provisional connection, not an outcome finding.</w:t>
      </w:r>
    </w:p>
    <w:p>
      <w:pPr>
        <w:pStyle w:val="SourceNote"/>
      </w:pPr>
      <w:r>
        <w:rPr>
          <w:b/>
        </w:rPr>
        <w:t>Available abstract (not full text):</w:t>
      </w:r>
      <w:r>
        <w:t xml:space="preserve">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pPr/>
      <w:r>
        <w:rPr>
          <w:b/>
        </w:rPr>
        <w:t>POSSIBLE 2020:</w:t>
      </w:r>
      <w:r>
        <w:t xml:space="preserve"> The EBRD, fail forward neoliberalism and the construction of the European periphery — https://doi.org/10.1177/1035304620916652</w:t>
      </w:r>
    </w:p>
    <w:p>
      <w:pPr/>
      <w:r>
        <w:rPr>
          <w:b/>
        </w:rPr>
        <w:t>Shared claim-specific concepts:</w:t>
      </w:r>
      <w:r>
        <w:t xml:space="preserve"> peripheral, region, external, environment; EU scope visible. This is a provisional connection, not an outcome finding.</w:t>
      </w:r>
    </w:p>
    <w:p>
      <w:pPr>
        <w:pStyle w:val="SourceNote"/>
      </w:pPr>
      <w:r>
        <w:rPr>
          <w:b/>
        </w:rPr>
        <w:t>Available abstract (not full text):</w:t>
      </w:r>
      <w:r>
        <w:t xml:space="preserve"> Abstract The European Bank for Reconstruction and Development is an institution, a set of programmes and policies designed to mark a number of important reforms not just in the post-Soviet space but in the wider European political economy. It is committed to developing a competitive business environment, foreign investment and private sector activity in the post-communist space. The European Bank for Reconstruction and Development is considered to be a key inter-state mechanism enabling member states to negotiate post-communist reforms. The paper reorients analysis of the European Bank for Reconstruction and Development, claiming that existing framings of the role of the EBRD ignore its tangible neoliberalising pressures. It argues that the EBRD works to fundamentally restructure states in the post-communist space in three ways: (1) the configuration of an ‘appropriately’ neoliberal economic space, (2) the construction of subaltern subjectivities in the regional space, and (3) the persistent dominance of expert knowledge and policy practice external to the state. This restructuring is intended to further neoliberalism in the economic space of the region. By uncoupling the European Bank for Reconstruction and Development from a state centric analysis, the paper reveals how the technical aspects of the European Bank for Reconstruction and Development activities configure particul</w:t>
      </w:r>
    </w:p>
    <w:p>
      <w:pPr/>
      <w:r>
        <w:rPr>
          <w:b/>
        </w:rPr>
        <w:t>POSSIBLE 2019:</w:t>
      </w:r>
      <w:r>
        <w:t xml:space="preserve"> Follow-up of patients after revascularisation for peripheral arterial diseases: a consensus document from the European Society of Cardiology Working Group on Aorta and Peripheral Vascular Diseases and the European Society for Vascular Surgery — https://doi.org/10.1177/2047487319846999</w:t>
      </w:r>
    </w:p>
    <w:p>
      <w:pPr/>
      <w:r>
        <w:rPr>
          <w:b/>
        </w:rPr>
        <w:t>Shared claim-specific concepts:</w:t>
      </w:r>
      <w:r>
        <w:t xml:space="preserve"> specific, peripheral, local; EU scope visible. This is a provisional connection, not an outcome finding.</w:t>
      </w:r>
    </w:p>
    <w:p>
      <w:pPr>
        <w:pStyle w:val="SourceNote"/>
      </w:pPr>
      <w:r>
        <w:rPr>
          <w:b/>
        </w:rPr>
        <w:t>Available abstract (not full text):</w:t>
      </w:r>
      <w:r>
        <w:t xml:space="preserve"> Peripheral arterial diseases comprise different clinical presentations, from cerebrovascular disease down to lower extremity artery disease, from subclinical to disabling symptoms and events. According to clinical presentation, the patient's general condition, anatomical location and extension of lesions, revascularisation may be needed in addition to best medical treatment. The 2017 European Society of Cardiology guidelines in collaboration with the European Society for Vascular Surgery have addressed the indications for revascularisation. While most cases are amenable to either endovascular or surgical revascularisation, maintaining long-term patency is often challenging. Early and late procedural complications, but also local and remote recurrences frequently lead to revascularisation failure. The rationale for surveillance is to propose the accurate implementation of preventive strategies to avoid other cardiovascular events and disease progression and avoid recurrence of symptoms and the need for redo revascularisation. Combined with vascular history and physical examination, duplex ultrasound scanning is the pivotal imaging technique for identifying revascularisation failures. Other non-invasive examinations (ankle and toe brachial index, computed tomography scan, magnetic resonance imaging) at regular intervals can optimise surveillance in specific settings. Currently, o</w:t>
      </w:r>
    </w:p>
    <w:p>
      <w:pPr/>
      <w:r>
        <w:rPr>
          <w:b/>
        </w:rPr>
        <w:t>POSSIBLE 2017:</w:t>
      </w:r>
      <w:r>
        <w:t xml:space="preserve"> 2017 ESC Guidelines on the Diagnosis and Treatment of Peripheral Arterial Diseases, in collaboration with the European Society for Vascular Surgery (ESVS) — https://doi.org/10.1093/eurheartj/ehx095</w:t>
      </w:r>
    </w:p>
    <w:p>
      <w:pPr/>
      <w:r>
        <w:rPr>
          <w:b/>
        </w:rPr>
        <w:t>Shared claim-specific concepts:</w:t>
      </w:r>
      <w:r>
        <w:t xml:space="preserve"> peripheral, information; EU scope visible. This is a provisional connection, not an outcome finding.</w:t>
      </w:r>
    </w:p>
    <w:p>
      <w:pPr>
        <w:pStyle w:val="SourceNote"/>
      </w:pPr>
      <w:r>
        <w:rPr>
          <w:b/>
        </w:rPr>
        <w:t>Available abstract (not full text):</w:t>
      </w:r>
      <w:r>
        <w:t xml:space="preserve"> The disclosure forms of all experts involved in the development of these guidelines are available on the ESC website http://www.escardio.org/guidelines. The Addenda and Questions and Answers companion documents of these guidelines are available at: www.escardio.org/Guidelines/Clinical-Practice-Guidelines/Peripheral-Artery-Diseases-Diagnosis-and-Treatment-of For the Web Addenda which include background information and detailed discussion of the data that have provided the basis for the recommendations see https://academic.oup.com/eurheartj/article-lookup/doi/10.1093/eurheartj/ehx095#supplementary-data Current background information and detailed discussion of the data for these Guidelines can be found in ESC CardioMed - Section 49 Peripheral arterial diseases ... ... Guidelines summarize and evaluate available evidence with the aim of assisting health professionals in selecting the best management strategies for an individual patient with a given condition. Guidelines and their recommendations should facilitate decision making of health professionals in their daily practice. However, the final decisions concerning an individual patient must be made by the responsible health professional(s) in consultation with the patient and caregiver as appropriate.</w:t>
      </w:r>
    </w:p>
    <w:p>
      <w:pPr>
        <w:pStyle w:val="Heading2"/>
      </w:pPr>
      <w:r>
        <w:t>804.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805.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2022:</w:t>
      </w:r>
      <w:r>
        <w:t xml:space="preserve"> The implications of globalization on COVID-19 vaccination in Europe — https://doi.org/10.1038/s41598-022-21493-w</w:t>
      </w:r>
    </w:p>
    <w:p>
      <w:pPr/>
      <w:r>
        <w:rPr>
          <w:b/>
        </w:rPr>
        <w:t>Shared claim-specific concepts:</w:t>
      </w:r>
      <w:r>
        <w:t xml:space="preserve"> implications, countries, lack, period, international; EU scope visible. This is a provisional connection, not an outcome finding.</w:t>
      </w:r>
    </w:p>
    <w:p>
      <w:pPr>
        <w:pStyle w:val="SourceNote"/>
      </w:pPr>
      <w:r>
        <w:rPr>
          <w:b/>
        </w:rPr>
        <w:t>Available abstract (not full text):</w:t>
      </w:r>
      <w:r>
        <w:t xml:space="preserve"> Although globalization has left its mark on economic dynamism, causing conditionalities among various aspects (market openness, production networks, technological and information developments, migratory flows, international cooperation, humanitarian support, etc.), the less pleasant side of it should not be omitted, i.e. the emergence of the framework for the faster diffusion of epidemiological diseases. Thus, with the onset of the SARS-CoV-2 virus, its widespread circulation is a serious challenge for the provision of efficient solutions to combat it, especially in countries with fragile health systems, poor institutional quality and lack of resources. In this paper we aim to investigate the implications of globalization on the COVID-19 vaccination of the population. The period under analysis is January 1, 2021-January 1, 2022, using montly data, and the object of our study are 48 European states. To capture the relationship between globalization and the vaccination rate, we applied regression models, including a number of factors that may influence the progress of vaccination. In order to test the robustness of the results, the two-stage least squares (2SLS) regressions was used. The regression models developed underlined that globalization impacts the degree of vaccination. More globalized economies are more competitive in COVID-19 management, and the significance of this ef</w:t>
      </w:r>
    </w:p>
    <w:p>
      <w:pPr/>
      <w:r>
        <w:rPr>
          <w:b/>
        </w:rPr>
        <w:t>POSSIBLE 2021:</w:t>
      </w:r>
      <w:r>
        <w:t xml:space="preserve"> Economic implications of a connected and automated mobility in Europe — https://doi.org/10.1016/j.retrec.2021.101072</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Connected and Automated Mobility will disrupt the road transport sector which has remained substantially unchanged since the vehicle became mass produced in the first half of the twentieth century. Given the central role of mobility for our society and economy, the implications of a transformation in the transport sector will not be limited to transport but will regard many other aspects of our society. The aim of this paper is to analyse the possible future socio-economic implications of such a disruption in the road transport sector. It builds upon a set of future road transport scenarios and aims to identify the main impacts in different economic sectors mostly from a qualitative perspective. Results show that the deployment of Connected and Automated Vehicles could provide profitable opportunities for sectors like automotive, electronics and software, telecommunication, data services, digital media and freight transport; but other sectors including insurance and maintenance and repair are identified as businesses that might suffer revenue decreases in the future. In all scenarios, the policy implications of the transformation can be strong, which implies that the evolution of the transport system has to be carefully monitored in order to promptly cope with possible future effects.</w:t>
      </w:r>
    </w:p>
    <w:p>
      <w:pPr/>
      <w:r>
        <w:rPr>
          <w:b/>
        </w:rPr>
        <w:t>POSSIBLE 2021:</w:t>
      </w:r>
      <w:r>
        <w:t xml:space="preserve"> Implications of COVID-19 lockdowns on surface passenger mobility and related CO2 emission changes in Europe — https://doi.org/10.1016/j.apenergy.2021.117396</w:t>
      </w:r>
    </w:p>
    <w:p>
      <w:pPr/>
      <w:r>
        <w:rPr>
          <w:b/>
        </w:rPr>
        <w:t>Shared claim-specific concepts:</w:t>
      </w:r>
      <w:r>
        <w:t xml:space="preserve"> implications, countries, during, period; EU scope visible. This is a provisional connection, not an outcome finding.</w:t>
      </w:r>
    </w:p>
    <w:p>
      <w:pPr>
        <w:pStyle w:val="SourceNote"/>
      </w:pPr>
      <w:r>
        <w:rPr>
          <w:b/>
        </w:rPr>
        <w:t>Available abstract (not full text):</w:t>
      </w:r>
      <w:r>
        <w:t xml:space="preserve"> The coronavirus pandemic has severely affected our daily lives, with direct consequences on passenger transport. This in turn has strongly impacted the energy demand of the transport sector and associated CO2 emissions. We analyse near real-time passenger mobility and related emission trends in Europe between 21 January and 21 September 2020. We compiled a dataset of country-, sector- and lockdown- specific values, representing daily activity changes in private, public, and active passenger transport. In the aggregate, surface passenger transport emissions fell by 11.2% corresponding to 40.3 MtCO2 in Europe. This decline was predominantly due to the reduction of private passenger transport in five European countries (France, Germany, Italy, Spain, and the UK). During the first lockdown in April 2020, CO2 emissions from surface passenger transport declined by 50% in Europe, resulting in a 7.1% reduction in total CO2 emissions. After April 2020, private passenger travel recovered rapidly, while public passenger flows remained low. Solely prompted by the private sector, a rebound in total emissions and surface passenger transport emissions of 1.5% and 10.7%, respectively, was estimated at the end of the study period. The resulting situation of increased private and decreased public passenger transport is in contradiction to major climate goals, and without reversing these trends, </w:t>
      </w:r>
    </w:p>
    <w:p>
      <w:pPr/>
      <w:r>
        <w:rPr>
          <w:b/>
        </w:rPr>
        <w:t>POSSIBLE 2020:</w:t>
      </w:r>
      <w:r>
        <w:t xml:space="preserve"> Shadow Education in Europe: Growing Prevalence, Underlying Forces, and Policy Implications — https://doi.org/10.1177/2096531119890142</w:t>
      </w:r>
    </w:p>
    <w:p>
      <w:pPr/>
      <w:r>
        <w:rPr>
          <w:b/>
        </w:rPr>
        <w:t>Shared claim-specific concepts:</w:t>
      </w:r>
      <w:r>
        <w:t xml:space="preserve"> implications, only, four, other, during; EU scope visible. This is a provisional connection, not an outcome finding.</w:t>
      </w:r>
    </w:p>
    <w:p>
      <w:pPr>
        <w:pStyle w:val="SourceNote"/>
      </w:pPr>
      <w:r>
        <w:rPr>
          <w:b/>
        </w:rPr>
        <w:t>Available abstract (not full text):</w:t>
      </w:r>
      <w:r>
        <w:t xml:space="preserve"> Purpose: Private supplementary tutoring, widely known as shadow education, has long been visible in East Asia, and now has spread to other parts of the world including Europe. This article maps the phenomenon, showing variations within Europe and analyzing its growth, underlying forces, and policy implications. Design/Approach/Methods: The article assembles a regional picture from available national sources. It focuses on the 28 members of the European Union. Findings: Within Europe, four subregions may be identified. Most prominent for the longest duration has been Southern Europe, pushed by political forces and cultural factors. In Eastern Europe, shadow education became prominent following the collapse of the Soviet Union and accompanying economic and social structures during which teachers and others had to earn extra incomes. In Western Europe, the advent of marketization alongside government schooling has fueled the growth of shadow education. Only in Northern Europe does shadow education remain modest in scale, but it is growing there too. Originality/Value: The article identifies forces underlying the growth of shadow education in Europe and highlights policy implications. By contributing this regional perspective to the wider literature on shadow education, the article permits juxtaposition with patterns in East Asia and elsewhere.</w:t>
      </w:r>
    </w:p>
    <w:p>
      <w:pPr/>
      <w:r>
        <w:rPr>
          <w:b/>
        </w:rPr>
        <w:t>POSSIBLE 2020:</w:t>
      </w:r>
      <w:r>
        <w:t xml:space="preserve"> Prospective Risk Assessment of Medicine Shortages in Europe and Israel: Findings and Implications — https://doi.org/10.3389/fphar.2020.00357</w:t>
      </w:r>
    </w:p>
    <w:p>
      <w:pPr/>
      <w:r>
        <w:rPr>
          <w:b/>
        </w:rPr>
        <w:t>Shared claim-specific concepts:</w:t>
      </w:r>
      <w:r>
        <w:t xml:space="preserve"> implications, only, lack; EU scope visible. This is a provisional connection, not an outcome finding.</w:t>
      </w:r>
    </w:p>
    <w:p>
      <w:pPr>
        <w:pStyle w:val="SourceNote"/>
      </w:pPr>
      <w:r>
        <w:rPr>
          <w:b/>
        </w:rPr>
        <w:t>Available abstract (not full text):</w:t>
      </w:r>
      <w:r>
        <w:t xml:space="preserve"> INTRODUCTION: While medicine shortages are complex, their mitigation is more of a challenge. Prospective risk assessment as a means to mitigate possible shortages, has yet to be applied equally across healthcare settings. The aims of this study have been to: 1) gain insight into risk-prevention against possible medicine shortages among healthcare experts; 2) review existing strategies for minimizing patient-health risks through applied risk assessment; and 3) learn from experiences related to application in practice. METHODOLOGY: ) with descriptive statistics based on the distribution of responses. Their proportional difference was tested by the chi-square test and Fisher's exact test for independence. Differences in the observed ordinal variables were tested by the Mann-Whitney or Kruskal-Wallis test. The qualitative data were tabulated and recombined with the quantitative data to observe, uncover and interpret meanings and patterns. RESULTS: The participants (61.7%) are aware of the use of risk assessment procedures as a coping strategy for medicine shortages, and named the particular risk assessment procedure they are familiar with failure mode and effect analysis (FMEA) (26.4%), root cause analysis (RCA) (23.5%), the healthcare FMEA (HFMEA) (14.7%), and the hazard analysis and critical control point (HACCP) (14.7%). Only 29.4% report risk assessment as integrated into mitig</w:t>
      </w:r>
    </w:p>
    <w:p>
      <w:pPr/>
      <w:r>
        <w:rPr>
          <w:b/>
        </w:rPr>
        <w:t>POSSIBLE 2020:</w:t>
      </w:r>
      <w:r>
        <w:t xml:space="preserve"> Skills in African Labor Markets and Implications for Migration to Europe — https://openalex.org/W3027951275</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This paper assesses the potential for skilled labor migration from sub-Saharan Africa to Europe. It utilizes representative surveys from Ghana and Kenya to shed light on the quality and distribution of skills in the labor markets of these countries. Skills in both countries are found to be unevenly distributed, with significant parts of the labor force being essentially unskilled. Similarly designed surveys from France, Germany, and the UK further allow comparing skills and formal education between the African and the European countries. On average, the labor force in the subSaharan African countries is less skilled and less educated than the European labor force. Importantly, even at the same levels of formal education, workers in Ghana and Kenya are substantially less skilled than workers in Europe. The paper further considers a number of hypothetical scenarios for skilled labor migration from the African to the European countries. It is demonstrated that the European countries would have to recruit workers from the very top end of the African skill distribution to match European demands for skills. In turn, the average worker from the African labor markets would fit only into the low end of the European skill distribution where employment rates are low. Hence, more regular and skilled labor migration from African countries will unlikely be a remedy for skill shortages in Eur</w:t>
      </w:r>
    </w:p>
    <w:p>
      <w:pPr/>
      <w:r>
        <w:rPr>
          <w:b/>
        </w:rPr>
        <w:t>POSSIBLE 2020:</w:t>
      </w:r>
      <w:r>
        <w:t xml:space="preserve"> Pesticide prioritization approaches and limitations in environmental monitoring studies: From Europe to Latin America and the Caribbean — https://doi.org/10.1016/j.envint.2020.105917</w:t>
      </w:r>
    </w:p>
    <w:p>
      <w:pPr/>
      <w:r>
        <w:rPr>
          <w:b/>
        </w:rPr>
        <w:t>Shared claim-specific concepts:</w:t>
      </w:r>
      <w:r>
        <w:t xml:space="preserve"> limitations, countries, other, during, different; EU scope visible. This is a provisional connection, not an outcome finding.</w:t>
      </w:r>
    </w:p>
    <w:p>
      <w:pPr>
        <w:pStyle w:val="SourceNote"/>
      </w:pPr>
      <w:r>
        <w:rPr>
          <w:b/>
        </w:rPr>
        <w:t>Available abstract (not full text):</w:t>
      </w:r>
      <w:r>
        <w:t xml:space="preserve"> Assessment and management of issues related to pesticide residues, such as environmental fate, monitoring and toxicity, are complex and, in many cases, require costly studies. The early establishment of a priority list of pesticides that should be monitored and assigned to a restricted-use policy is an important issue of post-registration Risk Assessment (RA). Various pesticide registration approaches have been adopted by different countries with those from Europe and the USA being the most popular, constituting the major prototypes for registration approaches in other countries. Adoption of pesticide registration and monitoring systems developed in Europe or USA by Latin American and Caribbean countries may underestimate factors affecting the environmental fate and toxicity of pesticides in their own countries. Incentive for this short review was the activities undertaken during the three KNOWPEC workshops held in Costa Rica, Argentina and Bolivia where European pesticide experts met Latin American experience in the form of Costa Rica's exceptional environmental conditions and ecology, Argentina's and Uruguay's soyisation and Bolivia's contrasting climate and agricultural zones. During the parallel activities of the workshop - including scientific presentations, field trips, interviews and meetings among European partners and pesticide stakeholders in Latin America, - the whol</w:t>
      </w:r>
    </w:p>
    <w:p>
      <w:pPr/>
      <w:r>
        <w:rPr>
          <w:b/>
        </w:rPr>
        <w:t>POSSIBLE 2018:</w:t>
      </w:r>
      <w:r>
        <w:t xml:space="preserve"> Catastrophic health spending in Europe: equity and policy implications of different calculation methods — https://doi.org/10.2471/blt.18.209031</w:t>
      </w:r>
    </w:p>
    <w:p>
      <w:pPr/>
      <w:r>
        <w:rPr>
          <w:b/>
        </w:rPr>
        <w:t>Shared claim-specific concepts:</w:t>
      </w:r>
      <w:r>
        <w:t xml:space="preserve"> implications, only, four, countries, other, different; EU scope visible. This is a provisional connection, not an outcome finding.</w:t>
      </w:r>
    </w:p>
    <w:p>
      <w:pPr>
        <w:pStyle w:val="SourceNote"/>
      </w:pPr>
      <w:r>
        <w:rPr>
          <w:b/>
        </w:rPr>
        <w:t>Available abstract (not full text):</w:t>
      </w:r>
      <w:r>
        <w:t xml:space="preserve"> OBJECTIVE: To investigate the equity and policy implications of different methods to calculate catastrophic health spending. METHODS: We used routinely collected data from recent household budget surveys in 14 European countries. We calculated the incidence of catastrophic health spending and its distribution across consumption quintiles using four methods. We compared the budget share method, which is used to monitor universal health coverage (UHC) in the sustainable development goals (SDGs), with three other well-established methods: actual food spending; partial normative food spending; and normative spending on food, housing and utilities. FINDINGS: Country estimates of the incidence of catastrophic health spending were generally similar using the normative spending on food, housing and utilities method and the budget share method at the 10% threshold of a household's ability to pay. The former method found that catastrophic spending was concentrated in the poorest quintile in all countries, whereas with the budget share method catastrophic spending was largely experienced by richer households. This is because the threshold for catastrophic health spending in the budget share method is the same for all households, while the other methods generated effective thresholds that varied across households. The normative spending on food, housing and utilities method was the only on</w:t>
      </w:r>
    </w:p>
    <w:p>
      <w:pPr/>
      <w:r>
        <w:rPr>
          <w:b/>
        </w:rPr>
        <w:t>POSSIBLE 2018:</w:t>
      </w:r>
      <w:r>
        <w:t xml:space="preserve"> Entrepreneurial intentions and entrepreneurship in European countries — https://doi.org/10.1108/ijis-07-2017-0062</w:t>
      </w:r>
    </w:p>
    <w:p>
      <w:pPr/>
      <w:r>
        <w:rPr>
          <w:b/>
        </w:rPr>
        <w:t>Shared claim-specific concepts:</w:t>
      </w:r>
      <w:r>
        <w:t xml:space="preserve"> limitations, implications, sample, only, countries, other; EU scope visible. This is a provisional connection, not an outcome finding.</w:t>
      </w:r>
    </w:p>
    <w:p>
      <w:pPr>
        <w:pStyle w:val="SourceNote"/>
      </w:pPr>
      <w:r>
        <w:rPr>
          <w:b/>
        </w:rPr>
        <w:t>Available abstract (not full text):</w:t>
      </w:r>
      <w:r>
        <w:t xml:space="preserve"> Purpose This study aims to pursue better understanding and investigation of the factor that can have an impact on the level of entrepreneurial activity. To achieve this, statistical analysis was conducted. Indicators from 22 countries of the European Union were reunited to compare the differences between entrepreneurial intention and entrepreneurship. Design/methodology/approach To analyse entrepreneurial intentions in Europe, two databases of the Global Databases Entrepreneurship Monitor (GEM) were used, namely, “GEM NES Key Indicators 2007-2015” and “GEM APS Key Indicators 2001-2015”, available at www.gemconsortium.org/data/sets , considering only the data from 2015 and analysed with IBM SPSS Statistics tool. Each original database includes 60 countries, and this study is limited to an analysis of only countries of the European continent, resulting in a sample of 22 countries. Findings The major determinants of the entrepreneurial intention in the countries studied were: “perceived capacity”; “entrepreneurial intention” itself which will, in fact, influence the “rate of nascent entrepreneurship”; “governmental and political factors” in relation to the respective “financing for the entrepreneur”; and “basic education and training” in entrepreneurship which influences “research and development”. Research limitations/implications This study has few limitations because, as it ref</w:t>
      </w:r>
    </w:p>
    <w:p>
      <w:pPr>
        <w:pStyle w:val="Heading2"/>
      </w:pPr>
      <w:r>
        <w:t>806.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2016:</w:t>
      </w:r>
      <w:r>
        <w:t xml:space="preserve"> Right-Wing Extremism and Terrorism in Europe: Current Developments and Issues for the Future — https://openalex.org/W2994049625</w:t>
      </w:r>
    </w:p>
    <w:p>
      <w:pPr/>
      <w:r>
        <w:rPr>
          <w:b/>
        </w:rPr>
        <w:t>Shared claim-specific concepts:</w:t>
      </w:r>
      <w:r>
        <w:t xml:space="preserve"> stark, contrast, white, show, almost, compared; EU scope visible. This is a provisional connection, not an outcome finding.</w:t>
      </w:r>
    </w:p>
    <w:p>
      <w:pPr>
        <w:pStyle w:val="SourceNote"/>
      </w:pPr>
      <w:r>
        <w:rPr>
          <w:b/>
        </w:rPr>
        <w:t>Available abstract (not full text):</w:t>
      </w:r>
      <w:r>
        <w:t xml:space="preserve">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807.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2021:</w:t>
      </w:r>
      <w:r>
        <w:t xml:space="preserve"> The Essentials of Marine Biotechnology — https://doi.org/10.3389/fmars.2021.629629</w:t>
      </w:r>
    </w:p>
    <w:p>
      <w:pPr/>
      <w:r>
        <w:rPr>
          <w:b/>
        </w:rPr>
        <w:t>Shared claim-specific concepts:</w:t>
      </w:r>
      <w:r>
        <w:t xml:space="preserve"> marine, energy, resources, field, technology; EU scope visible. This is a provisional connection, not an outcome finding.</w:t>
      </w:r>
    </w:p>
    <w:p>
      <w:pPr>
        <w:pStyle w:val="SourceNote"/>
      </w:pPr>
      <w:r>
        <w:rPr>
          <w:b/>
        </w:rPr>
        <w:t>Available abstract (not full text):</w:t>
      </w:r>
      <w:r>
        <w:t xml:space="preserve"> Coastal countries have traditionally relied on the existing marine resources (e.g., fishing, food, transport, recreation, and tourism) as well as tried to support new economic endeavors (ocean energy, desalination for water supply, and seabed mining). Modern societies and lifestyle resulted in an increased demand for dietary diversity, better health and well-being, new biomedicines, natural cosmeceuticals, environmental conservation, and sustainable energy sources. These societal needs stimulated the interest of researchers on the diverse and underexplored marine environments as promising and sustainable sources of biomolecules and biomass, and they are addressed by the emerging field of marine (blue) biotechnology. Blue biotechnology provides opportunities for a wide range of initiatives of commercial interest for the pharmaceutical, biomedical, cosmetic, nutraceutical, food, feed, agricultural, and related industries. This article synthesizes the essence, opportunities, responsibilities, and challenges encountered in marine biotechnology and outlines the attainment and valorization of directly derived or bio-inspired products from marine organisms. First, the concept of bioeconomy is introduced. Then, the diversity of marine bioresources including an overview of the most prominent marine organisms and their potential for biotechnological uses are described. This is followed b</w:t>
      </w:r>
    </w:p>
    <w:p>
      <w:pPr/>
      <w:r>
        <w:rPr>
          <w:b/>
        </w:rPr>
        <w:t>POSSIBLE 2021:</w:t>
      </w:r>
      <w:r>
        <w:t xml:space="preserve"> Marine Energy in the United States: An Overview of Opportunities — https://doi.org/10.2172/1766861</w:t>
      </w:r>
    </w:p>
    <w:p>
      <w:pPr/>
      <w:r>
        <w:rPr>
          <w:b/>
        </w:rPr>
        <w:t>Shared claim-specific concepts:</w:t>
      </w:r>
      <w:r>
        <w:t xml:space="preserve"> marine, energy, resources, performed, technology; EU scope not established. This is a provisional connection, not an outcome finding.</w:t>
      </w:r>
    </w:p>
    <w:p>
      <w:pPr>
        <w:pStyle w:val="SourceNote"/>
      </w:pPr>
      <w:r>
        <w:rPr>
          <w:b/>
        </w:rPr>
        <w:t>Available abstract (not full text):</w:t>
      </w:r>
      <w:r>
        <w:t xml:space="preserve"> This report provides a concise and consolidated overview of the Unites States’ marine energy resources . The results reported herein are primarily based on U.S. Department of Energy (DOE)-funded marine energy resource assessments in the following technology areas: wave, tidal currents, ocean currents, ocean thermal gradients, and river currents. This report also incorporates recent updates and refinements to the U.S. wave and tidal resource assessments performed by the national labs. Many of these refinements were undertaken to address feedback from the National Research Council’s evaluation of the original resource assessments (National Research Council 2013). Further, this report refines the analysis that has been published to date by identifying the marine energy resources available in each U.S. state or region to the extent practical. In short, this report summarizes the best available data on U.S. marine energy resources at the state, regional, and national scales.</w:t>
      </w:r>
    </w:p>
    <w:p>
      <w:pPr/>
      <w:r>
        <w:rPr>
          <w:b/>
        </w:rPr>
        <w:t>POSSIBLE 2021:</w:t>
      </w:r>
      <w:r>
        <w:t xml:space="preserve"> Legal and Political Barriers and Enablers to the Deployment of Marine Renewable Energy — https://doi.org/10.3390/en14164896</w:t>
      </w:r>
    </w:p>
    <w:p>
      <w:pPr/>
      <w:r>
        <w:rPr>
          <w:b/>
        </w:rPr>
        <w:t>Shared claim-specific concepts:</w:t>
      </w:r>
      <w:r>
        <w:t xml:space="preserve"> marine, energy, performed, technology, current; EU scope visible. This is a provisional connection, not an outcome finding.</w:t>
      </w:r>
    </w:p>
    <w:p>
      <w:pPr>
        <w:pStyle w:val="SourceNote"/>
      </w:pPr>
      <w:r>
        <w:rPr>
          <w:b/>
        </w:rPr>
        <w:t>Available abstract (not full text):</w:t>
      </w:r>
      <w:r>
        <w:t xml:space="preserve"> Ocean energy is a promising source of clean renewable energy, with clear development targets set by the European Commission. However, the ocean energy sector faces non-technological challenges and opportunities that are frequently overlooked in deployment plans. The present study aimed to provide a critical evaluation of the ocean energy sector’s legal, institutional, and political frameworks with an identification and analysis of both barriers and enabling features for the deployment of ocean energy. In the first stage, a literature review on the current political and regulatory frameworks of a set of European countries was carried out, setting the basis for the main challenges and enabling factors faced by the sector. Secondly, a critical analysis of the main non-technological barriers and enablers was performed, which was supported by questionnaires sent to regulators, technology developers, and test-site managers. This questionnaire allowed us to collect and integrate the views, perceptions, and personal experiences of the main stakeholders of the ocean energy sector in the analysis. The most relevant insights were collected to guide future policy instruments, supports, and consenting measures in a more informed and effective manner and to help accelerate the development of the sector.</w:t>
      </w:r>
    </w:p>
    <w:p>
      <w:pPr/>
      <w:r>
        <w:rPr>
          <w:b/>
        </w:rPr>
        <w:t>POSSIBLE 2020:</w:t>
      </w:r>
      <w:r>
        <w:t xml:space="preserve"> Blue energy and marine spatial planning in Southern Europe — https://doi.org/10.1016/j.enpol.2020.111421</w:t>
      </w:r>
    </w:p>
    <w:p>
      <w:pPr/>
      <w:r>
        <w:rPr>
          <w:b/>
        </w:rPr>
        <w:t>Shared claim-specific concepts:</w:t>
      </w:r>
      <w:r>
        <w:t xml:space="preserve"> marine, energy, role, resources, different; EU scope visible. This is a provisional connection, not an outcome finding.</w:t>
      </w:r>
    </w:p>
    <w:p>
      <w:pPr>
        <w:pStyle w:val="SourceNote"/>
      </w:pPr>
      <w:r>
        <w:rPr>
          <w:b/>
        </w:rPr>
        <w:t>Available abstract (not full text):</w:t>
      </w:r>
      <w:r>
        <w:t xml:space="preserve"> The 2050 target of the European Union to decarbonize the economy by 80–90% will undoubtedly see marine renewable energies playing a key role. The deployment of offshore facilities within the framework of Blue Growth creates tension as competition for other uses of the sea intensifies as economic exploitation of marine resources increases. Marine spatial planning (MSP) is being applied in different Member States, mainly in the North Sea basin, as a way of easing tensions while promoting blue energy. The southernmost marine areas of the continent also have considerable energy potential that, as yet, has not been exploited due to the limitations imposed by a narrow and steep continental shelf, not to mention legal and administrative barriers. MSP processes currently being developed by the application of Directive 2014/89/EU present an opportunity to resolve these conflicts and promote sustainable use of MRE sources in southern Europe. This paper analyzes the marine spatial planning process of five southern European countries - Spain, Greece, Italy, Malta and Portugal - with the aim of determining the degree to which they are incorporating blue energy policies.</w:t>
      </w:r>
    </w:p>
    <w:p>
      <w:pPr/>
      <w:r>
        <w:rPr>
          <w:b/>
        </w:rPr>
        <w:t>POSSIBLE 2020:</w:t>
      </w:r>
      <w:r>
        <w:t xml:space="preserve"> Energy Flow Through Marine Ecosystems: Confronting Transfer Efficiency — https://doi.org/10.1016/j.tree.2020.09.006</w:t>
      </w:r>
    </w:p>
    <w:p>
      <w:pPr/>
      <w:r>
        <w:rPr>
          <w:b/>
        </w:rPr>
        <w:t>Shared claim-specific concepts:</w:t>
      </w:r>
      <w:r>
        <w:t xml:space="preserve"> marine, energy, efficiency;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Energy at the End of the World — https://doi.org/10.7551/mitpress/10910.001.0001</w:t>
      </w:r>
    </w:p>
    <w:p>
      <w:pPr/>
      <w:r>
        <w:rPr>
          <w:b/>
        </w:rPr>
        <w:t>Shared claim-specific concepts:</w:t>
      </w:r>
      <w:r>
        <w:t xml:space="preserve"> marine, energy, technology; EU scope visible. This is a provisional connection, not an outcome finding.</w:t>
      </w:r>
    </w:p>
    <w:p>
      <w:pPr>
        <w:pStyle w:val="SourceNote"/>
      </w:pPr>
      <w:r>
        <w:rPr>
          <w:b/>
        </w:rPr>
        <w:t>Available abstract (not full text):</w:t>
      </w:r>
      <w:r>
        <w:t xml:space="preserve"> Making local energy futures, from marine energy to hydrogen fuel, at the edge of the world.The islands of Orkney, off the northern coast of Scotland, are closer to the Arctic Circle than to London. Surrounded by fierce seas and shrouded by clouds and mist, the islands seem to mark the edge of the known world. And yet they are a center for energy technology innovation, from marine energy to hydrogen fuel networks, attracting the interest of venture capitalists and local communities. In this book, Laura Watts tells a story of making energy futures at the edge of the world. Orkney, Watts tells us, has been making technology for six thousand years, from arrowheads and stone circles to wave and tide energy prototypes. Artifacts and traces of all the ages—Stone, Bronze, Iron, Viking, Silicon—are visible everywhere. The islanders turned to energy innovation when forced to contend with an energy infrastructure they had outgrown. Today, Orkney is home to the European Marine Energy Centre, established in 2003. There are about forty open-sea marine energy test facilities in the world, many of which draw on Orkney expertise. The islands generate more renewable energy than they use, are growing hydrogen fuel and electric car networks, and have hundreds of locally owned micro wind turbines and a decade-old smart grid. Mixing storytelling and ethnography, empiricism and lyricism, Watts tells </w:t>
      </w:r>
    </w:p>
    <w:p>
      <w:pPr/>
      <w:r>
        <w:rPr>
          <w:b/>
        </w:rPr>
        <w:t>POSSIBLE 2019:</w:t>
      </w:r>
      <w:r>
        <w:t xml:space="preserve"> The Knowledge Map of Marine Energy — https://doi.org/10.1088/1755-1315/295/4/042067</w:t>
      </w:r>
    </w:p>
    <w:p>
      <w:pPr/>
      <w:r>
        <w:rPr>
          <w:b/>
        </w:rPr>
        <w:t>Shared claim-specific concepts:</w:t>
      </w:r>
      <w:r>
        <w:t xml:space="preserve"> marine, energy, field; EU scope not established. This is a provisional connection, not an outcome finding.</w:t>
      </w:r>
    </w:p>
    <w:p>
      <w:pPr>
        <w:pStyle w:val="SourceNote"/>
      </w:pPr>
      <w:r>
        <w:rPr>
          <w:b/>
        </w:rPr>
        <w:t>Available abstract (not full text):</w:t>
      </w:r>
      <w:r>
        <w:t xml:space="preserve"> Abstract In order to analyze the research hotspots of marine energy, the Citespace III software was used to visually analyze marine energy. The database was collected on the criteria of marine energy as the keyword, and time span extended from 2007 to 2016 on the basis of the “Web of Sciencetm core collection database”. The scientific knowledge maps analysis of marine energy has been conducted based on the Citespace III software, and analyzes the active countries/regions, institutions and research hotspots in related research fields. Active countries/regions, institutions and research hotspots of relevant research areas have been studied, and University of Chinese Academy of Sciences is at the first place of whole research institutions in marine energy field. Keywords co-occurrence analysis results show that coast, corrosion, kinetics, evolution and sediments have the highest centralities which are the focal keywords in marine energy research field. The results of the co-citation analysis show that wave energy, tidal stream energy, tidal stream turbines, and the microalgae biofuels are the hotspots in marine energy research field.</w:t>
      </w:r>
    </w:p>
    <w:p>
      <w:pPr>
        <w:pStyle w:val="Heading2"/>
      </w:pPr>
      <w:r>
        <w:t>808.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r>
        <w:rPr>
          <w:b/>
        </w:rPr>
        <w:t>POSSIBLE 2021:</w:t>
      </w:r>
      <w:r>
        <w:t xml:space="preserve"> A 2021 Online Workshop for the Review of Two Modules on Methodology for Using English as a Medium of Instruction in Rwanda: Opportunities and Challenges — https://doi.org/10.33422/ejte.v3i4.554</w:t>
      </w:r>
    </w:p>
    <w:p>
      <w:pPr/>
      <w:r>
        <w:rPr>
          <w:b/>
        </w:rPr>
        <w:t>Shared claim-specific concepts:</w:t>
      </w:r>
      <w:r>
        <w:t xml:space="preserve"> workshop, methodology, used, showed; EU scope not established. This is a provisional connection, not an outcome finding.</w:t>
      </w:r>
    </w:p>
    <w:p>
      <w:pPr>
        <w:pStyle w:val="SourceNote"/>
      </w:pPr>
      <w:r>
        <w:rPr>
          <w:b/>
        </w:rPr>
        <w:t>Available abstract (not full text):</w:t>
      </w:r>
      <w:r>
        <w:t xml:space="preserve">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pPr/>
      <w:r>
        <w:rPr>
          <w:b/>
        </w:rPr>
        <w:t>POSSIBLE 2020:</w:t>
      </w:r>
      <w:r>
        <w:t xml:space="preserve"> Reflection of Using Buddhist Cognitive Process Activities in the Workshop of Research Methodology Course — https://openalex.org/W3093503066</w:t>
      </w:r>
    </w:p>
    <w:p>
      <w:pPr/>
      <w:r>
        <w:rPr>
          <w:b/>
        </w:rPr>
        <w:t>Shared claim-specific concepts:</w:t>
      </w:r>
      <w:r>
        <w:t xml:space="preserve"> workshop, methodology, used, showed, cognitive; EU scope not established. This is a provisional connection, not an outcome finding.</w:t>
      </w:r>
    </w:p>
    <w:p>
      <w:pPr>
        <w:pStyle w:val="SourceNote"/>
      </w:pPr>
      <w:r>
        <w:rPr>
          <w:b/>
        </w:rPr>
        <w:t>Available abstract (not full text):</w:t>
      </w:r>
      <w:r>
        <w:t xml:space="preserve"> The purpose of this research was to study reflection of using Buddhist cognitive process activities in the workshop of research methodology course. Classroom action research and qualitative research were used. The target group was graduate students in psychology of life and death program, Faculty of Humanities, Mahachulalongkornrajavidyalaya University. Research tools were observation form and questionnaires. Qualitative data from 18 key informants was analyzed by using content analysis and analytic induction. Results indicated that reflection of using Buddhist cognitive process activities in the workshop of research methodology course showed in 4 aspects consisted of; 1) Knowledge, students were knowledge about content of subject, 2) Learning Process, students have shown their interested in learning process and be happy with class activities, 3) Attitude, students have changed and showed positive attitudes on research methodology. They have shown inspiration to create their theses, 4) Skills and Experience, students practiced their skills on data collection, data analysis, and data presentation for research. They also reflected that Buddhist cognitive process activities in the workshop of research methodology can improve students in learning happily, inspirited and practiced skills of research. Therefore, these activities within the workshop were appropriate for applying furth</w:t>
      </w:r>
    </w:p>
    <w:p>
      <w:pPr/>
      <w:r>
        <w:rPr>
          <w:b/>
        </w:rPr>
        <w:t>POSSIBLE 2019:</w:t>
      </w:r>
      <w:r>
        <w:t xml:space="preserve"> Methodological Workshop - Measuring the effect of metaphors: the use of experimental surveys — https://openalex.org/W3008813731</w:t>
      </w:r>
    </w:p>
    <w:p>
      <w:pPr/>
      <w:r>
        <w:rPr>
          <w:b/>
        </w:rPr>
        <w:t>Shared claim-specific concepts:</w:t>
      </w:r>
      <w:r>
        <w:t xml:space="preserve"> workshop, used, method; EU scope not established. This is a provisional connection, not an outcome finding.</w:t>
      </w:r>
    </w:p>
    <w:p>
      <w:pPr>
        <w:pStyle w:val="SourceNote"/>
      </w:pPr>
      <w:r>
        <w:rPr>
          <w:b/>
        </w:rPr>
        <w:t>Available abstract (not full text):</w:t>
      </w:r>
      <w:r>
        <w:t xml:space="preserve"> The workshop will be divided in three main units. The first part will discuss experiments as a method: what is an experiment? What are the differences with other methods? What are the main steps in conducting a (good) experiment? (Do &amp; Don’t) The second part focuses on experiments and metaphor studies. The last part of the workshop will present concrete examples of studies as well as a group discussion on a specific case, aiming at fostering discussions among participants. If possible, we would like to invite the participants to this workshop to have a look at the three following articles (email francois.randour@uclouvain.be if you want access to the articles ). - Steen, Reijnierse, Burgers (2014) ; Boeynaems, Burgers, Konijn, Steen (2017); Perrez &amp; Reuchamps (2015) (articles used for the third part of the workshop).</w:t>
      </w:r>
    </w:p>
    <w:p>
      <w:pPr/>
      <w:r>
        <w:rPr>
          <w:b/>
        </w:rPr>
        <w:t>POSSIBLE 2018:</w:t>
      </w:r>
      <w:r>
        <w:t xml:space="preserve"> Teaching Methodology for IoT Workshop Course Using Node-RED — https://doi.org/10.1109/ic3.2018.8530664</w:t>
      </w:r>
    </w:p>
    <w:p>
      <w:pPr/>
      <w:r>
        <w:rPr>
          <w:b/>
        </w:rPr>
        <w:t>Shared claim-specific concepts:</w:t>
      </w:r>
      <w:r>
        <w:t xml:space="preserve"> workshop, methodology, highly; EU scope not established. This is a provisional connection, not an outcome finding.</w:t>
      </w:r>
    </w:p>
    <w:p>
      <w:pPr>
        <w:pStyle w:val="SourceNote"/>
      </w:pPr>
      <w:r>
        <w:rPr>
          <w:b/>
        </w:rPr>
        <w:t>Available abstract (not full text):</w:t>
      </w:r>
      <w:r>
        <w:t xml:space="preserve"> In recent years, due to the expected exponential growth of Internet of Things (IoT), there is huge demand for adapting IoT in many key situations like day to day life, Industries, Healthcare systems, education systems, smart cites, smart grid, etc. It is also clearly evident that, IoT technology generates huge demand for job opportunities and revenues particularly in the Information technology sector. Thus, there is definite raising demand for IoT professionals. This aspect is highly motivating to teach IoT course as one the major courses for undergraduate engineering students at Universities. IoT is an amalgamation of hardware and software, the students should be exposed to learn and harness their skills in both concepts and technology thoroughly. In this paper, we proposed once such state-of-art laboratory based IoT course named IoT workshop and is offered for the undergraduate engineering students. In this paper, we discuss our experience to highlight need for IoT course, using Node-RED visual programming language, course content, learning objectives, assessment of course, and project ideas.</w:t>
      </w:r>
    </w:p>
    <w:p>
      <w:pPr>
        <w:pStyle w:val="Heading2"/>
      </w:pPr>
      <w:r>
        <w:t>809.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r>
        <w:rPr>
          <w:b/>
        </w:rPr>
        <w:t>POSSIBLE 2022:</w:t>
      </w:r>
      <w:r>
        <w:t xml:space="preserve"> Education as a System: The Content of the Foresight Methodology — https://doi.org/10.25205/2541-7517-2022-20-2-68-78</w:t>
      </w:r>
    </w:p>
    <w:p>
      <w:pPr/>
      <w:r>
        <w:rPr>
          <w:b/>
        </w:rPr>
        <w:t>Shared claim-specific concepts:</w:t>
      </w:r>
      <w:r>
        <w:t xml:space="preserve"> foresight, system, society; EU scope not established. This is a provisional connection, not an outcome finding.</w:t>
      </w:r>
    </w:p>
    <w:p>
      <w:pPr>
        <w:pStyle w:val="SourceNote"/>
      </w:pPr>
      <w:r>
        <w:rPr>
          <w:b/>
        </w:rPr>
        <w:t>Available abstract (not full text):</w:t>
      </w:r>
      <w:r>
        <w:t xml:space="preserve">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pPr/>
      <w:r>
        <w:rPr>
          <w:b/>
        </w:rPr>
        <w:t>POSSIBLE 2022:</w:t>
      </w:r>
      <w:r>
        <w:t xml:space="preserve"> Foresight as a Strategic Management Tool in the ICT Industry — https://doi.org/10.32983/2222-4459-2022-10-225-230</w:t>
      </w:r>
    </w:p>
    <w:p>
      <w:pPr/>
      <w:r>
        <w:rPr>
          <w:b/>
        </w:rPr>
        <w:t>Shared claim-specific concepts:</w:t>
      </w:r>
      <w:r>
        <w:t xml:space="preserve"> foresight, system, expert, strategic, innovative, identification; EU scope not established. This is a provisional connection, not an outcome finding.</w:t>
      </w:r>
    </w:p>
    <w:p>
      <w:pPr>
        <w:pStyle w:val="SourceNote"/>
      </w:pPr>
      <w:r>
        <w:rPr>
          <w:b/>
        </w:rPr>
        <w:t>Available abstract (not full text):</w:t>
      </w:r>
      <w:r>
        <w:t xml:space="preserve"> Foresight, as one of the most effective tools of strategic management, logically fits into the system of strategizing, which determines the relevance and actuality of the presented study. The desire to exchange traditions and management practices, along with consideration of scale, also contribute to the development of strategic management, in particular, foresight management. The purpose of the publication is to identify the essence of the available foresight studies and the possibilities of introducing their results in practice, in particular at the enterprises of the ICT industry. To achieve the purpose, general and special methods were used, such as methods of system analysis, analysis and synthesis, empirical methods of comparison and generalization, case method. The task is set as follows: studying the practice of application of foresight methodology in the ICT industry. The article considers the content and features of foresight as a tool of strategic management of enterprise development used to ensure their competitiveness. The purpose of the practical application of foresight is the implementation of strategic long-term forecasting, which is formed on the basis of expert opinions, analyses of factors, identification of stakeholders, displaying alternative trends in the development of enterprise, allowing to form development scenarios and implement the chosen strategy. </w:t>
      </w:r>
    </w:p>
    <w:p>
      <w:pPr/>
      <w:r>
        <w:rPr>
          <w:b/>
        </w:rPr>
        <w:t>POSSIBLE 2021:</w:t>
      </w:r>
      <w:r>
        <w:t xml:space="preserve"> On the Application of Foresight in Education for Sustainable Development — https://doi.org/10.21209/2658-7114-2021-16-4-55-64</w:t>
      </w:r>
    </w:p>
    <w:p>
      <w:pPr/>
      <w:r>
        <w:rPr>
          <w:b/>
        </w:rPr>
        <w:t>Shared claim-specific concepts:</w:t>
      </w:r>
      <w:r>
        <w:t xml:space="preserve"> foresight, system, directions, innovative, technological; EU scope not established. This is a provisional connection, not an outcome finding.</w:t>
      </w:r>
    </w:p>
    <w:p>
      <w:pPr>
        <w:pStyle w:val="SourceNote"/>
      </w:pPr>
      <w:r>
        <w:rPr>
          <w:b/>
        </w:rPr>
        <w:t>Available abstract (not full text):</w:t>
      </w:r>
      <w:r>
        <w:t xml:space="preserve"> Education is the most important mechanism for achieving the Sustainable Development Goals (SDGs). One of the methodological difficulties in the implementation of education for sustainable development (ESD) is associated with its proactive, predictive nature. In this regard, when designing ESD, it seems appropriate to use technologies of futurology, particularly, the technology of foresight. The article considers the main features of foresight and examples of its application in Russian education. The results of the foresight session on the design of ESD as an innovative pedagogical system and the development of a “roadmap” for the implementation of ESD in the Russian Federation for the period until 2030 are presented. 14 experts took part in this work (21 % are with D. Sc. degree, 50 % are with Ph. D. degree; average teaching experience is 17,4 years, including 12,6 years in the field of ESD). During the STEEPV analysis, we identified the main social, technological, economic, environmental, political, and value-based factors that will affect both the education system in general and ESD in particular. The SWOT analysis allowed us to determine the characteristic features of ESD, regarding its strengths and weaknesses, opportunities, and threats. In the brainstorming mode, the main elements of the ESD roadmap for the next 10 years (trends, technologies, formats / social practices, </w:t>
      </w:r>
    </w:p>
    <w:p>
      <w:pPr/>
      <w:r>
        <w:rPr>
          <w:b/>
        </w:rPr>
        <w:t>POSSIBLE 2020:</w:t>
      </w:r>
      <w:r>
        <w:t xml:space="preserve"> Foresight research in management accounting: scenario forecasting and a comprehensive system of expert assessment methods in agricultural holdings — https://doi.org/10.34069/ai/2020.29.05.22</w:t>
      </w:r>
    </w:p>
    <w:p>
      <w:pPr/>
      <w:r>
        <w:rPr>
          <w:b/>
        </w:rPr>
        <w:t>Shared claim-specific concepts:</w:t>
      </w:r>
      <w:r>
        <w:t xml:space="preserve"> foresight, system, expert, strategic, long-term, perspective; EU scope not established. This is a provisional connection, not an outcome finding.</w:t>
      </w:r>
    </w:p>
    <w:p>
      <w:pPr>
        <w:pStyle w:val="SourceNote"/>
      </w:pPr>
      <w:r>
        <w:rPr>
          <w:b/>
        </w:rPr>
        <w:t>Available abstract (not full text):</w:t>
      </w:r>
      <w:r>
        <w:t xml:space="preserve"> Foresight research in management accounting should be aimed at solving long-term perspective issues. A set of systems and methods of expert assessment is selected or developed in the course of such studies. The managerial staff of an economic entity with the authority to make strategic decisions develop forecast scenarios taking into account the opinions of competent experts involved in the economic field under consideration. Based on the fact that there can be many options for an economic future, they jointly discuss and develop a coordinated idea of which option for future economic development is most preferable for an agricultural holding, taking into account the variability of the economic situation.The subject of the study is the improvement of management accounting in the part of Foresight research in agricultural holdings with a comprehensive assessment of the effectiveness of the management of the activities of its agricultural organizations. In modern times, agricultural holdings can change the situation through competent management accounting, since competent management accounting allows companies to consolidate their activities, thereby giving good development to agriculture, both financially and in attracting highly qualified specialists, as well as the country's food security. In accordance with this goal, the main task was determined: to develop the mechanisms of </w:t>
      </w:r>
    </w:p>
    <w:p>
      <w:pPr/>
      <w:r>
        <w:rPr>
          <w:b/>
        </w:rPr>
        <w:t>POSSIBLE 2020:</w:t>
      </w:r>
      <w:r>
        <w:t xml:space="preserve"> Resilience and transformation - Report of the 5th SCAR Foresight Exercise Expert Group - Natural resources and food systems: Transitions towards a ‘safe and just’ operating space — https://doi.org/10.2777/717705</w:t>
      </w:r>
    </w:p>
    <w:p>
      <w:pPr/>
      <w:r>
        <w:rPr>
          <w:b/>
        </w:rPr>
        <w:t>Shared claim-specific concepts:</w:t>
      </w:r>
      <w:r>
        <w:t xml:space="preserve"> foresight, expert; EU scope visible. This is a provisional connection, not an outcome finding.</w:t>
      </w:r>
    </w:p>
    <w:p>
      <w:pPr>
        <w:pStyle w:val="SourceNote"/>
      </w:pPr>
      <w:r>
        <w:rPr>
          <w:b/>
        </w:rPr>
        <w:t>Available abstract (not full text):</w:t>
      </w:r>
      <w:r>
        <w:t xml:space="preserve"> Resilience and transformationReport of the 5th SCAR Foresight Exercise Expert Group Natural resources and food systems: Transitions towards a 'safe and just' operating space RESILIENCE AND TRANSFORMATION Report of the 5th SCAR Foresight Exercise Expert Group -Natural resources and food systems: Transitions towards a 'safe and just' operating space European Commission Directorate-General for Research and Innovation Directorate C -Healthy Planet Unit C5 -Ecological and Social Transitions</w:t>
      </w:r>
    </w:p>
    <w:p>
      <w:pPr/>
      <w:r>
        <w:rPr>
          <w:b/>
        </w:rPr>
        <w:t>POSSIBLE 2019:</w:t>
      </w:r>
      <w:r>
        <w:t xml:space="preserve"> Expert assessment method in foresight studies — https://doi.org/10.21686/2500-3925-2019-4-4-13</w:t>
      </w:r>
    </w:p>
    <w:p>
      <w:pPr/>
      <w:r>
        <w:rPr>
          <w:b/>
        </w:rPr>
        <w:t>Shared claim-specific concepts:</w:t>
      </w:r>
      <w:r>
        <w:t xml:space="preserve"> foresight, expert; EU scope not established. This is a provisional connection, not an outcome finding.</w:t>
      </w:r>
    </w:p>
    <w:p>
      <w:pPr>
        <w:pStyle w:val="SourceNote"/>
      </w:pPr>
      <w:r>
        <w:rPr>
          <w:b/>
        </w:rPr>
        <w:t>Available abstract (not full text):</w:t>
      </w:r>
      <w:r>
        <w:t xml:space="preserve"> Purpose of the study. The main goal of this research is to identify key aspects of expert assessments and offer high-quality recommendations for their improvement. Materials and methods. Foresight is built on the basis of expert assessment method, includes: active formation of the image of the future instead of its probabilistic prediction, focus on identifying key development priorities, participation in the study of key stakeholders, the relationship with the management decision-making process. The methods of analysis used in the work suggest methods of theoretical research in the form of analysis and modeling. In the course of the research, the following tasks were solved: firstly, the Expert model was formed based on the necessary and sufficient criteria for selecting respondents to the foresight study; secondly, the main characteristics of the Delphi method for consensus decisions in expert groups were identified. The research work considers various sources of information, which became the basis for the further development of the Expert model, based on an integrated approach based on the statistical, sociological and economic fields of science. Results. On the basis of bibliometric analysis, important criteria for the selection of experts were highlighted: a practical component, a theoretical component, a creative component, an assessment of belonging to a field of study, </w:t>
      </w:r>
    </w:p>
    <w:p>
      <w:pPr/>
      <w:r>
        <w:rPr>
          <w:b/>
        </w:rPr>
        <w:t>POSSIBLE 2018:</w:t>
      </w:r>
      <w:r>
        <w:t xml:space="preserve"> Scientific Foresight and Cognitive Modeling of Socio-Economic Systems — https://doi.org/10.1016/j.ifacol.2018.11.264</w:t>
      </w:r>
    </w:p>
    <w:p>
      <w:pPr/>
      <w:r>
        <w:rPr>
          <w:b/>
        </w:rPr>
        <w:t>Shared claim-specific concepts:</w:t>
      </w:r>
      <w:r>
        <w:t xml:space="preserve"> foresight, system; EU scope not established. This is a provisional connection, not an outcome finding.</w:t>
      </w:r>
    </w:p>
    <w:p>
      <w:pPr>
        <w:pStyle w:val="SourceNote"/>
      </w:pPr>
      <w:r>
        <w:rPr>
          <w:b/>
        </w:rPr>
        <w:t>Available abstract (not full text):</w:t>
      </w:r>
      <w:r>
        <w:t xml:space="preserve"> The article suggests using the methodology of cognitive modeling of complex systems (social, economic, ecological, political, socio-technical) as a tool for foresight. The methodology of cognitive modeling is briefly presented. The methodology is a system of methods for developing cognitive models, researching their structural properties, stability, scenario analysis, foresight, etc. With the help of the software system of cognitive modeling, it is possible to model and analyze a large number of structures and variants of behavior of a complex system, much more than the experts can come up with on their own. An example of the application of the methodology and the corresponding program system CMLS for studying the problems of the quality of life of youth is given.</w:t>
      </w:r>
    </w:p>
    <w:p>
      <w:pPr/>
      <w:r>
        <w:rPr>
          <w:b/>
        </w:rPr>
        <w:t>POSSIBLE 2018:</w:t>
      </w:r>
      <w:r>
        <w:t xml:space="preserve"> Foresight as Technology of Strategic Planning — https://openalex.org/W4300057926</w:t>
      </w:r>
    </w:p>
    <w:p>
      <w:pPr/>
      <w:r>
        <w:rPr>
          <w:b/>
        </w:rPr>
        <w:t>Shared claim-specific concepts:</w:t>
      </w:r>
      <w:r>
        <w:t xml:space="preserve"> foresight, system, strategic; EU scope not established. This is a provisional connection, not an outcome finding.</w:t>
      </w:r>
    </w:p>
    <w:p>
      <w:pPr>
        <w:pStyle w:val="SourceNote"/>
      </w:pPr>
      <w:r>
        <w:rPr>
          <w:b/>
        </w:rPr>
        <w:t>Available abstract (not full text):</w:t>
      </w:r>
      <w:r>
        <w:t xml:space="preserve"> The scientific novelty of the author’s approach is that foresight is regarded as a technology development and monitoring the implementation of the most important documents of strategic planning of urban development. The theoretical basis of the methodology defined by the concept of creative foresight of the city and smart city, allowing to characterize the urban space from the point of view of building a post-industrial development. Proposals to improve the functioning of the system of strategic planning of St. Petersburg, including - the recommendation to expand the panel of experts through the inclusion of a number of groups of representatives of creative and smart dimensions of the urban environment</w:t>
      </w:r>
    </w:p>
    <w:p>
      <w:pPr/>
      <w:r>
        <w:rPr>
          <w:b/>
        </w:rPr>
        <w:t>POSSIBLE 2017:</w:t>
      </w:r>
      <w:r>
        <w:t xml:space="preserve"> Energy storage systems in the future German electricity system: A literature review and expert interviews based foresight approach — https://openalex.org/W3088129584</w:t>
      </w:r>
    </w:p>
    <w:p>
      <w:pPr/>
      <w:r>
        <w:rPr>
          <w:b/>
        </w:rPr>
        <w:t>Shared claim-specific concepts:</w:t>
      </w:r>
      <w:r>
        <w:t xml:space="preserve"> foresight, system, expert; EU scope not established. This is a provisional connection, not an outcome finding.</w:t>
      </w:r>
    </w:p>
    <w:p>
      <w:pPr>
        <w:pStyle w:val="SourceNote"/>
      </w:pPr>
      <w:r>
        <w:rPr>
          <w:b/>
        </w:rPr>
        <w:t>Available abstract (not full text):</w:t>
      </w:r>
      <w:r>
        <w:t xml:space="preserve"> Unavailable</w:t>
      </w:r>
    </w:p>
    <w:p>
      <w:pPr/>
      <w:r>
        <w:rPr>
          <w:b/>
        </w:rPr>
        <w:t>POSSIBLE 2017:</w:t>
      </w:r>
      <w:r>
        <w:t xml:space="preserve"> Energy storage in the future German electricity system: A literature review and expert interviews based foresight approach — https://openalex.org/W2996323402</w:t>
      </w:r>
    </w:p>
    <w:p>
      <w:pPr/>
      <w:r>
        <w:rPr>
          <w:b/>
        </w:rPr>
        <w:t>Shared claim-specific concepts:</w:t>
      </w:r>
      <w:r>
        <w:t xml:space="preserve"> foresight, system, expert; EU scope not established. This is a provisional connection, not an outcome finding.</w:t>
      </w:r>
    </w:p>
    <w:p>
      <w:pPr>
        <w:pStyle w:val="SourceNote"/>
      </w:pPr>
      <w:r>
        <w:rPr>
          <w:b/>
        </w:rPr>
        <w:t>Available abstract (not full text):</w:t>
      </w:r>
      <w:r>
        <w:t xml:space="preserve"> Unavailable</w:t>
      </w:r>
    </w:p>
    <w:p>
      <w:pPr>
        <w:pStyle w:val="Heading2"/>
      </w:pPr>
      <w:r>
        <w:t>810.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r>
        <w:rPr>
          <w:b/>
        </w:rPr>
        <w:t>POSSIBLE 2019:</w:t>
      </w:r>
      <w:r>
        <w:t xml:space="preserve"> Inclusion of Unemployed People at Social Risk and Private Training Markets in Ireland, Portugal, and Spain — https://doi.org/10.1007/978-3-319-94532-3_108</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Social protection and activation for the unemployed — https://doi.org/10.4324/9781315198422-16</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importance of the level of social protection during unemployment, in terms of the willingness of the unemployed to take up work, is by no means uncontroversial. Activation for the unemployed has become increasingly important in recent years, both in Germany and in numerous other European countries. There are a number of different approaches and strategies regarding activation for the unemployed; primarily these focus either on material pressures and constraints, or on effective advice and support for the unemployed. The fundamentally existing starting points and strategies that play a role in the context of activation for the unemployed will be analyzed in a more differentiated fashion. A further approach in the activation for the unemployed is the intensive advice and guidance provided for unemployed people. The increased involvement of third parties already envisaged in the Job-AQTIV law is to contribute to expanding the capacity for employee placement and advice for the unemployed.</w:t>
      </w:r>
    </w:p>
    <w:p>
      <w:pPr/>
      <w:r>
        <w:rPr>
          <w:b/>
        </w:rPr>
        <w:t>POSSIBLE 2018:</w:t>
      </w:r>
      <w:r>
        <w:t xml:space="preserve"> Inclusion of Unemployed People at Social Risk and Private Training Markets in Ireland, Portugal, and Spain — https://doi.org/10.1007/978-3-319-49789-1_108-1</w:t>
      </w:r>
    </w:p>
    <w:p>
      <w:pPr/>
      <w:r>
        <w:rPr>
          <w:b/>
        </w:rPr>
        <w:t>Shared claim-specific concepts:</w:t>
      </w:r>
      <w:r>
        <w:t xml:space="preserve"> unemployed, spain, people; EU scope visible. This is a provisional connection, not an outcome finding.</w:t>
      </w:r>
    </w:p>
    <w:p>
      <w:pPr>
        <w:pStyle w:val="SourceNote"/>
      </w:pPr>
      <w:r>
        <w:rPr>
          <w:b/>
        </w:rPr>
        <w:t>Available abstract (not full text):</w:t>
      </w:r>
      <w:r>
        <w:t xml:space="preserve"> Unavailable</w:t>
      </w:r>
    </w:p>
    <w:p>
      <w:pPr/>
      <w:r>
        <w:rPr>
          <w:b/>
        </w:rPr>
        <w:t>POSSIBLE 2017:</w:t>
      </w:r>
      <w:r>
        <w:t xml:space="preserve"> Self-placement of the Unemployed in the Social Hierarchy. Evidence from European Countries — https://openalex.org/W2908493705</w:t>
      </w:r>
    </w:p>
    <w:p>
      <w:pPr/>
      <w:r>
        <w:rPr>
          <w:b/>
        </w:rPr>
        <w:t>Shared claim-specific concepts:</w:t>
      </w:r>
      <w:r>
        <w:t xml:space="preserve"> recent, unemployed, people; EU scope visible. This is a provisional connection, not an outcome finding.</w:t>
      </w:r>
    </w:p>
    <w:p>
      <w:pPr>
        <w:pStyle w:val="SourceNote"/>
      </w:pPr>
      <w:r>
        <w:rPr>
          <w:b/>
        </w:rPr>
        <w:t>Available abstract (not full text):</w:t>
      </w:r>
      <w:r>
        <w:t xml:space="preserve"> Unemployment has risen during the recent recession. However, the experience of unemployment varies considerably across European countries (Gallie 2013b). To study the \nunemployment experience in different European countries, a social exclusion approach was combined with a social stratification approach utilizing a measure of subjective social position which indicates how people perceive their relative position in the social hierarchy. In evaluating their social position people make comparisons within societal contexts. We hypothesize that the country-level economic and institutional context impacts the experience of unemployment, the way people interpret it, and thus affects the subjective social position of the unemployed. Our main goal was to study the impact of different macro-level economic and social characteristics on the subjective social position of the unemployed. We focused on a comparison of the subjective social position of unemployed persons against the remaining populations of 18 European countries using data from the International Social Survey Programme (ISSP) 2009 Social Inequality module.</w:t>
      </w:r>
    </w:p>
    <w:p>
      <w:pPr/>
      <w:r>
        <w:rPr>
          <w:b/>
        </w:rPr>
        <w:t>POSSIBLE 2016:</w:t>
      </w:r>
      <w:r>
        <w:t xml:space="preserve"> Explaining Perceptions of the Unemployed in Europe — https://openalex.org/W2489991810</w:t>
      </w:r>
    </w:p>
    <w:p>
      <w:pPr/>
      <w:r>
        <w:rPr>
          <w:b/>
        </w:rPr>
        <w:t>Shared claim-specific concepts:</w:t>
      </w:r>
      <w:r>
        <w:t xml:space="preserve"> number, unemployed, people; EU scope visible. This is a provisional connection, not an outcome finding.</w:t>
      </w:r>
    </w:p>
    <w:p>
      <w:pPr>
        <w:pStyle w:val="SourceNote"/>
      </w:pPr>
      <w:r>
        <w:rPr>
          <w:b/>
        </w:rPr>
        <w:t>Available abstract (not full text):</w:t>
      </w:r>
      <w:r>
        <w:t xml:space="preserve"> This article explores the determinants of the perceptions of the unemployed in 29 European countries along three dimensions: whether people see the unemployed as the ‘government’s responsibility’; whether they believe the unemployed do not ‘try hard to find a job’; and whether they think that the standard of living of the unemployed is ‘bad’. I derive a number of expectations from the political economy literature on policy preferences and test whether these expectations explain variation in the perceptions of the unemployed. Using logistic regression analysis, I find that labour market status and occupations influence individuals’ perceptions of the unemployed. For instance, the unemployed and workers in low skill occupations are most likely to think that the government is responsible for the standard of living of the unemployed. However, certain factors such as gender, occupations, education, and union membership affect distinct types of perceptions differently. The determinants of policy preferences help us make sense of perceptions of the unemployed but certain factors affect different types of perceptions in distinct ways.</w:t>
      </w:r>
    </w:p>
    <w:p>
      <w:pPr>
        <w:pStyle w:val="Heading2"/>
      </w:pPr>
      <w:r>
        <w:t>811.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2022:</w:t>
      </w:r>
      <w:r>
        <w:t xml:space="preserve"> The health potential of urban water: Future scenarios on local risks and opportunities — https://doi.org/10.1016/j.cities.2022.103639</w:t>
      </w:r>
    </w:p>
    <w:p>
      <w:pPr/>
      <w:r>
        <w:rPr>
          <w:b/>
        </w:rPr>
        <w:t>Shared claim-specific concepts:</w:t>
      </w:r>
      <w:r>
        <w:t xml:space="preserve"> integrated, health, impacts, explores, population, climate; EU scope visible. This is a provisional connection, not an outcome finding.</w:t>
      </w:r>
    </w:p>
    <w:p>
      <w:pPr>
        <w:pStyle w:val="SourceNote"/>
      </w:pPr>
      <w:r>
        <w:rPr>
          <w:b/>
        </w:rPr>
        <w:t>Available abstract (not full text):</w:t>
      </w:r>
      <w:r>
        <w:t xml:space="preserve">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pPr/>
      <w:r>
        <w:rPr>
          <w:b/>
        </w:rPr>
        <w:t>POSSIBLE 2021:</w:t>
      </w:r>
      <w:r>
        <w:t xml:space="preserve"> Tracking progress on health and climate change in Europe — https://doi.org/10.1016/s2468-2667(21)00207-3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Left unabated, climate change will have catastrophic effects on the health of present and future generations. Such effects are already seen in Europe, through more frequent and severe extreme weather events, alterations to water and food systems, and changes in the environmental suitability for infectious diseases. As one of the largest current and historical contributors to greenhouse gases and the largest provider of financing for climate change mitigation and adaptation, Europe's response is crucial, for both human health and the planet. To ensure that health and wellbeing are protected in this response it is essential to build the capacity to understand, monitor, and quantify health impacts of climate change and the health co-benefits of accelerated action. Responding to this need, the Lancet Countdown in Europe is established as a transdisciplinary research collaboration for monitoring progress on health and climate change in Europe. With the wealth of data and academic expertise available in Europe, the collaboration will develop region-specific indicators to address the main challenges and opportunities of Europe's response to climate change for health. The indicators produced by the collaboration will provide information to health and climate policy decision making, and will also contribute to the European Observatory on Climate and Health.</w:t>
      </w:r>
    </w:p>
    <w:p>
      <w:pPr/>
      <w:r>
        <w:rPr>
          <w:b/>
        </w:rPr>
        <w:t>POSSIBLE 2021:</w:t>
      </w:r>
      <w:r>
        <w:t xml:space="preserve"> The European Blueprint on Digital Transformation of Health and Care for the Ageing Society — https://doi.org/10.5334/ijic.icic20404</w:t>
      </w:r>
    </w:p>
    <w:p>
      <w:pPr/>
      <w:r>
        <w:rPr>
          <w:b/>
        </w:rPr>
        <w:t>Shared claim-specific concepts:</w:t>
      </w:r>
      <w:r>
        <w:t xml:space="preserve"> integrated, health, population; EU scope visible. This is a provisional connection, not an outcome finding.</w:t>
      </w:r>
    </w:p>
    <w:p>
      <w:pPr>
        <w:pStyle w:val="SourceNote"/>
      </w:pPr>
      <w:r>
        <w:rPr>
          <w:b/>
        </w:rPr>
        <w:t>Available abstract (not full text):</w:t>
      </w:r>
      <w:r>
        <w:t xml:space="preserve"> The European Blueprint on Digital Transformation of Health and Care for the Ageing Society, funded as part of the WE4AHA project under the European Commission's digital single market strategy, reflects a shared policy vision on how innovation can transform health and care provision in our ageing society. The Blueprint has centred its work on 12 personas, which were developed to enable the European Innovation Partnership on Active and Healthy Ageing (EIP on AHA) to envision realistic health and care needs of particular groups in society. The concept of “personas” was initially used by technology providers to enable the design of user-friendly solutions based on a deeper understanding of how a target user will interact with particular technologies . The Blueprint furthered this concept by developing an approach that encompasses the perspective of different actors, beginning with the perspective of the citizen or patient rather the industry representatives. The resulting persona profiles include not only their health and care needs at their particular life stage, but also their personal aspects such as family, interests and hobbies, and daily living, as well as behavioural characteristics, which have been found to affect both short- and long-term success with interventions directed toward managing a disease or adopting wellness . The Blueprint personas have already been successful</w:t>
      </w:r>
    </w:p>
    <w:p>
      <w:pPr/>
      <w:r>
        <w:rPr>
          <w:b/>
        </w:rPr>
        <w:t>POSSIBLE 2020:</w:t>
      </w:r>
      <w:r>
        <w:t xml:space="preserve"> The Impact of Decarbonization Scenarios on Air Quality and Human Health in Poland—Analysis of Scenarios up to 2050 — https://doi.org/10.3390/atmos11111222</w:t>
      </w:r>
    </w:p>
    <w:p>
      <w:pPr/>
      <w:r>
        <w:rPr>
          <w:b/>
        </w:rPr>
        <w:t>Shared claim-specific concepts:</w:t>
      </w:r>
      <w:r>
        <w:t xml:space="preserve"> integrated, health, impacts, population, heat, three; EU scope visible. This is a provisional connection, not an outcome finding.</w:t>
      </w:r>
    </w:p>
    <w:p>
      <w:pPr>
        <w:pStyle w:val="SourceNote"/>
      </w:pPr>
      <w:r>
        <w:rPr>
          <w:b/>
        </w:rPr>
        <w:t>Available abstract (not full text):</w:t>
      </w:r>
      <w:r>
        <w:t xml:space="preserve"> Poland faces two great challenges in the field of environment and atmosphere protection: improving air quality, especially by reducing particulate matter (PM) emissions, and reducing relatively high greenhouse gas emissions. The aim of this research was to investigate how the fuel and technological transformations in the power, road transport, and household and tertiary sectors aimed at reducing carbon dioxide (CO2) emissions in Poland would affect air quality, human health, and the associated external costs. The study was conducted for 2050 while considering 2015 as the base year. Ambient PM2.5 (particles with a diameter of less than 2.5 µm) concentration was used as a proxy air quality indicator. The analysis was based on decarbonization scenarios developed within the REFLEX Project (Analysis of the European energy system under the aspects of flexibility and technological progress). The three scenarios of the REFLEX Project focused on the reduction of CO2 emissions up to 2050 from various sectors, mainly by the means of fuel and technological switches. This also led to the changes in the emission levels of pollutants that directly affect air quality, which were calculated with the use of fuel- and technology-specific emission factors. Next, for each emission scenario, ambient concentrations of PM2.5 and others pollutants were calculated with the use of the Polyphemus—an Euler</w:t>
      </w:r>
    </w:p>
    <w:p>
      <w:pPr/>
      <w:r>
        <w:rPr>
          <w:b/>
        </w:rPr>
        <w:t>POSSIBLE 2019:</w:t>
      </w:r>
      <w:r>
        <w:t xml:space="preserve"> Digital Health Transformation of Integrated Care in Europe: Overarching Analysis of 17 Integrated Care Programs — https://doi.org/10.2196/14956</w:t>
      </w:r>
    </w:p>
    <w:p>
      <w:pPr/>
      <w:r>
        <w:rPr>
          <w:b/>
        </w:rPr>
        <w:t>Shared claim-specific concepts:</w:t>
      </w:r>
      <w:r>
        <w:t xml:space="preserve"> integrated, health, assessment, observed; EU scope visible. This is a provisional connection, not an outcome finding.</w:t>
      </w:r>
    </w:p>
    <w:p>
      <w:pPr>
        <w:pStyle w:val="SourceNote"/>
      </w:pPr>
      <w:r>
        <w:rPr>
          <w:b/>
        </w:rPr>
        <w:t>Available abstract (not full text):</w:t>
      </w:r>
      <w:r>
        <w:t xml:space="preserve"> BACKGROUND: Digital health tools comprise a wide range of technologies to support health processes. The potential of these technologies to effectively support health care transformation is widely accepted. However, wide scale implementation is uneven among countries and regions. Identification of common factors facilitating and hampering the implementation process may be useful for future policy recommendations. OBJECTIVE: The aim of this study was to analyze the implementation of digital health tools to support health care and social care services, as well as to facilitate the longitudinal assessment of these services, in 17 selected integrated chronic care (ICC) programs from 8 European countries. METHODS: A program analysis based on thick descriptions-including document examinations and semistructured interviews with relevant stakeholders-of ICC programs in Austria, Croatia, Germany, Hungary, the Netherlands, Norway, Spain, and the United Kingdom was performed. A total of 233 stakeholders (ie, professionals, providers, patients, carers, and policymakers) were interviewed from November 2014 to September 2016. The overarching analysis focused on the use of digital health tools and program assessment strategies. RESULTS: Supporting digital health tools are implemented in all countries, but different levels of maturity were observed among the programs. Only few ICC programs have</w:t>
      </w:r>
    </w:p>
    <w:p>
      <w:pPr/>
      <w:r>
        <w:rPr>
          <w:b/>
        </w:rPr>
        <w:t>POSSIBLE 2017:</w:t>
      </w:r>
      <w:r>
        <w:t xml:space="preserve"> Climate change impacts on human health over Europe through its effect on air quality — https://doi.org/10.1186/s12940-017-0325-2</w:t>
      </w:r>
    </w:p>
    <w:p>
      <w:pPr/>
      <w:r>
        <w:rPr>
          <w:b/>
        </w:rPr>
        <w:t>Shared claim-specific concepts:</w:t>
      </w:r>
      <w:r>
        <w:t xml:space="preserve"> health, impacts, assessment, due, heat, relationships; EU scope visible. This is a provisional connection, not an outcome finding.</w:t>
      </w:r>
    </w:p>
    <w:p>
      <w:pPr>
        <w:pStyle w:val="SourceNote"/>
      </w:pPr>
      <w:r>
        <w:rPr>
          <w:b/>
        </w:rPr>
        <w:t>Available abstract (not full text):</w:t>
      </w:r>
      <w:r>
        <w:t xml:space="preserve"> This review examines the current literature on the effects of future emissions and climate change on particulate matter (PM) and O 3 air quality and on the consequent health impacts, with a focus on Europe. There is considerable literature on the effects of climate change on O 3 but fewer studies on the effects of climate change on PM concentrations. Under the latest Intergovernmental Panel on Climate Change (IPCC) 5th assessment report (AR5) Representative Concentration Pathways (RCPs), background O 3 entering Europe is expected to decrease under most scenarios due to higher water vapour concentrations in a warmer climate. However, under the extreme pathway RCP8.5 higher (more than double) methane (CH 4 ) abundances lead to increases in background O 3 that offset the O 3 decrease due to climate change especially for the 2100 period. Regionally, in polluted areas with high levels of nitrogen oxides (NO x ), elevated surface temperatures and humidities yield increases in surface O 3 – termed the O 3 climate penalty – especially in southern Europe. The O 3 response is larger for metrics that represent the higher end of the O 3 distribution, such as daily maximum O 3 . Future changes in PM concentrations due to climate change are much less certain, although several recent studies also suggest a PM climate penalty due to high temperatures and humidity and reduced precipitation in n</w:t>
      </w:r>
    </w:p>
    <w:p>
      <w:pPr/>
      <w:r>
        <w:rPr>
          <w:b/>
        </w:rPr>
        <w:t>POSSIBLE 2016:</w:t>
      </w:r>
      <w:r>
        <w:t xml:space="preserve"> Environmental impacts of high penetration renewable energy scenarios for Europe — https://doi.org/10.1088/1748-9326/11/1/014012</w:t>
      </w:r>
    </w:p>
    <w:p>
      <w:pPr/>
      <w:r>
        <w:rPr>
          <w:b/>
        </w:rPr>
        <w:t>Shared claim-specific concepts:</w:t>
      </w:r>
      <w:r>
        <w:t xml:space="preserve"> impacts, heat, climate; EU scope visible. This is a provisional connection, not an outcome finding.</w:t>
      </w:r>
    </w:p>
    <w:p>
      <w:pPr>
        <w:pStyle w:val="SourceNote"/>
      </w:pPr>
      <w:r>
        <w:rPr>
          <w:b/>
        </w:rPr>
        <w:t>Available abstract (not full text):</w:t>
      </w:r>
      <w:r>
        <w:t xml:space="preserve"> The prospect of irreversible environmental alterations and an increasingly volatile climate pressurises societies to reduce greenhouse gas emissions, thereby mitigating climate change impacts. As global electricity demand continues to grow, particularly if considering a future with increased electrification of heat and transport sectors, the imperative to decarbonise our electricity supply becomes more urgent.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VRE curtailments and impacts caused by extra energy storage and transmission capabilities necessary in systems based on VRE are taken into account. The results show that systems based largely on VRE perform much better regarding climate change and other impact categories than the investigated systems based on fossil fuels. The climate change impacts from Europe for the year 2050 in a scenario using primarily natural gas are 1400 Tg CO 2 -eq while in a scenario using mostly coal with CCS the impacts are 480 Tg CO 2 -eq. Systems based </w:t>
      </w:r>
    </w:p>
    <w:p>
      <w:pPr/>
      <w:r>
        <w:rPr>
          <w:b/>
        </w:rPr>
        <w:t>POSSIBLE 2016:</w:t>
      </w:r>
      <w:r>
        <w:t xml:space="preserve"> Proposals for enhanced health risk assessment and stratification in an integrated care scenario — https://doi.org/10.1136/bmjopen-2015-010301</w:t>
      </w:r>
    </w:p>
    <w:p>
      <w:pPr/>
      <w:r>
        <w:rPr>
          <w:b/>
        </w:rPr>
        <w:t>Shared claim-specific concepts:</w:t>
      </w:r>
      <w:r>
        <w:t xml:space="preserve"> integrated, health, assessment, population; EU scope visible. This is a provisional connection, not an outcome finding.</w:t>
      </w:r>
    </w:p>
    <w:p>
      <w:pPr>
        <w:pStyle w:val="SourceNote"/>
      </w:pPr>
      <w:r>
        <w:rPr>
          <w:b/>
        </w:rPr>
        <w:t>Available abstract (not full text):</w:t>
      </w:r>
      <w:r>
        <w:t xml:space="preserve"> OBJECTIVES: Population-based health risk assessment and stratification are considered highly relevant for large-scale implementation of integrated care by facilitating services design and case identification. The principal objective of the study was to analyse five health-risk assessment strategies and health indicators used in the five regions participating in the Advancing Care Coordination and Telehealth Deployment (ACT) programme (http://www.act-programme.eu). The second purpose was to elaborate on strategies toward enhanced health risk predictive modelling in the clinical scenario. SETTINGS: The five ACT regions: Scotland (UK), Basque Country (ES), Catalonia (ES), Lombardy (I) and Groningen (NL). PARTICIPANTS: Responsible teams for regional data management in the five ACT regions. PRIMARY AND SECONDARY OUTCOME MEASURES: We characterised and compared risk assessment strategies among ACT regions by analysing operational health risk predictive modelling tools for population-based stratification, as well as available health indicators at regional level. The analysis of the risk assessment tool deployed in Catalonia in 2015 (GMAs, Adjusted Morbidity Groups) was used as a basis to propose how population-based analytics could contribute to clinical risk prediction. RESULTS: There was consensus on the need for a population health approach to generate health risk predictive modelli</w:t>
      </w:r>
    </w:p>
    <w:p>
      <w:pPr/>
      <w:r>
        <w:rPr>
          <w:b/>
        </w:rPr>
        <w:t>POSSIBLE 2016:</w:t>
      </w:r>
      <w:r>
        <w:t xml:space="preserve"> Health Impacts of Active Transportation in Europe — https://doi.org/10.1371/journal.pone.0149990</w:t>
      </w:r>
    </w:p>
    <w:p>
      <w:pPr/>
      <w:r>
        <w:rPr>
          <w:b/>
        </w:rPr>
        <w:t>Shared claim-specific concepts:</w:t>
      </w:r>
      <w:r>
        <w:t xml:space="preserve"> health, impacts, assessment, mortality;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pStyle w:val="Heading2"/>
      </w:pPr>
      <w:r>
        <w:t>812.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2022:</w:t>
      </w:r>
      <w:r>
        <w:t xml:space="preserve"> Mid-Holocene European climate revisited: New high-resolution regional climate model simulations using pollen-based land-cover — https://doi.org/10.1016/j.quascirev.2022.107431</w:t>
      </w:r>
    </w:p>
    <w:p>
      <w:pPr/>
      <w:r>
        <w:rPr>
          <w:b/>
        </w:rPr>
        <w:t>Shared claim-specific concepts:</w:t>
      </w:r>
      <w:r>
        <w:t xml:space="preserve"> probable, climate; EU scope visible. This is a provisional connection, not an outcome finding.</w:t>
      </w:r>
    </w:p>
    <w:p>
      <w:pPr>
        <w:pStyle w:val="SourceNote"/>
      </w:pPr>
      <w:r>
        <w:rPr>
          <w:b/>
        </w:rPr>
        <w:t>Available abstract (not full text):</w:t>
      </w:r>
      <w:r>
        <w:t xml:space="preserve">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pPr/>
      <w:r>
        <w:rPr>
          <w:b/>
        </w:rPr>
        <w:t>POSSIBLE 2022:</w:t>
      </w:r>
      <w:r>
        <w:t xml:space="preserve"> A probabilistic climate change assessment for Europe — https://doi.org/10.1002/joc.7604</w:t>
      </w:r>
    </w:p>
    <w:p>
      <w:pPr/>
      <w:r>
        <w:rPr>
          <w:b/>
        </w:rPr>
        <w:t>Shared claim-specific concepts:</w:t>
      </w:r>
      <w:r>
        <w:t xml:space="preserve"> impacts, climate, four;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Economic impacts of tipping points in the climate system — https://doi.org/10.1073/pnas.2103081118</w:t>
      </w:r>
    </w:p>
    <w:p>
      <w:pPr/>
      <w:r>
        <w:rPr>
          <w:b/>
        </w:rPr>
        <w:t>Shared claim-specific concepts:</w:t>
      </w:r>
      <w:r>
        <w:t xml:space="preserve"> probable, impacts, climate, integrated; EU scope not established. This is a provisional connection, not an outcome finding.</w:t>
      </w:r>
    </w:p>
    <w:p>
      <w:pPr>
        <w:pStyle w:val="SourceNote"/>
      </w:pPr>
      <w:r>
        <w:rPr>
          <w:b/>
        </w:rPr>
        <w:t>Available abstract (not full text):</w:t>
      </w:r>
      <w:r>
        <w:t xml:space="preserve"> Climate scientists have long emphasized the importance of climate tipping points like thawing permafrost, ice sheet disintegration, and changes in atmospheric circulation. Yet, save for a few fragmented studies, climate economics has either ignored them or represented them in highly stylized ways. We provide unified estimates of the economic impacts of all eight climate tipping points covered in the economic literature so far using a meta-analytic integrated assessment model (IAM) with a modular structure. The model includes national-level climate damages from rising temperatures and sea levels for 180 countries, calibrated on detailed econometric evidence and simulation modeling. Collectively, climate tipping points increase the social cost of carbon (SCC) by ∼25% in our main specification. The distribution is positively skewed, however. We estimate an ∼10% chance of climate tipping points more than doubling the SCC. Accordingly, climate tipping points increase global economic risk. A spatial analysis shows that they increase economic losses almost everywhere. The tipping points with the largest effects are dissociation of ocean methane hydrates and thawing permafrost. Most of our numbers are probable underestimates, given that some tipping points, tipping point interactions, and impact channels have not been covered in the literature so far; however, our method of structural </w:t>
      </w:r>
    </w:p>
    <w:p>
      <w:pPr/>
      <w:r>
        <w:rPr>
          <w:b/>
        </w:rPr>
        <w:t>POSSIBLE 2021:</w:t>
      </w:r>
      <w:r>
        <w:t xml:space="preserve"> Climate service derived indicators to assess the impact of climate change on local river assimilative capacity — https://doi.org/10.1016/j.cliser.2021.100250</w:t>
      </w:r>
    </w:p>
    <w:p>
      <w:pPr/>
      <w:r>
        <w:rPr>
          <w:b/>
        </w:rPr>
        <w:t>Shared claim-specific concepts:</w:t>
      </w:r>
      <w:r>
        <w:t xml:space="preserve"> probable, climate, water; EU scope visible. This is a provisional connection, not an outcome finding.</w:t>
      </w:r>
    </w:p>
    <w:p>
      <w:pPr>
        <w:pStyle w:val="SourceNote"/>
      </w:pPr>
      <w:r>
        <w:rPr>
          <w:b/>
        </w:rPr>
        <w:t>Available abstract (not full text):</w:t>
      </w:r>
      <w:r>
        <w:t xml:space="preserve"> Continental climate services provide information on essential climate variables and indicators, which can further be used to address challenges at the local scale. Climate impact indicators are the core data for evaluating the change of the assimilative capacity of the river systems under future projection scenarios. Here, the indicators from the Copernicus pan-European climate service are used to develop and showcase a water management information service for the Asopos River, Greece. River flow indicators are incorporated in the estimation of emission limit values which serve as environmental pressure indicators, for the reference and two future periods (early- and mid-century). Assimilative capacity is evaluated for six heavy metals, namely Cr, Cd, Cu, Pb, Ni and Zn. Socioeconomic indicators are also utilized to incorporate changes of economic activities in the assessment. Results from the large ensemble of 209 scenarios, consisting of different global circulation, regional climatic and impact model combinations as well as industrial activity evolution, indicate that a decrease (up to 33% of 209 scenarios) of assimilative capacity is more probable than an increase (up to 18% of the scenarios) in a future climate. Local industrial activity evolution also has an effect on the uncertainty of the results for the early-century period. We conclude that although climate impact indi</w:t>
      </w:r>
    </w:p>
    <w:p>
      <w:pPr/>
      <w:r>
        <w:rPr>
          <w:b/>
        </w:rPr>
        <w:t>POSSIBLE 2020:</w:t>
      </w:r>
      <w:r>
        <w:t xml:space="preserve"> A Review of the Potential Climate Change Impacts and Adaptation Options for European Viticulture — https://doi.org/10.3390/app10093092</w:t>
      </w:r>
    </w:p>
    <w:p>
      <w:pPr/>
      <w:r>
        <w:rPr>
          <w:b/>
        </w:rPr>
        <w:t>Shared claim-specific concepts:</w:t>
      </w:r>
      <w:r>
        <w:t xml:space="preserve"> impacts, climate; EU scope visible. This is a provisional connection, not an outcome finding.</w:t>
      </w:r>
    </w:p>
    <w:p>
      <w:pPr>
        <w:pStyle w:val="SourceNote"/>
      </w:pPr>
      <w:r>
        <w:rPr>
          <w:b/>
        </w:rPr>
        <w:t>Available abstract (not full text):</w:t>
      </w:r>
      <w:r>
        <w:t xml:space="preserve"> Viticulture and winemaking are important socioeconomic sectors in many European regions. Climate plays a vital role in the terroir of a given wine region, as it strongly controls canopy microclimate, vine growth, vine physiology, yield, and berry composition, which together determine wine attributes and typicity. New challenges are, however, predicted to arise from climate change, as grapevine cultivation is deeply dependent on weather and climate conditions. Changes in viticultural suitability over the last decades, for viticulture in general or the use of specific varieties, have already been reported for many wine regions. Despite spatially heterogeneous impacts, climate change is anticipated to exacerbate these recent trends on suitability for wine production. These shifts may reshape the geographical distribution of wine regions, while wine typicity may also be threatened in most cases. Changing climates will thereby urge for the implementation of timely, suitable, and cost-effective adaptation strategies, which should also be thoroughly planned and tuned to local conditions for an effective risk reduction. Although the potential of the different adaptation options is not yet fully investigated, deserving further research activities, their adoption will be of utmost relevance to maintain the socioeconomic and environmental sustainability of the highly valued viticulture an</w:t>
      </w:r>
    </w:p>
    <w:p>
      <w:pPr/>
      <w:r>
        <w:rPr>
          <w:b/>
        </w:rPr>
        <w:t>POSSIBLE 2018:</w:t>
      </w:r>
      <w:r>
        <w:t xml:space="preserve"> Climate change and the health impact of aflatoxins exposure in Portugal – an overview — https://doi.org/10.1080/19440049.2018.1447691</w:t>
      </w:r>
    </w:p>
    <w:p>
      <w:pPr/>
      <w:r>
        <w:rPr>
          <w:b/>
        </w:rPr>
        <w:t>Shared claim-specific concepts:</w:t>
      </w:r>
      <w:r>
        <w:t xml:space="preserve"> probable, climate, portugal; EU scope visible. This is a provisional connection, not an outcome finding.</w:t>
      </w:r>
    </w:p>
    <w:p>
      <w:pPr>
        <w:pStyle w:val="SourceNote"/>
      </w:pPr>
      <w:r>
        <w:rPr>
          <w:b/>
        </w:rPr>
        <w:t>Available abstract (not full text):</w:t>
      </w:r>
      <w:r>
        <w:t xml:space="preserve"> Climate change has been indicated as a driver for food safety issues worldwide, mainly due to the impact on the occurrence of food safety hazards at various stages of food chain. Mycotoxins, natural contaminants produced by fungi, are among the most important of such hazards. Aflatoxins, which have the highest acute and chronic toxicity of all mycotoxins, assume particular importance. A recent study predicted aflatoxin contamination in maize and wheat crops in Europe within the next 100 years and aflatoxin B1 is predicted to become a food safety issue in Europe, especially in the most probable scenario of climate change (+2°C). This review discusses the potential influence of climate change on the health risk associated to aflatoxins dietary exposure of Portuguese population. We estimated the burden of disease associated to the current aflatoxin exposure for Portuguese population in terms of Disability Adjusted Life Years (DALYs). It is expected that in the future the number of DALYs and the associated cases of hepatocellular carcinoma due to aflatoxins exposure will increase due to climate change. The topics highlighted through this review, including the potential impact on health of the Portuguese population through the dietary exposure to aflatoxins, should represent an alert for the potential consequences of an incompletely explored perspective of climate change. Politics a</w:t>
      </w:r>
    </w:p>
    <w:p>
      <w:pPr/>
      <w:r>
        <w:rPr>
          <w:b/>
        </w:rPr>
        <w:t>POSSIBLE 2018:</w:t>
      </w:r>
      <w:r>
        <w:t xml:space="preserve"> The impact of climate change on a cost-optimal highly renewable European electricity network — https://doi.org/10.1016/j.apenergy.2018.09.084</w:t>
      </w:r>
    </w:p>
    <w:p>
      <w:pPr/>
      <w:r>
        <w:rPr>
          <w:b/>
        </w:rPr>
        <w:t>Shared claim-specific concepts:</w:t>
      </w:r>
      <w:r>
        <w:t xml:space="preserve"> climate, water; EU scope visible. This is a provisional connection, not an outcome finding.</w:t>
      </w:r>
    </w:p>
    <w:p>
      <w:pPr>
        <w:pStyle w:val="SourceNote"/>
      </w:pPr>
      <w:r>
        <w:rPr>
          <w:b/>
        </w:rPr>
        <w:t>Available abstract (not full text):</w:t>
      </w:r>
      <w:r>
        <w:t xml:space="preserve"> We use three ensemble members of the EURO-CORDEX project and their data on surface wind speeds, solar irradiation as well as water runoff with a spatial resolution of 12 km and a temporal resolution of 3 h under representative concentration pathway 8.5 (associated with a strong climate change and a temperature increase of 2.6–4.8 °C until the end of the century) until 2100 to investigate the impact of climate change on wind, solar and hydro resources and consequently on a highly renewable and cost-optimal European power system. The weather data is transformed into power, different aspects such as capacity factors and correlation lengths are investigated and the resulting implications for the European power system are discussed. In addition, we compare a 30-node model of Europe with historical and climate change-affected data, where investments in generation, transmission and storage facilities are optimised. Differences in capacity factors among European countries are more strongly emphasized at the end of the century compared to historic data. This results in a significantly increased photovoltaic share in the cost-optimal power system. In addition, annual hydro inflow patterns of major hydro producers change considerably. System costs increase by 5% until the end of the century and the impact of climate change on these costs is of similar magnitude as differences between the </w:t>
      </w:r>
    </w:p>
    <w:p>
      <w:pPr/>
      <w:r>
        <w:rPr>
          <w:b/>
        </w:rPr>
        <w:t>POSSIBLE 2018:</w:t>
      </w:r>
      <w:r>
        <w:t xml:space="preserve"> Vulnerability of European intermittent renewable energy supply to climate change and climate variability — https://doi.org/10.1016/j.rser.2018.08.057</w:t>
      </w:r>
    </w:p>
    <w:p>
      <w:pPr/>
      <w:r>
        <w:rPr>
          <w:b/>
        </w:rPr>
        <w:t>Shared claim-specific concepts:</w:t>
      </w:r>
      <w:r>
        <w:t xml:space="preserve"> impacts, climate, assessed, four; EU scope visible. This is a provisional connection, not an outcome finding.</w:t>
      </w:r>
    </w:p>
    <w:p>
      <w:pPr>
        <w:pStyle w:val="SourceNote"/>
      </w:pPr>
      <w:r>
        <w:rPr>
          <w:b/>
        </w:rPr>
        <w:t>Available abstract (not full text):</w:t>
      </w:r>
      <w:r>
        <w:t xml:space="preserve"> The impact of both climate change and climate variability on the supply of intermittent renewable energy sources (I-RES) in Europe are assessed based on global climate model simulations. The main driver of climate variability over Europe is the North Atlantic Oscillation (NAO) in winter and its equivalent in summer (sNAO) which determine to a large extent the atmospheric circulation in Europe. Four climate scenarios are constructed distinguished by a moderate and strong increase of the average global surface temperature, and a positive and negative phase of the atmospheric variability over the North Atlantic and Europe. This spans a framework which combines the effects of both climate change and climate variability. Using a 2050 distribution of PV panels and wind turbines, we found that although climate change is likely to have significant impact on future I-RES output in Europe, its effects, especially for wind power, are outweighed by the high and strongly variable impact of the NAO/sNAO phases. Variability in the large-scale atmospheric circulation is able to induce median I-RES yield differences of 20–30% for high wind potential regions. Due to the NAO variability also months were identified with persistent calm conditions over Europe linked to the inflow of frigid arctic air resulting in some regions in a decrease in wind power of up to 75%a accompanied with an increase in</w:t>
      </w:r>
    </w:p>
    <w:p>
      <w:pPr/>
      <w:r>
        <w:rPr>
          <w:b/>
        </w:rPr>
        <w:t>POSSIBLE 2018:</w:t>
      </w:r>
      <w:r>
        <w:t xml:space="preserve"> Hydrological impacts of moderate and high-end climate change across European river basins — https://doi.org/10.1016/j.ejrh.2018.05.003</w:t>
      </w:r>
    </w:p>
    <w:p>
      <w:pPr/>
      <w:r>
        <w:rPr>
          <w:b/>
        </w:rPr>
        <w:t>Shared claim-specific concepts:</w:t>
      </w:r>
      <w:r>
        <w:t xml:space="preserve"> impacts, climate, eco-hydrological, swim, soil, water; EU scope visible. This is a provisional connection, not an outcome finding.</w:t>
      </w:r>
    </w:p>
    <w:p>
      <w:pPr>
        <w:pStyle w:val="SourceNote"/>
      </w:pPr>
      <w:r>
        <w:rPr>
          <w:b/>
        </w:rPr>
        <w:t>Available abstract (not full text):</w:t>
      </w:r>
      <w:r>
        <w:t xml:space="preserve"> To provide a picture of hydrological impact of climate change across different climatic zones in Europe, this study considers eight river basins: Tagus in Iberian Peninsula; Emån and Lule in Scandinavia; Rhine, Danube and Teteriv in Central and Eastern Europe; Tay on the island of Great Britain and Northern Dvina in North-Eastern Europe. In this study the assessment of the impacts of moderate and high-end climate change scenarios on the hydrological patterns in European basins was conducted. To assess the projected changes, the process-based eco-hydrological model SWIM (Soil and Water Integrated Model) was set up, calibrated and validated for the basins. The SWIM was driven by the bias-corrected climate projections obtained from the coupled simulations of the Global Circulation Models and Regional Climate Models. The results show robust decreasing trends in water availability in the most southern river basin (Tagus), an overall increase in discharge in the most northern river basin (Lule), increase in the winter discharge and shift in seasonality in Northern and Central European catchments. The impacts of the high-end climate change scenario RCP 8.5 continue to develop until the end of the century, while those of the moderate climate change scenario RCP 4.5 level-off after the mid-century. The results of this study also confirm trends, found previously with mostly global scale </w:t>
      </w:r>
    </w:p>
    <w:p>
      <w:pPr/>
      <w:r>
        <w:rPr>
          <w:b/>
        </w:rPr>
        <w:t>POSSIBLE 2017:</w:t>
      </w:r>
      <w:r>
        <w:t xml:space="preserve"> Probable maximum flood in a changing climate: An overview for Canadian basins — https://doi.org/10.1016/j.ejrh.2017.07.003</w:t>
      </w:r>
    </w:p>
    <w:p>
      <w:pPr/>
      <w:r>
        <w:rPr>
          <w:b/>
        </w:rPr>
        <w:t>Shared claim-specific concepts:</w:t>
      </w:r>
      <w:r>
        <w:t xml:space="preserve"> probable, climate; EU scope not established. This is a provisional connection, not an outcome finding.</w:t>
      </w:r>
    </w:p>
    <w:p>
      <w:pPr>
        <w:pStyle w:val="SourceNote"/>
      </w:pPr>
      <w:r>
        <w:rPr>
          <w:b/>
        </w:rPr>
        <w:t>Available abstract (not full text):</w:t>
      </w:r>
      <w:r>
        <w:t xml:space="preserve"> Study Region: In Canada, dams which represent a high risk to human loss of life, along with important environmental and financial losses in case of failure, have to accommodate the Probable Maximum Flood (PMF). Five Canadian basins with different physiographic characteristics and geographic locations, and where the PMF is a relevant metric have been selected: Nelson, Mattagami, Kénogami, Saguenay and Manic-5. Study Focus: One of the main drivers of the PMF is the Probable Maximum Precipitation (PMP). Traditionally, the computation of the PMP relies on moisture maximization of high efficiency observed storms without consideration for climate change. The current study attempts to develop a novel approach based on traditional methods to take into account the non-stationarity of the climate using an ensemble of 14 regional climate model (RCM) simulations. PMPs, the 100-year snowpack and resulting PMF changes were computed between the 1971-2000 and 2041-2070 periods. New Hydrological Insights for the Region: The study reveals an overall increase in future spring PMP with the exception of the most northern basin Nelson. It showed a projected increase of the 100-year snowpack for the two northernmost basins, Nelson (8%) and Manic-5 (3%), and a decrease for the three more southern basins, Mattagami (-1%), Saguenay (-5%) and Kénogami (-9%). The future spring PMF is projected to increase</w:t>
      </w:r>
    </w:p>
    <w:p>
      <w:pPr/>
      <w:r>
        <w:rPr>
          <w:b/>
        </w:rPr>
        <w:t>POSSIBLE 2017:</w:t>
      </w:r>
      <w:r>
        <w:t xml:space="preserve"> Sunflower crop and climate change: vulnerability, adaptation, and mitigation potential from case-studies in Europe — https://doi.org/10.1051/ocl/2016052</w:t>
      </w:r>
    </w:p>
    <w:p>
      <w:pPr/>
      <w:r>
        <w:rPr>
          <w:b/>
        </w:rPr>
        <w:t>Shared claim-specific concepts:</w:t>
      </w:r>
      <w:r>
        <w:t xml:space="preserve"> impacts, climate, assessed, water, areas; EU scope visible. This is a provisional connection, not an outcome finding.</w:t>
      </w:r>
    </w:p>
    <w:p>
      <w:pPr>
        <w:pStyle w:val="SourceNote"/>
      </w:pPr>
      <w:r>
        <w:rPr>
          <w:b/>
        </w:rPr>
        <w:t>Available abstract (not full text):</w:t>
      </w:r>
      <w:r>
        <w:t xml:space="preserve">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pPr>
        <w:pStyle w:val="Heading2"/>
      </w:pPr>
      <w:r>
        <w:t>813.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2022:</w:t>
      </w:r>
      <w:r>
        <w:t xml:space="preserve"> Assessment of extreme winds over Europe in Regional Climate Models — https://doi.org/10.5194/ems2022-365</w:t>
      </w:r>
    </w:p>
    <w:p>
      <w:pPr/>
      <w:r>
        <w:rPr>
          <w:b/>
        </w:rPr>
        <w:t>Shared claim-specific concepts:</w:t>
      </w:r>
      <w:r>
        <w:t xml:space="preserve"> regional, climate, used, period;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Afforestation impact on soil temperature in regional climate model simulations over Europe — https://doi.org/10.5194/gmd-15-595-2022</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r>
        <w:rPr>
          <w:b/>
        </w:rPr>
        <w:t>POSSIBLE 2021:</w:t>
      </w:r>
      <w:r>
        <w:t xml:space="preserve"> Precipitation–temperature relationships over Europe in CORDEX regional climate models — https://doi.org/10.1002/joc.7508</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We studied spatial and temporal patterns of precipitation–temperature (P–T) relationships through correlations between monthly standardized precipitation index (SPI) and monthly temperature anomalies in individual climatic seasons over Europe. In the observed data (represented by E‐OBS), positive correlations (wet–warm/dry–cold relationships) prevail during winter over most of Europe, while negative values (dry–warm/wet–cold) are dominant in summer. In the next step, an ensemble of seven regional climate models (RCMs) from the CORDEX project driven by the ERA‐Interim reanalysis were examined as to their reproduction of the regional patterns of the P–T correlations. In winter, the RCMs yielded overly strong positive P–T correlations over northern Europe, while the correlations were too weak in the south compared to observed data. During summer, the biases were generally larger; the RCMs were able to capture the overall negative P–T correlations but these tended to be too weak over northern Europe. This deficiency was found to be linked to simulated differences in shortwave radiation (a proxy for cloud cover) between dry and wet months. In western, central, and southeastern Europe, by contrast, most RCMs yielded too strong negative correlations in summer, and overly large decreases of relative humidity during dry months probably contributed to these errors. The results p</w:t>
      </w:r>
    </w:p>
    <w:p>
      <w:pPr/>
      <w:r>
        <w:rPr>
          <w:b/>
        </w:rPr>
        <w:t>POSSIBLE 2021:</w:t>
      </w:r>
      <w:r>
        <w:t xml:space="preserve"> Afforestation impact on soil temperature in regional climate model simulations over Europe — https://doi.org/10.5194/gmd-2021-69</w:t>
      </w:r>
    </w:p>
    <w:p>
      <w:pPr/>
      <w:r>
        <w:rPr>
          <w:b/>
        </w:rPr>
        <w:t>Shared claim-specific concepts:</w:t>
      </w:r>
      <w:r>
        <w:t xml:space="preserve"> regional, climate, investigate, temperature; EU scope visible. This is a provisional connection, not an outcome finding.</w:t>
      </w:r>
    </w:p>
    <w:p>
      <w:pPr>
        <w:pStyle w:val="SourceNote"/>
      </w:pPr>
      <w:r>
        <w:rPr>
          <w:b/>
        </w:rPr>
        <w:t>Available abstract (not full text):</w:t>
      </w:r>
      <w:r>
        <w:t xml:space="preserve"> Abstract. In the context of the first phase of the Euro-CORDEX Flagship Plot Study (FPS) Land Use and Climate Across Scales (LUCAS), we investigate the afforestation impact on the seasonal cycle of soil temperature over the European continent with an ensemble of ten regional climate models (RCMs). For this purpose, each ensemble member performed two idealized land cover experiments in which Europe is covered either by forests or grasslands. The multi-model mean exhibits a reduction of the annual amplitude of soil temperature (AAST) over all European regions, although this not a robust feature among the models. In Mediterranean, the simulated AAST response to afforestation is between −4 K and +2 K while in Scandinavia the inter-model spread ranges from −7 K to +1 K. We then examine the role of changes in the annual amplitude of ground heat flux (AAGHF) and summer soil moisture content (SMC) in determining the effect of afforestation on AAST response. In contrast with the diverging results in AAST, all the models consistently indicate a widespread AAGHF decrease and summer SMC decline due to afforestation. The AAGHF changes effectively explain the largest part of the inter-model variance in AAST response in most regions, while the changes in summer SMC determine the sign of AAST response within a group of three simulations sharing the same land surface model. Finally, we pair FLU</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regional, climate, investigate, period;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r>
        <w:rPr>
          <w:b/>
        </w:rPr>
        <w:t>POSSIBLE 2020:</w:t>
      </w:r>
      <w:r>
        <w:t xml:space="preserve"> Biogeophysical impacts of forestation in Europe: first results from the LUCAS (Land Use and Climate Across Scales) regional climate model intercomparison — https://doi.org/10.5194/esd-11-183-2020</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pPr/>
      <w:r>
        <w:rPr>
          <w:b/>
        </w:rPr>
        <w:t>POSSIBLE 2020:</w:t>
      </w:r>
      <w:r>
        <w:t xml:space="preserve"> Assessment of the European Climate Projections as Simulated by the Large EURO‐CORDEX Regional and Global Climate Model Ensemble — https://doi.org/10.1029/2019jd032356</w:t>
      </w:r>
    </w:p>
    <w:p>
      <w:pPr/>
      <w:r>
        <w:rPr>
          <w:b/>
        </w:rPr>
        <w:t>Shared claim-specific concepts:</w:t>
      </w:r>
      <w:r>
        <w:t xml:space="preserve"> regional, climate, temperature, indices; EU scope visible. This is a provisional connection, not an outcome finding.</w:t>
      </w:r>
    </w:p>
    <w:p>
      <w:pPr>
        <w:pStyle w:val="SourceNote"/>
      </w:pPr>
      <w:r>
        <w:rPr>
          <w:b/>
        </w:rPr>
        <w:t>Available abstract (not full text):</w:t>
      </w:r>
      <w:r>
        <w:t xml:space="preserve"> Abstract This paper analyzes the ensemble of regional climate model (RCM) projections for Europe completed within the EURO‐CORDEX project. Projections are available for the two greenhouse gas concentration scenarios RCP2.6 (22 members) and RCP8.5 (55 members) at 0.11° resolution from 11 RCMs driven by eight global climate models (GCMs). The RCM ensemble results are compared with the driving CMIP5 global models but also with a subset of available last generation CMIP6 projections. Maximum warming is projected by all ensembles in Northern Europe in winter, along with a maximum precipitation increase there; in summer, maximum warming occurs in the Mediterranean and Southern European regions associated with a maximum precipitation decrease. The CMIP6 ensemble shows the largest signals, both for temperature and precipitation, along with the largest inter‐model spread. There is a high model consensus across the ensembles on an increase of extreme precipitation and drought frequency in the Mediterranean region. Extreme temperature indices show an increase of heat extremes and a decrease of cold extremes, with CMIP6 showing the highest values and EURO‐CORDEX the finest spatial details. This data set of unprecedented size and quality will provide the basis for impact assessment and climate service activities for the European region.</w:t>
      </w:r>
    </w:p>
    <w:p>
      <w:pPr/>
      <w:r>
        <w:rPr>
          <w:b/>
        </w:rPr>
        <w:t>POSSIBLE 2020:</w:t>
      </w:r>
      <w:r>
        <w:t xml:space="preserve"> European daily precipitation according to EURO-CORDEX regional climate models (RCMs) and high-resolution global climate models (GCMs) from the High-Resolution Model Intercomparison Project (HighResMIP) — https://doi.org/10.5194/gmd-13-5485-2020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In this study, we perform an evaluation of PRIMAVERA high-resolution (25–50 km) Global Climate Models (GCMs) relative to CORDEX Regional Climate Models (RCMs) over Europe (12–50 km resolutions). It is the first time such assessment is performed for regional climate information using ensembles of GCMs and RCMs at similar horizontal resolutions. We perform this exercise for the distribution of daily precipitation contributions to rainfall bins over Europe under current climate conditions. Both ensembles are evaluated against high quality national gridded observations in terms of resolution and station density. We show that PRIMAVERA GCMs simulate very similar distribution to CORDEX RCMs that CMIP5 cannot because of their coarse resolutions. PRIMAVERA and CORDEX ensembles generally show similar strengths and weaknesses. They are of good quality in summer and autumn in most European regions, but tend to overestimate precipitation in winter and spring. PRIMAVERA show improvements in the latter bias by reducing mid-rain rate biases in Central and Eastern Europe. Moreover, CORDEX simulate less light rainfall than PRIMAVERA in most regions and seasons, which improves this common GCM bias. Finally, PRIMAVERA simulate less heavy precipitation than CORDEX in most regions and seasons, especially in summer. PRIMAVERA appear to be closer to observations. However, when we apply an a</w:t>
      </w:r>
    </w:p>
    <w:p>
      <w:pPr/>
      <w:r>
        <w:rPr>
          <w:b/>
        </w:rPr>
        <w:t>POSSIBLE 2020:</w:t>
      </w:r>
      <w:r>
        <w:t xml:space="preserve"> Partitioning uncertainty components of mean climate and climate change in a large ensemble of European regional climate model projections — https://doi.org/10.1007/s00382-020-05229-y</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Abstract A study of seasonal mean temperature, precipitation, and wind speed has been performed for a set of 19 global climate model (GCM) driven high-resolution regional climate model (RCM) simulations forming a complete 5 × 4 GCM × RCM matrix with only one missing simulation. Differences between single simulations and between groups of simulations forced by a specific GCM or a specific RCM are identified. With the help of an analysis of variance (ANOVA) we split the ensemble variance into linear GCM and RCM contributions and cross terms for both mean climate and climate change for the end of the current century according to the RCP8.5 emission scenario. The results document that the choice of GCM generally has a larger influence on the climate change signal than the choice of RCM, having a significant influence for roughly twice as many points in the area for the fields investigated (temperature, precipitation and wind speed). It is also clear that the RCM influence is generally concentrated close to the eastern and northern boundaries and in mountainous areas, i.e., in areas where the added surface detail of e.g. orography, snow and ice seen by the RCM is expected to have considerable influence on the climate, and in areas where the air in general has spent the most time within the regional domain. The analysis results in estimates of areas where the specific identity of eit</w:t>
      </w:r>
    </w:p>
    <w:p>
      <w:pPr/>
      <w:r>
        <w:rPr>
          <w:b/>
        </w:rPr>
        <w:t>POSSIBLE 2018:</w:t>
      </w:r>
      <w:r>
        <w:t xml:space="preserve"> European climate change at global mean temperature increases of 1.5 and 2 °C above pre-industrial conditions as simulated by the EURO-CORDEX regional climate models — https://doi.org/10.5194/esd-9-459-2018</w:t>
      </w:r>
    </w:p>
    <w:p>
      <w:pPr/>
      <w:r>
        <w:rPr>
          <w:b/>
        </w:rPr>
        <w:t>Shared claim-specific concepts:</w:t>
      </w:r>
      <w:r>
        <w:t xml:space="preserve"> regional, climate, used, investigate, temperature; EU scope visible. This is a provisional connection, not an outcome finding.</w:t>
      </w:r>
    </w:p>
    <w:p>
      <w:pPr>
        <w:pStyle w:val="SourceNote"/>
      </w:pPr>
      <w:r>
        <w:rPr>
          <w:b/>
        </w:rPr>
        <w:t>Available abstract (not full text):</w:t>
      </w:r>
      <w:r>
        <w:t xml:space="preserve"> Abstract. We investigate European regional climate change for time periods when the global mean temperature has increased by 1.5 and 2 °C compared to pre-industrial conditions. Results are based on regional downscaling of transient climate change simulations for the 21st century with global climate models (GCMs) from the fifth-phase Coupled Model Intercomparison Project (CMIP5). We use an ensemble of EURO-CORDEX high-resolution regional climate model (RCM) simulations undertaken at a computational grid of 12.5 km horizontal resolution covering Europe. The ensemble consists of a range of RCMs that have been used for downscaling different GCMs under the RCP8.5 forcing scenario. The results indicate considerable near-surface warming already at the lower 1.5 °C of warming. Regional warming exceeds that of the global mean in most parts of Europe, being the strongest in the northernmost parts of Europe in winter and in the southernmost parts of Europe together with parts of Scandinavia in summer. Changes in precipitation, which are less robust than the ones in temperature, include increases in the north and decreases in the south with a borderline that migrates from a northerly position in summer to a southerly one in winter. Some of these changes are already seen at 1.5 °C of warming but are larger and more robust at 2 °C. Changes in near-surface wind speed are associated with a lar</w:t>
      </w:r>
    </w:p>
    <w:p>
      <w:pPr>
        <w:pStyle w:val="Heading2"/>
      </w:pPr>
      <w:r>
        <w:t>814.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r>
        <w:rPr>
          <w:b/>
        </w:rPr>
        <w:t>POSSIBLE 2020:</w:t>
      </w:r>
      <w:r>
        <w:t xml:space="preserve"> Central and Peripheral Neuromuscular Adaptations to Ageing — https://doi.org/10.3390/jcm9030741</w:t>
      </w:r>
    </w:p>
    <w:p>
      <w:pPr/>
      <w:r>
        <w:rPr>
          <w:b/>
        </w:rPr>
        <w:t>Shared claim-specific concepts:</w:t>
      </w:r>
      <w:r>
        <w:t xml:space="preserve"> ageing, severe, system; EU scope not established. This is a provisional connection, not an outcome finding.</w:t>
      </w:r>
    </w:p>
    <w:p>
      <w:pPr>
        <w:pStyle w:val="SourceNote"/>
      </w:pPr>
      <w:r>
        <w:rPr>
          <w:b/>
        </w:rPr>
        <w:t>Available abstract (not full text):</w:t>
      </w:r>
      <w:r>
        <w:t xml:space="preserve">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pPr/>
      <w:r>
        <w:rPr>
          <w:b/>
        </w:rPr>
        <w:t>POSSIBLE 2019:</w:t>
      </w:r>
      <w:r>
        <w:t xml:space="preserve"> Food Allergies and Ageing — https://doi.org/10.3390/ijms20225580</w:t>
      </w:r>
    </w:p>
    <w:p>
      <w:pPr/>
      <w:r>
        <w:rPr>
          <w:b/>
        </w:rPr>
        <w:t>Shared claim-specific concepts:</w:t>
      </w:r>
      <w:r>
        <w:t xml:space="preserve"> ageing, problem, age, system, until; EU scope not established. This is a provisional connection, not an outcome finding.</w:t>
      </w:r>
    </w:p>
    <w:p>
      <w:pPr>
        <w:pStyle w:val="SourceNote"/>
      </w:pPr>
      <w:r>
        <w:rPr>
          <w:b/>
        </w:rPr>
        <w:t>Available abstract (not full text):</w:t>
      </w:r>
      <w:r>
        <w:t xml:space="preserve">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pPr/>
      <w:r>
        <w:rPr>
          <w:b/>
        </w:rPr>
        <w:t>POSSIBLE 2018:</w:t>
      </w:r>
      <w:r>
        <w:t xml:space="preserve"> On loneliness and the ageing process* — https://doi.org/10.4324/9780429476266-2</w:t>
      </w:r>
    </w:p>
    <w:p>
      <w:pPr/>
      <w:r>
        <w:rPr>
          <w:b/>
        </w:rPr>
        <w:t>Shared claim-specific concepts:</w:t>
      </w:r>
      <w:r>
        <w:t xml:space="preserve"> ageing, severe, because; EU scope not established. This is a provisional connection, not an outcome finding.</w:t>
      </w:r>
    </w:p>
    <w:p>
      <w:pPr>
        <w:pStyle w:val="SourceNote"/>
      </w:pPr>
      <w:r>
        <w:rPr>
          <w:b/>
        </w:rPr>
        <w:t>Available abstract (not full text):</w:t>
      </w:r>
      <w:r>
        <w:t xml:space="preserve"> Pearl King, at the 31st International Congress, pointed out that it was the first time that a paper on the problems concerned with the psychoanalysis of elderly patients had been arranged. She indicated that researches in the theory and practice of psychoanalysis over the past few decades have necessitated a re-evaluation of psychoanalysts&amp;s; attitudes, and the criteria they use for the selection of such patients. Among such researches, the author particularly refers to the changes in psychoanalytic understanding and technique that have facilitated clinical exploration of severe narcissistic disorders. Psychoanalysts find themselves confronted with severe narcissistic patients frequently when patients are middle-aged and later, because the very nature of their disorder has not allowed them to seek help earlier. The author illustrates the general points of loneliness of mind by reference to case material of an ageing patient, who presented with a traumatized history and severe narcissistic problems.</w:t>
      </w:r>
    </w:p>
    <w:p>
      <w:pPr/>
      <w:r>
        <w:rPr>
          <w:b/>
        </w:rPr>
        <w:t>POSSIBLE 2018:</w:t>
      </w:r>
      <w:r>
        <w:t xml:space="preserve"> Ageing Process and Physiological Changes — https://doi.org/10.5772/intechopen.76249</w:t>
      </w:r>
    </w:p>
    <w:p>
      <w:pPr/>
      <w:r>
        <w:rPr>
          <w:b/>
        </w:rPr>
        <w:t>Shared claim-specific concepts:</w:t>
      </w:r>
      <w:r>
        <w:t xml:space="preserve"> ageing, age, place; EU scope not established. This is a provisional connection, not an outcome finding.</w:t>
      </w:r>
    </w:p>
    <w:p>
      <w:pPr>
        <w:pStyle w:val="SourceNote"/>
      </w:pPr>
      <w:r>
        <w:rPr>
          <w:b/>
        </w:rPr>
        <w:t>Available abstract (not full text):</w:t>
      </w:r>
      <w:r>
        <w:t xml:space="preserve"> Ageing is a natural process. Everyone must undergo this phase of life at his or her own time and pace. In the broader sense, ageing reflects all the changes taking place over the course of life. These changes start from birth—one grows, develops and attains maturity. To the young, ageing is exciting. Middle age is the time when people notice the age-related changes like greying of hair, wrinkled skin and a fair amount of physical decline. Even the healthiest, aesthetically fit cannot escape these changes. Slow and steady physical impairment and functional disability are noticed resulting in increased dependency in the period of old age. According to World Health Organization, ageing is a course of biological reality which starts at conception and ends with death. It has its own dynamics, much beyond human control. However, this process of ageing is also subject to the constructions by which each society makes sense of old age. In most of the developed countries, the age of 60 is considered equivalent to retirement age and it is said to be the beginning of old age. In this chapter, you understand the details of ageing processes and associated physiological changes.</w:t>
      </w:r>
    </w:p>
    <w:p>
      <w:pPr/>
      <w:r>
        <w:rPr>
          <w:b/>
        </w:rPr>
        <w:t>POSSIBLE 2017:</w:t>
      </w:r>
      <w:r>
        <w:t xml:space="preserve"> Chronic kidney disease and ageing — https://openalex.org/W3208943687</w:t>
      </w:r>
    </w:p>
    <w:p>
      <w:pPr/>
      <w:r>
        <w:rPr>
          <w:b/>
        </w:rPr>
        <w:t>Shared claim-specific concepts:</w:t>
      </w:r>
      <w:r>
        <w:t xml:space="preserve"> ageing, severe, problem, because, system; EU scope not established. This is a provisional connection, not an outcome finding.</w:t>
      </w:r>
    </w:p>
    <w:p>
      <w:pPr>
        <w:pStyle w:val="SourceNote"/>
      </w:pPr>
      <w:r>
        <w:rPr>
          <w:b/>
        </w:rPr>
        <w:t>Available abstract (not full text):</w:t>
      </w:r>
      <w:r>
        <w:t xml:space="preserve"> In recent decades, life expectancy has significantly extended, and the number of elderly people in each populationincreases significantly during the subsequent years. Ageing is associated with a physiological deteriorationof kidney function, however, in patients with additional diseases such as diabetes, hypertension andobesity, there is often stronger severity of kidney damage. It has been estimated that the prevalence of chronickidney disease (CKD) in the older population is several times higher than in the general population. It is consideredthat in addition to the mentioned above comorbid the socio-economic factors also increases prevalenceof CKD. The occurrence of CKD significantly increases the mortality, deteriorating the quality of life of thesesubjects and is also severe financial problem for the health care system because of the high costs of renal replacementtherapy. For this reason, renal replacement therapy in elderly patients is expensive and not alwaysbrings measurable benefits.</w:t>
      </w:r>
    </w:p>
    <w:p>
      <w:pPr/>
      <w:r>
        <w:rPr>
          <w:b/>
        </w:rPr>
        <w:t>POSSIBLE 2016:</w:t>
      </w:r>
      <w:r>
        <w:t xml:space="preserve"> HIV and ageing — https://doi.org/10.1097/coh.0000000000000305</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OF REVIEW: Evidence-based strategies are needed to address the growing complexity of care of those ageing with HIV so that as life expectancy is extended, quality of life is also enhanced. RECENT FINDINGS: Modifiable contributing factors to the quantity and quality of life in adults ageing with HIV include: burden of harmful health behaviours, injury from HIV infection, HIV treatment toxicity and general burden of age-associated comorbidities. In turn, these factors contribute to geriatric syndromes including multimorbidity and polypharmacy, physiologic frailty, falls and fragility fractures and cognitive dysfunction, which further compromise the quality of life long before they lead to mortality. SUMMARY: Viral suppression of HIV with combination antiviral therapy has led to increasing longevity but has not enabled a complete return to health among ageing HIV-infected individuals (HIV+). As adults age with HIV, the role of HIV itself and associated inflammation, effects of exposure to antiretroviral agents, the high prevalence of modifiable risk factors for age-associated conditions (e.g. smoking), and the effects of other viral coinfections are all influencing the health trajectory of persons ageing with HIV. We must move from the simplistic notion of HIV becoming a 'chronic controllable illness' to understanding the continually evolving 'treated' history of HIV infec</w:t>
      </w:r>
    </w:p>
    <w:p>
      <w:pPr/>
      <w:r>
        <w:rPr>
          <w:b/>
        </w:rPr>
        <w:t>POSSIBLE 2016:</w:t>
      </w:r>
      <w:r>
        <w:t xml:space="preserve"> Suicide in an ageing UK population: problems and prevention — https://doi.org/10.1108/qaoa-05-2015-0022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Purpose Suicide can be an emotive, and at times, controversial subject. The purpose of this paper is to reflect on the social, health, personal, and cultural issues that can arise in later life and the potential reasons for suicide. It will analyse already recognised risk factors of suicide in older adults and focus on improving knowledge about the social meaning and causation of suicide for older people. It will also consider suicide prevention policies, their practice implications, and whether they are successful in protecting this potentially vulnerable cohort. Design/methodology/approach A synopsis of available literature in the form of a general review paper of suicide of older adults. Findings There is evidence that the ageing process often leads to a set of co-morbidities and a complex and diverse set of individual challenges. This in turn equates to an increased risk of suicide. There is no easy answer to why there is evidence of a growing number of older adults deciding that suicide is there only option, and even fewer suggestions on how to manage this risk. Social implications The entry of the “baby boom” generation into retirement will lead to the potential of an increase in both suicide risk factors and older adults completing suicide. This is on the background of a demographic surge which is likely to place additional pressures on already under-resourced, and under</w:t>
      </w:r>
    </w:p>
    <w:p>
      <w:pPr/>
      <w:r>
        <w:rPr>
          <w:b/>
        </w:rPr>
        <w:t>POSSIBLE 2016:</w:t>
      </w:r>
      <w:r>
        <w:t xml:space="preserve"> Innate immune responses in the ageing lung — https://doi.org/10.1111/cei.12881</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The world is undergoing an unprecedented shift in demographics, with the number of individuals over the age of 60 years projected to reach 2 billion or more by 2050, representing 22% of the global population. Elderly people are at a higher risk for chronic disease and more susceptible to infection, due in part to age-related dysfunction of the immune system resulting from low-grade chronic inflammation known as 'inflamm-ageing'. The innate immune system of older individuals exhibits a diminished ability to respond to microbial threats and clear infections, resulting in a greater occurrence of many infectious diseases in elderly people. In particular, the incidence of and mortality from lung infections increase sharply with age, with such infections often leading to worse outcomes, prolonged hospital stays and life-threatening complications, such as sepsis or acute respiratory distress syndrome. In this review, we highlight research on bacterial pneumonias and pulmonary viral infections and discuss age-related changes in innate immunity that contribute to the higher rate of these infections in older populations. By understanding more clearly the innate immune defects in elderly individuals, we can design age-specific therapies to address lung infections in such a vulnerable population.</w:t>
      </w:r>
    </w:p>
    <w:p>
      <w:pPr>
        <w:pStyle w:val="Heading2"/>
      </w:pPr>
      <w:r>
        <w:t>815.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r>
        <w:rPr>
          <w:b/>
        </w:rPr>
        <w:t>POSSIBLE 2022:</w:t>
      </w:r>
      <w:r>
        <w:t xml:space="preserve"> A Reference Model for Common Understanding of Capabilities and Skills in Manufacturing — https://doi.org/10.48550/arxiv.2209.09632</w:t>
      </w:r>
    </w:p>
    <w:p>
      <w:pPr/>
      <w:r>
        <w:rPr>
          <w:b/>
        </w:rPr>
        <w:t>Shared claim-specific concepts:</w:t>
      </w:r>
      <w:r>
        <w:t xml:space="preserve"> common, understanding, industry; EU scope not established. This is a provisional connection, not an outcome finding.</w:t>
      </w:r>
    </w:p>
    <w:p>
      <w:pPr>
        <w:pStyle w:val="SourceNote"/>
      </w:pPr>
      <w:r>
        <w:rPr>
          <w:b/>
        </w:rPr>
        <w:t>Available abstract (not full text):</w:t>
      </w:r>
      <w:r>
        <w:t xml:space="preserve">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pPr/>
      <w:r>
        <w:rPr>
          <w:b/>
        </w:rPr>
        <w:t>POSSIBLE 2021:</w:t>
      </w:r>
      <w:r>
        <w:t xml:space="preserve"> What We All Know: Community in Moore's "A Defence of Common Sense" — https://doi.org/10.1353/hph.2021.0064</w:t>
      </w:r>
    </w:p>
    <w:p>
      <w:pPr/>
      <w:r>
        <w:rPr>
          <w:b/>
        </w:rPr>
        <w:t>Shared claim-specific concepts:</w:t>
      </w:r>
      <w:r>
        <w:t xml:space="preserve"> common, understanding, all; EU scope not established. This is a provisional connection, not an outcome finding.</w:t>
      </w:r>
    </w:p>
    <w:p>
      <w:pPr>
        <w:pStyle w:val="SourceNote"/>
      </w:pPr>
      <w:r>
        <w:rPr>
          <w:b/>
        </w:rPr>
        <w:t>Available abstract (not full text):</w:t>
      </w:r>
      <w:r>
        <w:t xml:space="preserve"> I defend an account of Moore's conception of Common Sense—as it figures in "A Defence of Common Sense"—according to which it is based in a vision of the community of human beings as bound and unified by a settled common understanding of the meaning of our words and statements. This, for Moore, is our inalienable starting point in philosophy. When Moore invokes Common Sense against idealist (and skeptical) philosophers, he is reminding them that they too are bound by this common understanding, which cannot just be left behind as they confusedly believe. On Moore's conception, Common Sense becomes nothing other than the affirmation that there is such a common understanding—that there is Common Sense—which yields a specific body of Common Sense knowledge. This yields a more principled account of Common Sense than a mere tallying of what contingently happens to be believed (or known) by all.</w:t>
      </w:r>
    </w:p>
    <w:p>
      <w:pPr/>
      <w:r>
        <w:rPr>
          <w:b/>
        </w:rPr>
        <w:t>POSSIBLE 2021:</w:t>
      </w:r>
      <w:r>
        <w:t xml:space="preserve"> Understanding the common mechanisms of heart and skeletal muscle wasting in cancer cachexia — https://doi.org/10.1038/s41389-020-00288-6</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Cachexia is a severe complication of cancer that adversely affects the course of the disease, with currently no effective treatments. It is characterized by a progressive atrophy of skeletal muscle and adipose tissue, resulting in weight loss, a reduced quality of life, and a shortened life expectancy. Although the cachectic condition primarily affects the skeletal muscle, a tissue that accounts for ~40% of total body weight, cachexia is considered a multi-organ disease that involves different tissues and organs, among which the cardiac muscle stands out for its relevance. Patients with cancer often experience severe cardiac abnormalities and manifest symptoms that are indicative of chronic heart failure, including fatigue, shortness of breath, and impaired exercise tolerance. Furthermore, cardiovascular complications are among the major causes of death in cancer patients who experienced cachexia. The lack of effective treatments for cancer cachexia underscores the need to improve our understanding of the underlying mechanisms. Increasing evidence links the wasting of the cardiac and skeletal muscles to metabolic alterations, primarily increased energy expenditure, and to increased proteolysis, ensuing from activation of the major proteolytic machineries of the cell, including ubiquitin-dependent proteolysis and autophagy. This review aims at providing an overview of the key me</w:t>
      </w:r>
    </w:p>
    <w:p>
      <w:pPr/>
      <w:r>
        <w:rPr>
          <w:b/>
        </w:rPr>
        <w:t>POSSIBLE 2021:</w:t>
      </w:r>
      <w:r>
        <w:t xml:space="preserve"> From common operational picture to common situational understanding: An analysis based on practitioner perspectives — https://doi.org/10.1016/j.ssci.2021.105381</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concepts of Situational Awareness (SA) and Common Operational Picture (COP) are closely related and well-acknowledged to be crucial factors for effective emergency management. In multi-agency operations, such as extreme weather events, the involved first responders manage the event with different mandates, objectives, and tools which can make it challenging to build a COP. Effective collaboration requires a common situational understanding, based on knowledge about each other’s responsibilities and tasks, mutual respect and trust, as well as common communication tools for emergency communication and information sharing. This paper argues that the COP serves as a basis for deciding on further action, and thus represents a first stage in the process of establishing common situational understanding among the involved actors. The empirical basis for the study includes interviews with Norwegian emergency management stakeholders, analysis of audio-logs, and review of public documents. Based on the analysis we present a framework comprising activities and processes involved in establishing a COP as a basis for common situational understanding.</w:t>
      </w:r>
    </w:p>
    <w:p>
      <w:pPr/>
      <w:r>
        <w:rPr>
          <w:b/>
        </w:rPr>
        <w:t>POSSIBLE 2021:</w:t>
      </w:r>
      <w:r>
        <w:t xml:space="preserve"> What Is Open Pedagogy? Identifying Commonalities — https://doi.org/10.19173/irrodl.v22i2.5161</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Open pedagogy has been touted by advocates as a promising expansion of open educational resources because it involves shifting from making resources accessible to impacting the practice of teaching. The allure of the term coupled with its promise to bring greater innovation to pedagogy has led to its widespread use at conferences and publications. However, as the concept has gained increasing levels of popularity, it has also sparked considerable debate as to what it means. For example, how is open pedagogy distinct from other forms of pedagogy such as critical or cultural? What does it mean to practice open pedagogy? Without a clear understanding of its meaning, establishing a solid research foundation on which to make claims about the impact of open pedagogy approaches is difficult. Accordingly, this article argues that the current debate signals the need for the development of robust analytical frameworks in order to construct a cohesive body of research that can be used to advance it as a field of study. To do this, the authors review the literature and identify common characteristics within it. The authors then propose a five-part framework that encourages the long-term sustainability of open pedagogy.</w:t>
      </w:r>
    </w:p>
    <w:p>
      <w:pPr>
        <w:pStyle w:val="Heading2"/>
      </w:pPr>
      <w:r>
        <w:t>816.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2022:</w:t>
      </w:r>
      <w:r>
        <w:t xml:space="preserve"> Climate services for the railway sector: A synthesis of adaptation information needs in Europe — https://doi.org/10.3389/fclim.2022.968298</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pPr/>
      <w:r>
        <w:rPr>
          <w:b/>
        </w:rPr>
        <w:t>POSSIBLE 2021:</w:t>
      </w:r>
      <w:r>
        <w:t xml:space="preserve"> Climate change, adaptation, and global jobs: Lessons and urgent policy options for Africa — https://doi.org/10.35877/454ri.qems298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Climate change remains one of the world’s greatest challenge in the 21st century. It causes inevitable changes that alter human activities. Adaptation to climate change creates and at the same time limits opportunities that support human existence. While United States of America, Europe, China, India and other countries are maximizing the opportunities climate change adaptation offers especially in areas of green technology, energy and agriculture, that of Africa who are more vulnerable to climate change are complacent and at most show less commitment. As the negative impacts of climate change increases and livelihoods erode, and as jobs continue to disappear leading to conflicts and upheavals in Africa, governments across the continent need policy options that will enable them to mitigate and adapt to climate change while at the same time address the problem of unemployment and create new patterns of livelihood. This paper, therefore, explores options that support these objectives. It offered policy suggestions in green energy and agriculture where Africa have a comparative advantage over other nations, and which also has the capacity of employing 90 per cent of the continent's workforce. It makes suggestions on how Lake Chad and other water sources affected by climate change in Africa can be revived to support agricultural activities and hydropower industry as well as create </w:t>
      </w:r>
    </w:p>
    <w:p>
      <w:pPr/>
      <w:r>
        <w:rPr>
          <w:b/>
        </w:rPr>
        <w:t>POSSIBLE 2021:</w:t>
      </w:r>
      <w:r>
        <w:t xml:space="preserve"> CLIMADA v1.4.1: towards a globally consistent adaptation options appraisal tool — https://doi.org/10.5194/gmd-14-351-2021</w:t>
      </w:r>
    </w:p>
    <w:p>
      <w:pPr/>
      <w:r>
        <w:rPr>
          <w:b/>
        </w:rPr>
        <w:t>Shared claim-specific concepts:</w:t>
      </w:r>
      <w:r>
        <w:t xml:space="preserve"> adaptation, options, assessment; EU scope not established. This is a provisional connection, not an outcome finding.</w:t>
      </w:r>
    </w:p>
    <w:p>
      <w:pPr>
        <w:pStyle w:val="SourceNote"/>
      </w:pPr>
      <w:r>
        <w:rPr>
          <w:b/>
        </w:rPr>
        <w:t>Available abstract (not full text):</w:t>
      </w:r>
      <w:r>
        <w:t xml:space="preserve"> Abstract. Climate change is a fact and adaptation to a changing environment therefore a necessity. Adaptation is ultimately local, yet similar challenges pose themselves to decision-makers all across the globe and on all levels. The Economics of Climate Adaptation (ECA) methodology established an economic framework to fully integrate risk and reward perspectives of different 10 stakeholders, underpinned by the CLIMADA impact modelling platform. We present an extension of the latter to appraise adaption options in a consistent fashion in order to provide decision-makers from the local to the global level with the necessary facts to identify the most effective instruments to meet the adaptation challenge. We apply the open-source methodology and its Python implementation to a case study in the Caribbean, which allows to prioritize a small basked of adaptation options, namely green and grey infrastructure options as well as behavioural measures, and permits inter-island comparisons. In 15 Anguilla, for example, mangroves avert simulated damages more than 4 times the cost estimated for restoration, while enforcement of building codes shows to be effective in the Turks and Caicos islands. For all islands, cost-effective measures reduce the cost of risk transfer, which covers damage of high impact events that cannot be cost-effectively prevented by other measures. This extended versi</w:t>
      </w:r>
    </w:p>
    <w:p>
      <w:pPr/>
      <w:r>
        <w:rPr>
          <w:b/>
        </w:rPr>
        <w:t>POSSIBLE 2021:</w:t>
      </w:r>
      <w:r>
        <w:t xml:space="preserve"> Rethinking urban heat stress: Assessing risk and adaptation options across socioeconomic groups in Bonn, Germany — https://doi.org/10.1016/j.uclim.2021.100857</w:t>
      </w:r>
    </w:p>
    <w:p>
      <w:pPr/>
      <w:r>
        <w:rPr>
          <w:b/>
        </w:rPr>
        <w:t>Shared claim-specific concepts:</w:t>
      </w:r>
      <w:r>
        <w:t xml:space="preserve"> adaptation, options, between, integrated; EU scope visible. This is a provisional connection, not an outcome finding.</w:t>
      </w:r>
    </w:p>
    <w:p>
      <w:pPr>
        <w:pStyle w:val="SourceNote"/>
      </w:pPr>
      <w:r>
        <w:rPr>
          <w:b/>
        </w:rPr>
        <w:t>Available abstract (not full text):</w:t>
      </w:r>
      <w:r>
        <w:t xml:space="preserve"> With climate change and socioeconomic trends expected to exacerbate the risk of urban heat stress, implementing adaptation measures is paramount to limit adverse impacts of heat on urban inhabitants. Identification of the best options needs to be based on sound, localised assessments of risk, understood as the interaction of hazard, exposure and vulnerability. Yet a review of the literature reveals that minimal research to date considers the perceived impacts of heat among urban residents. Based on a household survey in Bonn, Germany, this paper adopts an integrated approach to assess how different socioeconomic groups are affected by heat stress and explores the connections between perceived impacts of heat and indicators of exposure and vulnerability across groups. Results indicate that all socioeconomic groups are at risk of urban heat stress, though to differing extents and for different reasons. Exposure was found to be lowest in groups typically considered to be of higher risk, such as older respondents, who at the same time have the highest susceptibility. Students and other younger respondents, on the other hand, face comparably high exposure and have the lowest coping and adaptive capacities. At the same time, each group has its own capacities with the potential to mitigate risk. The study shows that urban inhabitants beyond “classic risk groups” usually addressed in l</w:t>
      </w:r>
    </w:p>
    <w:p>
      <w:pPr/>
      <w:r>
        <w:rPr>
          <w:b/>
        </w:rPr>
        <w:t>POSSIBLE 2020:</w:t>
      </w:r>
      <w:r>
        <w:t xml:space="preserve"> Assessing the feasibility of adaptation options: methodological advancements and directions for climate adaptation research and practice — https://doi.org/10.1007/s10584-020-02762-x</w:t>
      </w:r>
    </w:p>
    <w:p>
      <w:pPr/>
      <w:r>
        <w:rPr>
          <w:b/>
        </w:rPr>
        <w:t>Shared claim-specific concepts:</w:t>
      </w:r>
      <w:r>
        <w:t xml:space="preserve"> adaptation, options, offer, trade-offs, assessment; EU scope not established. This is a provisional connection, not an outcome finding.</w:t>
      </w:r>
    </w:p>
    <w:p>
      <w:pPr>
        <w:pStyle w:val="SourceNote"/>
      </w:pPr>
      <w:r>
        <w:rPr>
          <w:b/>
        </w:rPr>
        <w:t>Available abstract (not full text):</w:t>
      </w:r>
      <w:r>
        <w:t xml:space="preserve"> Abstract The Paris Agreement put adaptation prominently on the global climate action agenda. Despite a surge in research and praxis-based knowledge on adaptation, a critical policy roadblock is synthesizing and assessing this burgeoning evidence. We develop an approach to assess the multidimensional feasibility of adaptation options in a robust and transparent manner, providing direction for global climate policy and identifying knowledge gaps to further future climate research. The approach, which was tested in the IPCC Special Report on 1.5 °C (SR1.5) to assess 23 adaptation options, is underpinned by a systematic review of recent literature, expert elicitation, and iterative peer review. It responds to the challenge of limited agreement on adaptation indicators, lack of fine-scale adaptation data, and challenges of assessing synergies and trade-offs with mitigation. The findings offer methodological insights into how future assessments such as the IPCC Assessment Report (AR) six and regional, national, and sectoral assessment exercises could assess adaptation feasibility and synthesize the growing body of knowledge on climate change adaptation.</w:t>
      </w:r>
    </w:p>
    <w:p>
      <w:pPr/>
      <w:r>
        <w:rPr>
          <w:b/>
        </w:rPr>
        <w:t>POSSIBLE 2018:</w:t>
      </w:r>
      <w:r>
        <w:t xml:space="preserve"> Upholding labour productivity under climate change: an assessment of adaptation options — https://doi.org/10.1080/14693062.2018.1517640</w:t>
      </w:r>
    </w:p>
    <w:p>
      <w:pPr/>
      <w:r>
        <w:rPr>
          <w:b/>
        </w:rPr>
        <w:t>Shared claim-specific concepts:</w:t>
      </w:r>
      <w:r>
        <w:t xml:space="preserve"> adaptation, options, but, assessment, importance; EU scope not established. This is a provisional connection, not an outcome finding.</w:t>
      </w:r>
    </w:p>
    <w:p>
      <w:pPr>
        <w:pStyle w:val="SourceNote"/>
      </w:pPr>
      <w:r>
        <w:rPr>
          <w:b/>
        </w:rPr>
        <w:t>Available abstract (not full text):</w:t>
      </w:r>
      <w:r>
        <w:t xml:space="preserve"> Changes in labour productivity feed through directly to national income. An external shock, like climate change, which may substantially reduce the productivity of workers is therefore a macroeconomic concern. The biophysical impact of higher temperatures on human performance is well documented. Less well understood are the wider effects of higher temperatures on the aggregate productivity of modern, diversified economies, where economic output is produced in contexts ranging from outdoor agriculture to work in air-conditioned buildings. Working conditions are at least to some extent the result of societal choices, which means that the labour productivity effects of heat can be alleviated through careful adaptation. A range of technical, regulatory/infrastructural and behavioural options are available to individuals, businesses and governments. The importance of local contexts prevents a general ranking of the available measures, but many appear cost-effective. Promising options include the optimization of working hours and passive cooling mechanisms. Climate-smart urban planning and adjustments to building design are most suitable to respond to high base temperature, while air conditioning can respond flexibly to short temperature peaks if there is sufficient cheap, reliable and clean electricity.Key policy insights The effect of heat stress on labour productivity is a key eco</w:t>
      </w:r>
    </w:p>
    <w:p>
      <w:pPr/>
      <w:r>
        <w:rPr>
          <w:b/>
        </w:rPr>
        <w:t>POSSIBLE 2018:</w:t>
      </w:r>
      <w:r>
        <w:t xml:space="preserve"> Evaluation of adaptation options to flood risk in a probabilistic framework — https://doi.org/10.1016/j.ejrh.2018.07.001</w:t>
      </w:r>
    </w:p>
    <w:p>
      <w:pPr/>
      <w:r>
        <w:rPr>
          <w:b/>
        </w:rPr>
        <w:t>Shared claim-specific concepts:</w:t>
      </w:r>
      <w:r>
        <w:t xml:space="preserve"> adaptation, options, but; EU scope not established. This is a provisional connection, not an outcome finding.</w:t>
      </w:r>
    </w:p>
    <w:p>
      <w:pPr>
        <w:pStyle w:val="SourceNote"/>
      </w:pPr>
      <w:r>
        <w:rPr>
          <w:b/>
        </w:rPr>
        <w:t>Available abstract (not full text):</w:t>
      </w:r>
      <w:r>
        <w:t xml:space="preserve"> Study region City of Niamey, Niger, West Africa. Study focus This paper aims to explore the possibility of implementing a probabilistic framework for flood risk estimation for the city of Niamey, Niger. A probabilistic set of flood maps were generated by forcing a HEC-RAS model with a stochastically generated ensemble of flood peaks representing the river regime at Niamey. Loss curves were derived from expert judgment, and various adaptation options to flood risk were examined by considering two main variables: a) buildings’ material; b) dike height (ranged from 180.5 m to 184 m, at a 0.5 m interval) within a scenario-based framework. Floods with return periods of 2- to 1000-yr were considered in estimating total loss, and benefits and costs of different adaptation options were compared. New hydrological insights for the region It was found that increasing the height of the dikes would lead to smaller economic losses, while rebuilding with better materials would increase the average annual economic losses, but might decrease the risk of human casualties. Individual and combined impact of decision variables on flood risk were estimated for the city of Niamey. Quantitative tools were developed to help decision-makers and regulators choose the best preventive measures to mitigate flood risk.</w:t>
      </w:r>
    </w:p>
    <w:p>
      <w:pPr/>
      <w:r>
        <w:rPr>
          <w:b/>
        </w:rPr>
        <w:t>POSSIBLE 2017:</w:t>
      </w:r>
      <w:r>
        <w:t xml:space="preserve"> Sunflower crop and climate change: vulnerability, adaptation, and mitigation potential from case-studies in Europe — https://doi.org/10.1051/ocl/2016052</w:t>
      </w:r>
    </w:p>
    <w:p>
      <w:pPr/>
      <w:r>
        <w:rPr>
          <w:b/>
        </w:rPr>
        <w:t>Shared claim-specific concepts:</w:t>
      </w:r>
      <w:r>
        <w:t xml:space="preserve"> adaptation, opportunities, but, account; EU scope visible. This is a provisional connection, not an outcome finding.</w:t>
      </w:r>
    </w:p>
    <w:p>
      <w:pPr>
        <w:pStyle w:val="SourceNote"/>
      </w:pPr>
      <w:r>
        <w:rPr>
          <w:b/>
        </w:rPr>
        <w:t>Available abstract (not full text):</w:t>
      </w:r>
      <w:r>
        <w:t xml:space="preserve">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pPr/>
      <w:r>
        <w:rPr>
          <w:b/>
        </w:rPr>
        <w:t>POSSIBLE 2016:</w:t>
      </w:r>
      <w:r>
        <w:t xml:space="preserve"> Adaptation Pathways and Real Options Analysis: An approach to deep uncertainty in climate change adaptation policies — https://doi.org/10.1016/j.polsoc.2016.05.002</w:t>
      </w:r>
    </w:p>
    <w:p>
      <w:pPr/>
      <w:r>
        <w:rPr>
          <w:b/>
        </w:rPr>
        <w:t>Shared claim-specific concepts:</w:t>
      </w:r>
      <w:r>
        <w:t xml:space="preserve"> adaptation, options, complex; EU scope not established. This is a provisional connection, not an outcome finding.</w:t>
      </w:r>
    </w:p>
    <w:p>
      <w:pPr>
        <w:pStyle w:val="SourceNote"/>
      </w:pPr>
      <w:r>
        <w:rPr>
          <w:b/>
        </w:rPr>
        <w:t>Available abstract (not full text):</w:t>
      </w:r>
      <w:r>
        <w:t xml:space="preserve"> Abstract Governments face the daunting task of developing policies and making investment decisions for climate change adaptation in an environment that consist of complex, interlinked systems with manifold uncertainties. Instead of responding to surprises and making decisions on ad hoc basis, a structured approach to deal with complex systems and uncertainties can provide indispensable support for policy making. This contribution proposes a structured approach for designing climate adaptation policies based on the concepts of Adaptation Pathways, Adaptive Policy Making, and Real Options Analysis. Such an approach results in incorporation of flexibility that allows change over time in response to how the future unfolds, what is learned about the system, and changes in societal preferences. The approach is illustrated by looking at drainage policies and measures to address flooding in Singapore.</w:t>
      </w:r>
    </w:p>
    <w:p>
      <w:pPr>
        <w:pStyle w:val="Heading2"/>
      </w:pPr>
      <w:r>
        <w:t>817.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2023:</w:t>
      </w:r>
      <w:r>
        <w:t xml:space="preserve"> Harnessing on the potential of migrants in the socio-economic development of the Republic of Moldova — https://doi.org/10.53486/2537-6179.9-1.01</w:t>
      </w:r>
    </w:p>
    <w:p>
      <w:pPr/>
      <w:r>
        <w:rPr>
          <w:b/>
        </w:rPr>
        <w:t>Shared claim-specific concepts:</w:t>
      </w:r>
      <w:r>
        <w:t xml:space="preserve"> socio-economic, population, current, currently; EU scope visible. This is a provisional connection, not an outcome finding.</w:t>
      </w:r>
    </w:p>
    <w:p>
      <w:pPr>
        <w:pStyle w:val="SourceNote"/>
      </w:pPr>
      <w:r>
        <w:rPr>
          <w:b/>
        </w:rPr>
        <w:t>Available abstract (not full text):</w:t>
      </w:r>
      <w:r>
        <w:t xml:space="preserve">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pPr/>
      <w:r>
        <w:rPr>
          <w:b/>
        </w:rPr>
        <w:t>POSSIBLE 2023:</w:t>
      </w:r>
      <w:r>
        <w:t xml:space="preserve"> Working in (Slow) Progress: Socio-Environmental and Economic Dynamics in the Forestry Sector and the Contribution to Sustainable Development in Europe — https://doi.org/10.3390/su151310271</w:t>
      </w:r>
    </w:p>
    <w:p>
      <w:pPr/>
      <w:r>
        <w:rPr>
          <w:b/>
        </w:rPr>
        <w:t>Shared claim-specific concepts:</w:t>
      </w:r>
      <w:r>
        <w:t xml:space="preserve"> coherent, between, climate; EU scope visible. This is a provisional connection, not an outcome finding.</w:t>
      </w:r>
    </w:p>
    <w:p>
      <w:pPr>
        <w:pStyle w:val="SourceNote"/>
      </w:pPr>
      <w:r>
        <w:rPr>
          <w:b/>
        </w:rPr>
        <w:t>Available abstract (not full text):</w:t>
      </w:r>
      <w:r>
        <w:t xml:space="preserve">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pPr/>
      <w:r>
        <w:rPr>
          <w:b/>
        </w:rPr>
        <w:t>POSSIBLE 2022:</w:t>
      </w:r>
      <w:r>
        <w:t xml:space="preserve"> THE INFLUENCE OF ECONOMIC MENTALITY ON SOCIO-ECONOMIC DEVELOPMENT — https://doi.org/10.55643/fcaptp.1.42.2022.3670</w:t>
      </w:r>
    </w:p>
    <w:p>
      <w:pPr/>
      <w:r>
        <w:rPr>
          <w:b/>
        </w:rPr>
        <w:t>Shared claim-specific concepts:</w:t>
      </w:r>
      <w:r>
        <w:t xml:space="preserve"> socio-economic, between, current; EU scope not established. This is a provisional connection, not an outcome finding.</w:t>
      </w:r>
    </w:p>
    <w:p>
      <w:pPr>
        <w:pStyle w:val="SourceNote"/>
      </w:pPr>
      <w:r>
        <w:rPr>
          <w:b/>
        </w:rPr>
        <w:t>Available abstract (not full text):</w:t>
      </w:r>
      <w:r>
        <w:t xml:space="preserve"> Abstract. The current stage of socio-economic development is characterized by structural reforms connected with forming of competitive market environment, development of various forms of ownership, formation of qualitatively new forms of economic activity organization, deepening integration processes. Authors underline inconsistenciesbetween the interaction of the formal and historically formed informal institutions actualizes the role of economic mentality, since it directly influences the general vector of socio-economic system development. The article draws attention to the informal component of the institutional environment — economic mentality, which haracterizes the historically formed values, motives and models of economic behavior of individual and collective actors that directly affect the overall vector of socio-economic system development and transformation.It is determined that economic mentality determines the dynamics of the institutional environment development of by influencing the effectiveness of formal and informal institutions interaction, ensuring the performance of complementary functions; mediates the process of institutionalization of historically determined values, stereotypes and models of economic behavior in the system of formal norms and rules; provides under the influence of other socio-economic factors adaptability and dynamism of nstitutional str</w:t>
      </w:r>
    </w:p>
    <w:p>
      <w:pPr/>
      <w:r>
        <w:rPr>
          <w:b/>
        </w:rPr>
        <w:t>POSSIBLE 2022:</w:t>
      </w:r>
      <w:r>
        <w:t xml:space="preserve"> Political Leadership and Socio-economic Development of Rivers State — https://doi.org/10.51699/cajssh.v3i4.283</w:t>
      </w:r>
    </w:p>
    <w:p>
      <w:pPr/>
      <w:r>
        <w:rPr>
          <w:b/>
        </w:rPr>
        <w:t>Shared claim-specific concepts:</w:t>
      </w:r>
      <w:r>
        <w:t xml:space="preserve"> socio-economic, population, compared; EU scope not established. This is a provisional connection, not an outcome finding.</w:t>
      </w:r>
    </w:p>
    <w:p>
      <w:pPr>
        <w:pStyle w:val="SourceNote"/>
      </w:pPr>
      <w:r>
        <w:rPr>
          <w:b/>
        </w:rPr>
        <w:t>Available abstract (not full text):</w:t>
      </w:r>
      <w:r>
        <w:t xml:space="preserve"> The paper examined the role of political leadership on socio-economic development of Rivers State. The study raised two research questions and two corresponding objectives. Elite theory was adopted as the theoretical frame work. Both primary and secondary data were utilized. The population for this study is 7,303,924 based on 2022 city projected population. A sample of 400 respondents was drawn with the aid of Taro Yamene formula. The study adopted stratified sampling and purposive sampling technique to administer the research instrument to the respondents. The study generated data from primary and secondary sources. A questionnaire instrument was used in this study titled; “Role of Political Leadership on Socio-economic Development Questionnaire (RPLSEDQ)”. The study employed the test-re-test method. This method allowed the researcher to assess the survey instrument by applying two separate measurements on the same elements at different times with the same methods. The outcome of the pilot survey was compared with that of the final survey to confirm if the results are the same. The data generated were analyzed with Mean and Standard Deviation through the aid of SPSS version 25. The criterion mean was 2.5 which implied that any item found equal or above 2.5 was accounted as Agreed, while item means lesser than 2.5 were interpreted to be disagreed. The study found that the polit</w:t>
      </w:r>
    </w:p>
    <w:p>
      <w:pPr/>
      <w:r>
        <w:rPr>
          <w:b/>
        </w:rPr>
        <w:t>POSSIBLE 2022:</w:t>
      </w:r>
      <w:r>
        <w:t xml:space="preserve"> REMITTANCE OF INDIAN IMMIGRANTS: CATALYTIC FOR SOCIO-ECONOMIC DEVELOPMENT — https://doi.org/10.47509/ijaeb.2023.v05i01.09</w:t>
      </w:r>
    </w:p>
    <w:p>
      <w:pPr/>
      <w:r>
        <w:rPr>
          <w:b/>
        </w:rPr>
        <w:t>Shared claim-specific concepts:</w:t>
      </w:r>
      <w:r>
        <w:t xml:space="preserve"> socio-economic, population, range, annual; EU scope not established. This is a provisional connection, not an outcome finding.</w:t>
      </w:r>
    </w:p>
    <w:p>
      <w:pPr>
        <w:pStyle w:val="SourceNote"/>
      </w:pPr>
      <w:r>
        <w:rPr>
          <w:b/>
        </w:rPr>
        <w:t>Available abstract (not full text):</w:t>
      </w:r>
      <w:r>
        <w:t xml:space="preserve"> Immigrants have become an integral component of socio-economic development, and play a diverse set of roles, preserving a range of influences on the economy of their origin. International migration, usually network-driven is a natural consequence of capitalist market formation in the developing world penetrating peripheral regions. Every year 2.5 million (25 lakh) Indians migrate overseas, which is the highest annual number of migrants in the world. Indians represent the second largest U.S. immigrant group, after Mexicans and ahead of Chinese and Filipinos. The 2.7 million Indianimmigrants residing in the United States as of 2021 made up 6 per cent of the total foreignborn population, and their numbers continue to expand. USA ranks second on the list with so many growth opportunities accessible for Indians in the spheres of technology and biological sciences. Based on secondary sources of data, the present research assesses the trend, major flow of immigrants and their contribution to the development of Indian economy, which concludes that with the help of remittances, immigration can contribute positively to the developmental activity of a country, including employment, economic growth, poverty reduction, social empowerment, and technological progress.</w:t>
      </w:r>
    </w:p>
    <w:p>
      <w:pPr/>
      <w:r>
        <w:rPr>
          <w:b/>
        </w:rPr>
        <w:t>POSSIBLE 2021:</w:t>
      </w:r>
      <w:r>
        <w:t xml:space="preserve"> Modern trends in the socio-economic development of the Moscow region — https://doi.org/10.25634/mirbis.2021.4.15</w:t>
      </w:r>
    </w:p>
    <w:p>
      <w:pPr/>
      <w:r>
        <w:rPr>
          <w:b/>
        </w:rPr>
        <w:t>Shared claim-specific concepts:</w:t>
      </w:r>
      <w:r>
        <w:t xml:space="preserve"> socio-economic, population, current; EU scope not established. This is a provisional connection, not an outcome finding.</w:t>
      </w:r>
    </w:p>
    <w:p>
      <w:pPr>
        <w:pStyle w:val="SourceNote"/>
      </w:pPr>
      <w:r>
        <w:rPr>
          <w:b/>
        </w:rPr>
        <w:t>Available abstract (not full text):</w:t>
      </w:r>
      <w:r>
        <w:t xml:space="preserve"> Насущной проблемой развития отечественной экономики является переход к устойчивому экономическому росту, который будет способствовать закреплению России в составе государств, освоивших шестой технологический уклад. В нынешних условиях концепция управления социальноэкономическим развитием, нацеленная на повышение эффективности экономики трансформируется в вектор, направленный на существенное преобразование параметров и требований к повышению качества условий жизнедеятельности гражданина страны. Важно отметить при этом, что именно от региональных властей требуется проведение политики, направленной на всеобъемлющее повышение качественных параметров уровня жизни населения. В статье рассматриваются особенности развития Московской области, возможности устойчивой прогрессивной динамики по ключевым параметрам в долгосрочной перспективе. Анализируются управленческие решения органов региональной власти по определению приоритетов и направлений прогресса социальной и экономической систем, характеризуются достижения субъекта Федерации в рамках стратегии социально-экономического развития до 2030 год. This An urgent problem in the development of the domestic economy is the transition to sustainable economic growth, which will contribute to the consolidation of Russia among the states that have mastered the sixth technological mode. In the current conditions, the concept of managing socio-econ</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r>
        <w:rPr>
          <w:b/>
        </w:rPr>
        <w:t>POSSIBLE 2018:</w:t>
      </w:r>
      <w:r>
        <w:t xml:space="preserve"> National Identities and Socio-Economic Development in European Union — https://openalex.org/W2904096159</w:t>
      </w:r>
    </w:p>
    <w:p>
      <w:pPr/>
      <w:r>
        <w:rPr>
          <w:b/>
        </w:rPr>
        <w:t>Shared claim-specific concepts:</w:t>
      </w:r>
      <w:r>
        <w:t xml:space="preserve"> socio-economic, between; EU scope visible. This is a provisional connection, not an outcome finding.</w:t>
      </w:r>
    </w:p>
    <w:p>
      <w:pPr>
        <w:pStyle w:val="SourceNote"/>
      </w:pPr>
      <w:r>
        <w:rPr>
          <w:b/>
        </w:rPr>
        <w:t>Available abstract (not full text):</w:t>
      </w:r>
      <w:r>
        <w:t xml:space="preserve"> This paper analyses the relationship between identity and level of socio-economic development in the member states of the European Union. This work is an empirical study which uses original data on the number of national mottos and country logos, GDP/ Capita and Human Development Index (HDI) for 2016 disaggregated by states of the EU28. Our findings suggest the existence of a symmetrical interdependence between the consistency of national identities and the degree of socio-economic development, between which there is a relative territorial overlap. We attempt to demonstrate that the symmetry of their arrangement with each other maps out a community-wide asymmetry, resulting in a territorial cohesion deficit and segregated segregation of the Union, generating an asymmetric European Union with more identity-development speeds.</w:t>
      </w:r>
    </w:p>
    <w:p>
      <w:pPr/>
      <w:r>
        <w:rPr>
          <w:b/>
        </w:rPr>
        <w:t>POSSIBLE 2018:</w:t>
      </w:r>
      <w:r>
        <w:t xml:space="preserve"> New European socio-economic scenarios for climate change research: operationalising concepts to extend the shared socio-economic pathways — https://doi.org/10.1007/s10113-018-1400-0</w:t>
      </w:r>
    </w:p>
    <w:p>
      <w:pPr/>
      <w:r>
        <w:rPr>
          <w:b/>
        </w:rPr>
        <w:t>Shared claim-specific concepts:</w:t>
      </w:r>
      <w:r>
        <w:t xml:space="preserve"> socio-economic, pathways, climate; EU scope visible. This is a provisional connection, not an outcome finding.</w:t>
      </w:r>
    </w:p>
    <w:p>
      <w:pPr>
        <w:pStyle w:val="SourceNote"/>
      </w:pPr>
      <w:r>
        <w:rPr>
          <w:b/>
        </w:rPr>
        <w:t>Available abstract (not full text):</w:t>
      </w:r>
      <w:r>
        <w:t xml:space="preserve"> Scenarios have been recognised as a useful tool for planning, which have resulted in a strong increase in the number of (multi-scale) scenarios in climate change research. This paper addresses the need for methodological progress and testing of conceptual considerations, by extending the global shared socio-economic pathways (SSPs). We present a set of four European SSPs until 2100 and a novel method to develop qualitative stories for Europe equivalent to the global SSPs starting from an existing set of European scenarios. Similar to the global SSPs, the set includes a sustainable future with global cooperation and less intensive lifestyles (We are the World; Eur-SSP1); a future in which countries struggle to maintain living standards in a high-carbon intensive Europe (Icarus; Eur-SSP3); a world in which power becomes concentrated in a small elite and where Europe becomes an important player (Riders on the Storm; Eur-SSP4); and one where a lack of environmental concern leads to the over-exploitation of fossil fuel resources addressed by technological solutions (Fossil-fuelled Development; Eur-SSP5). We conclude that the global SSPs are a good starting point for developing equivalent continental scale scenarios that, in turn, can serve multiple purposes. There are, however, methodological challenges related to the choice for equivalence and the exact methods by which scenarios a</w:t>
      </w:r>
    </w:p>
    <w:p>
      <w:pPr/>
      <w:r>
        <w:rPr>
          <w:b/>
        </w:rPr>
        <w:t>POSSIBLE 2016:</w:t>
      </w:r>
      <w:r>
        <w:t xml:space="preserve"> European Union policy for the socio-economic development of Africa — https://doi.org/10.22630/amme.2016.2.1.3</w:t>
      </w:r>
    </w:p>
    <w:p>
      <w:pPr/>
      <w:r>
        <w:rPr>
          <w:b/>
        </w:rPr>
        <w:t>Shared claim-specific concepts:</w:t>
      </w:r>
      <w:r>
        <w:t xml:space="preserve"> socio-economic, between, current; EU scope visible. This is a provisional connection, not an outcome finding.</w:t>
      </w:r>
    </w:p>
    <w:p>
      <w:pPr>
        <w:pStyle w:val="SourceNote"/>
      </w:pPr>
      <w:r>
        <w:rPr>
          <w:b/>
        </w:rPr>
        <w:t>Available abstract (not full text):</w:t>
      </w:r>
      <w:r>
        <w:t xml:space="preserve"> The main goal of the research was to show the European Union’s policy towards the regional development of the African continent. Recently, Africa has played a very important role on the international political arena and it has been empowered thanks to a plentiful supply of raw materials. The Communities’ help is based mainly on financial support and promotion of the Mediterranean area. Under the long-term cooperation between the two continents, many agreements, acts, and documents have been signed that would directly benefit the African states and indirectly help the entire European Union. While these documents and agreements cover a variety of matters, including environmental protection and human rights, they are diffuse and lack clear goals. The article relies on the relevant and current literature and a variety of statistics.</w:t>
      </w:r>
    </w:p>
    <w:p>
      <w:pPr>
        <w:pStyle w:val="Heading2"/>
      </w:pPr>
      <w:r>
        <w:t>818.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pStyle w:val="Heading2"/>
      </w:pPr>
      <w:r>
        <w:t>819.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2021:</w:t>
      </w:r>
      <w:r>
        <w:t xml:space="preserve"> Second bottom-up model simulations : Deliverably D3.5 — https://openalex.org/W3211137343</w:t>
      </w:r>
    </w:p>
    <w:p>
      <w:pPr/>
      <w:r>
        <w:rPr>
          <w:b/>
        </w:rPr>
        <w:t>Shared claim-specific concepts:</w:t>
      </w:r>
      <w:r>
        <w:t xml:space="preserve"> bottom-up, system, role; EU scope visible. This is a provisional connection, not an outcome finding.</w:t>
      </w:r>
    </w:p>
    <w:p>
      <w:pPr>
        <w:pStyle w:val="SourceNote"/>
      </w:pPr>
      <w:r>
        <w:rPr>
          <w:b/>
        </w:rPr>
        <w:t>Available abstract (not full text):</w:t>
      </w:r>
      <w:r>
        <w:t xml:space="preserve">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pPr/>
      <w:r>
        <w:rPr>
          <w:b/>
        </w:rPr>
        <w:t>POSSIBLE 2021:</w:t>
      </w:r>
      <w:r>
        <w:t xml:space="preserve"> Electric vehicle charging network in Europe: An accessibility and deployment trends analysis — https://doi.org/10.1016/j.trd.2021.102813</w:t>
      </w:r>
    </w:p>
    <w:p>
      <w:pPr/>
      <w:r>
        <w:rPr>
          <w:b/>
        </w:rPr>
        <w:t>Shared claim-specific concepts:</w:t>
      </w:r>
      <w:r>
        <w:t xml:space="preserve"> bottom-up; EU scope visible. This is a provisional connection, not an outcome finding.</w:t>
      </w:r>
    </w:p>
    <w:p>
      <w:pPr>
        <w:pStyle w:val="SourceNote"/>
      </w:pPr>
      <w:r>
        <w:rPr>
          <w:b/>
        </w:rPr>
        <w:t>Available abstract (not full text):</w:t>
      </w:r>
      <w:r>
        <w:t xml:space="preserve">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pPr/>
      <w:r>
        <w:rPr>
          <w:b/>
        </w:rPr>
        <w:t>POSSIBLE 2020:</w:t>
      </w:r>
      <w:r>
        <w:t xml:space="preserve"> Classification and challenges of bottom-up energy system models - A review — https://doi.org/10.1016/j.rser.2020.109917</w:t>
      </w:r>
    </w:p>
    <w:p>
      <w:pPr/>
      <w:r>
        <w:rPr>
          <w:b/>
        </w:rPr>
        <w:t>Shared claim-specific concepts:</w:t>
      </w:r>
      <w:r>
        <w:t xml:space="preserve"> bottom-up, energy, system, used, current, long-term; EU scope not established. This is a provisional connection, not an outcome finding.</w:t>
      </w:r>
    </w:p>
    <w:p>
      <w:pPr>
        <w:pStyle w:val="SourceNote"/>
      </w:pPr>
      <w:r>
        <w:rPr>
          <w:b/>
        </w:rPr>
        <w:t>Available abstract (not full text):</w:t>
      </w:r>
      <w:r>
        <w:t xml:space="preserve"> This paper reviews the classification schemes used for bottom-up energy system modelling and proposes a novel one as re-elaboration of the previous schemes. Moreover, this paper identifies that the main challenges of this research field rotate around the concept of resolution. A matrix of challenges in which four main fields are identified: resolution in time, in space, in techno-economic detail and in sector-coupling. These main fields are divided into different levels of resolution: low, medium and high. The use of a low resolution introduces errors in the modelling as demonstrated by different studies. Several existing bottom-up energy system models are reviewed in order to classify them according to the proposed approach and map them through the proposed matrix. 13 different models are analyzed in the category of bottom-up short-term and 9 as bottom-up long-term energy system models. The following mapping shows how several models reach a high level of resolution in one or more than one area. However, the ultimate challenge is the simultaneous achievement of high resolution in all these fields. The literature review has shown how this final aim is not reached by any model at the current stage and it highlights the gap and weaknesses of this branch of research and the direction versus which is important to work to improve this type of modelling.</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energy, climate, become;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2020:</w:t>
      </w:r>
      <w:r>
        <w:t xml:space="preserve"> HERMESv3, a stand-alone multi-scale atmospheric emission modelling framework – Part 2: The bottom–up module — https://doi.org/10.5194/gmd-13-873-2020</w:t>
      </w:r>
    </w:p>
    <w:p>
      <w:pPr/>
      <w:r>
        <w:rPr>
          <w:b/>
        </w:rPr>
        <w:t>Shared claim-specific concepts:</w:t>
      </w:r>
      <w:r>
        <w:t xml:space="preserve"> bottom-up, system, two; EU scope visible. This is a provisional connection, not an outcome finding.</w:t>
      </w:r>
    </w:p>
    <w:p>
      <w:pPr>
        <w:pStyle w:val="SourceNote"/>
      </w:pPr>
      <w:r>
        <w:rPr>
          <w:b/>
        </w:rPr>
        <w:t>Available abstract (not full text):</w:t>
      </w:r>
      <w:r>
        <w:t xml:space="preserve"> Abstract. We describe the bottom-up module of the High-Elective Resolution Modelling Emission System version 3 (HERMESv3), a python-based and multiscale modelling tool intended for the processing and computation of atmospheric emissions for air quality modelling. HERMESv3 is composed of two separate modules: the global_regional module and the bottom_up module. In a companion paper (Part 1, Guevara et al., 2019) we presented the global_regional module. The bottom_up module described in this contribution is an emission model that estimates anthropogenic emissions at high spatial (e.g. road link level) and temporal (hourly) resolution using state-of-the-art calculation methods that combine local activity and emission factors along with meteorological data. The model computes bottom-up emissions from point sources, road transport, residential and commercial combustion, other mobile sources and agricultural activities. The computed pollutants include main criteria pollutants (i.e. NOx, CO, NMVOC, SOx, NH3, PM10 and PM2.5) and greenhouse gases (i.e. CO2 and CH4, only related to combustion processes). Specific emission estimation methodologies are provided for each source, and are mostly based on (but not limited to) the calculation methodologies reported by the European EMEP/EEA air pollutant emission inventory guidebook. Meteorological-dependent functions are also included to take i</w:t>
      </w:r>
    </w:p>
    <w:p>
      <w:pPr/>
      <w:r>
        <w:rPr>
          <w:b/>
        </w:rPr>
        <w:t>POSSIBLE 2019:</w:t>
      </w:r>
      <w:r>
        <w:t xml:space="preserve"> Modelling flexible power demand and supply in the EU power system: soft-linking between JRC-EU-TIMES and the open-source Dispa-SET model — https://openalex.org/W3002138420</w:t>
      </w:r>
    </w:p>
    <w:p>
      <w:pPr/>
      <w:r>
        <w:rPr>
          <w:b/>
        </w:rPr>
        <w:t>Shared claim-specific concepts:</w:t>
      </w:r>
      <w:r>
        <w:t xml:space="preserve"> jrc-eu-times, eu28, energy, system, used, assess; EU scope visible. This is a provisional connection, not an outcome finding.</w:t>
      </w:r>
    </w:p>
    <w:p>
      <w:pPr>
        <w:pStyle w:val="SourceNote"/>
      </w:pPr>
      <w:r>
        <w:rPr>
          <w:b/>
        </w:rPr>
        <w:t>Available abstract (not full text):</w:t>
      </w:r>
      <w:r>
        <w:t xml:space="preserve"> Modelling the variability of renewable energy sources together with flexible and/or storage technologies is highly relevant for the current EU power system. Dispa-SET is an open-source unit commitment and optimal dispatch model that covers various energy sectors (power systems, heating &amp; cooling, transportation) and the 26 European countries plus Switzerland and Norway. It uses high-resolution time series for the demands, renewable generation and outages to optimize the system operation under technical constraints (e.g. maximum ramping rates of power plants, interconnection capacities, heating &amp; cooling constraints, etc.). This work evaluates the application of the model on the ENTSOE EU28 open-dataset and calibrates critical inputs such as renewables availability, power plant outages, hydro levels and power demands to match historic data for the year 2016. The calibrated model is finally used to assess the implementation of future low carbon EU strategies and policies through several “what if” scenarios and soft linking with the JRC-EU-TIMES model.</w:t>
      </w:r>
    </w:p>
    <w:p>
      <w:pPr/>
      <w:r>
        <w:rPr>
          <w:b/>
        </w:rPr>
        <w:t>POSSIBLE 2019:</w:t>
      </w:r>
      <w:r>
        <w:t xml:space="preserve"> Life cycle assessment integration into energy system models: An application for Power-to-Methane in the EU — https://doi.org/10.1016/j.apenergy.2019.114160</w:t>
      </w:r>
    </w:p>
    <w:p>
      <w:pPr/>
      <w:r>
        <w:rPr>
          <w:b/>
        </w:rPr>
        <w:t>Shared claim-specific concepts:</w:t>
      </w:r>
      <w:r>
        <w:t xml:space="preserve"> jrc-eu-times, energy, system, used, climate, indicate; EU scope visible. This is a provisional connection, not an outcome finding.</w:t>
      </w:r>
    </w:p>
    <w:p>
      <w:pPr>
        <w:pStyle w:val="SourceNote"/>
      </w:pPr>
      <w:r>
        <w:rPr>
          <w:b/>
        </w:rPr>
        <w:t>Available abstract (not full text):</w:t>
      </w:r>
      <w:r>
        <w:t xml:space="preserve"> As the EU energy system transitions to low carbon, the technology choices should consider a broader set of criteria. The use of Life Cycle Assessment (LCA) prevents burden shift across life cycle stages or impact categories, while the use of Energy System Models (ESM) allows evaluating alternative policies, capacity evolution and covering all the sectors. This study does an ex-post LCA analysis of results from JRC-EU-TIMES and estimates the environmental impact indicators across 18 categories in scenarios that achieve 80–95% CO2 emission reduction by 2050. Results indicate that indirect CO2 emissions can be as large as direct ones for an 80% CO2 reduction target and up to three times as large for 95% CO2 reduction. Impact across most categories decreases by 20–40% as the CO2 emission target becomes stricter. However, toxicity related impacts can become 35–100% higher. The integrated framework was also used to evaluate the Power-to-Methane (PtM) system to relate the electricity mix and various CO2 sources to the PtM environmental impact. To be more attractive than natural gas, the climate change impact of the electricity used for PtM should be 123–181 gCO2eq/kWh when the CO2 comes from air or biogenic sources and 4–62 gCO2eq/kWh if the CO2 is from fossil fuels. PtM can have an impact up to 10 times larger for impact categories other than climate change. A system without PtM resu</w:t>
      </w:r>
    </w:p>
    <w:p>
      <w:pPr/>
      <w:r>
        <w:rPr>
          <w:b/>
        </w:rPr>
        <w:t>POSSIBLE 2019:</w:t>
      </w:r>
      <w:r>
        <w:t xml:space="preserve"> How will second-use of batteries affect stocks and flows in the EU? A model for traction Li-ion batteries — https://doi.org/10.1016/j.resconrec.2019.02.022</w:t>
      </w:r>
    </w:p>
    <w:p>
      <w:pPr/>
      <w:r>
        <w:rPr>
          <w:b/>
        </w:rPr>
        <w:t>Shared claim-specific concepts:</w:t>
      </w:r>
      <w:r>
        <w:t xml:space="preserve"> energy, two; EU scope visible. This is a provisional connection, not an outcome finding.</w:t>
      </w:r>
    </w:p>
    <w:p>
      <w:pPr>
        <w:pStyle w:val="SourceNote"/>
      </w:pPr>
      <w:r>
        <w:rPr>
          <w:b/>
        </w:rPr>
        <w:t>Available abstract (not full text):</w:t>
      </w:r>
      <w:r>
        <w:t xml:space="preserve"> Although not yet developed in Europe, second-use of traction batteries enables an extension of their lifetime and potentially improves life cycle environmental performance. Li-ion batteries (LIBs) offer the most promising chemistry for traction batteries in electric vehicles (xEVs) and for second-use. Due to the novelty of the topic and the expected increase of e-mobility in the next decades, more efforts to understand the potential consequences of second-use of batteries from different perspectives are needed. This paper develops a dynamic, parameterised Material Flow Analysis (MFA) model to estimate stocks and flows of LIBs after their removal from xEVs along the specific processes of the european value-chain. Direct reuse, second-use and recycling are included in the model and parameters make it customisable and updatable. Focusing on full and plug-in electric vehicles, LIBs and energy storage capacity flows are estimated. Stocks and flows of two embedded materials relevant for Europe were also assessed (cobalt and lithium). Results showed that second-use corresponds to a better exploitation of LIBs' storage capacity. Meanwhile, Co and Li in-use stocks are locked in LIBs and their recovery is delayed by second-use; depending on the slower/faster development of second-use, the amount of Co available for recycling in 2030 ranges between 9% and 15% of Co demand and between 7 an</w:t>
      </w:r>
    </w:p>
    <w:p>
      <w:pPr/>
      <w:r>
        <w:rPr>
          <w:b/>
        </w:rPr>
        <w:t>POSSIBLE 2018:</w:t>
      </w:r>
      <w:r>
        <w:t xml:space="preserve"> VEIN v0.2.2: an R package for bottom–up vehicular emissions inventories — https://doi.org/10.5194/gmd-11-2209-2018</w:t>
      </w:r>
    </w:p>
    <w:p>
      <w:pPr/>
      <w:r>
        <w:rPr>
          <w:b/>
        </w:rPr>
        <w:t>Shared claim-specific concepts:</w:t>
      </w:r>
      <w:r>
        <w:t xml:space="preserve"> bottom-up, used, climate, current; EU scope not established. This is a provisional connection, not an outcome finding.</w:t>
      </w:r>
    </w:p>
    <w:p>
      <w:pPr>
        <w:pStyle w:val="SourceNote"/>
      </w:pPr>
      <w:r>
        <w:rPr>
          <w:b/>
        </w:rPr>
        <w:t>Available abstract (not full text):</w:t>
      </w:r>
      <w:r>
        <w:t xml:space="preserve"> Abstract. Emission inventories are the quantification of pollutants from different sources. They provide important information not only for climate and weather studies, but also for urban planning and environmental health protection. We developed an open source model (named VEIN v0.2.2) that provides high resolution vehicular emissions inventories for different fields of studies. We focused on vehicular sources at street and hourly levels % they are the major source of air pollution in megacities. due to the current lack of information about these sources, mainly in developing countries. The type of emissions covered by VEIN are: exhaust (hot and cold) and evaporative considering the deterioration of the factors. VEIN also performs speciation and incorporates functions to generate and spatially allocate emissions databases. It allows users to load their own emissions factors, but it also provides emissions factors from the road transport model (Copert), the United States Environmental Protection Agency (EPA) and Brazilian databases. The VEIN model reads, distributes by age of use and extrapolates hourly traffic data, and estimates hourly and spatially emissions. Based on our knowledge, VEIN is the first bottom-up vehicle emissions software that allows input to the WRF-Chem model. Therefore, the VEIN model provides an important, easy and fast way of elaborating or analyzing vehi</w:t>
      </w:r>
    </w:p>
    <w:p>
      <w:pPr>
        <w:pStyle w:val="Heading2"/>
      </w:pPr>
      <w:r>
        <w:t>820.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r>
        <w:rPr>
          <w:b/>
        </w:rPr>
        <w:t>POSSIBLE 2021:</w:t>
      </w:r>
      <w:r>
        <w:t xml:space="preserve"> 2021 IEEE PES Innovative Smart Grid Technologies Europe (ISGT-Europe) — https://doi.org/10.1109/isgteurope52324.2021.9640224</w:t>
      </w:r>
    </w:p>
    <w:p>
      <w:pPr/>
      <w:r>
        <w:rPr>
          <w:b/>
        </w:rPr>
        <w:t>Shared claim-specific concepts:</w:t>
      </w:r>
      <w:r>
        <w:t xml:space="preserve"> smart, grid, energy, perspectives; EU scope visible. This is a provisional connection, not an outcome finding.</w:t>
      </w:r>
    </w:p>
    <w:p>
      <w:pPr>
        <w:pStyle w:val="SourceNote"/>
      </w:pPr>
      <w:r>
        <w:rPr>
          <w:b/>
        </w:rPr>
        <w:t>Available abstract (not full text):</w:t>
      </w:r>
      <w:r>
        <w:t xml:space="preserve"> Power grids are evolving into smart grids in order to create a sustainable energy system.Decentralized, intermittent generation and demand management needs, among other things, make the grid more dynamic and demanding, thus posing a management challenge.Communication and information technologies are used extensively to address this challenge.Wider penetration of open, public communication networks and information technologies induces vulnerabilities into the system.Furthermore, critical infrastructure assets, such as power grids, are primary targets in cyber warfare and cyber criminality.The panelists will share experiences on reliability and security of power grids with perspectives of resilience, cybersecurity, operation and control, data-driven approaches, and mobile communication.</w:t>
      </w:r>
    </w:p>
    <w:p>
      <w:pPr/>
      <w:r>
        <w:rPr>
          <w:b/>
        </w:rPr>
        <w:t>POSSIBLE 2021:</w:t>
      </w:r>
      <w:r>
        <w:t xml:space="preserve"> A Survey on Energy Efficiency in Smart Homes and Smart Grids — https://doi.org/10.3390/en14217273</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Empowered by the emergence of novel information and communication technologies (ICTs) such as sensors and high-performance digital communication systems, Europe has adapted its electricity distribution network into a modern infrastructure known as a smart grid (SG). The benefits of this new infrastructure include precise and real-time capacity for measuring and monitoring the different energy-relevant parameters on the various points of the grid and for the remote operation and optimization of distribution. Furthermore, a new user profile is derived from this novel infrastructure, known as a prosumer (a user that can produce and consume energy to/from the grid), who can benefit from the features derived from applying advanced analytics and semantic technologies in the rich amount of big data generated by the different subsystems. However, this novel, highly interconnected infrastructure also presents some significant drawbacks, like those related to information security (IS). We provide a systematic literature survey of the ICT-empowered environments that comprise SGs and homes, and the application of modern artificial intelligence (AI) related technologies with sensor fusion systems and actuators, ensuring energy efficiency in such systems. Furthermore, we outline the current challenges and outlook for this field. These address new developments on microgrids, and data-driven e</w:t>
      </w:r>
    </w:p>
    <w:p>
      <w:pPr/>
      <w:r>
        <w:rPr>
          <w:b/>
        </w:rPr>
        <w:t>POSSIBLE 2020:</w:t>
      </w:r>
      <w:r>
        <w:t xml:space="preserve"> Smart grid encounters edge computing: opportunities and applications — https://doi.org/10.1016/j.adapen.2020.100006</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Smart grids (SGs) are reforming towards utilizing massive data for operations and services. During this reform, the information and communication technologies (ICTs) play a critical role, especially for the computing model, which determines how data analytics in SG can be executed. Edge computing (EC), a novel computing paradigm innovation, has high potential to help with the digitization of SG. This paper seeks to provide a comprehensive review of interdisciplinary research on EC applications in SG. First, an in-depth analysis of EC, including the definition, architectures, characteristics, and key enabling technologies is conducted from the perspective of SG application requirements. Afterward, this paper systematically explores application scenarios of EC in SG based on its characteristics. Beyond that, the synergistic effect of the integration of EC and SG is also assessed: SG not only benefits from EC but also supports EC to become sustainable. Challenges and open questions are then investigated.</w:t>
      </w:r>
    </w:p>
    <w:p>
      <w:pPr/>
      <w:r>
        <w:rPr>
          <w:b/>
        </w:rPr>
        <w:t>POSSIBLE 2019:</w:t>
      </w:r>
      <w:r>
        <w:t xml:space="preserve"> Determinants of the Smart Grid in energy projects — https://openalex.org/W2942906542</w:t>
      </w:r>
    </w:p>
    <w:p>
      <w:pPr/>
      <w:r>
        <w:rPr>
          <w:b/>
        </w:rPr>
        <w:t>Shared claim-specific concepts:</w:t>
      </w:r>
      <w:r>
        <w:t xml:space="preserve"> smart, grid, increasingly, energy, electricity; EU scope visible. This is a provisional connection, not an outcome finding.</w:t>
      </w:r>
    </w:p>
    <w:p>
      <w:pPr>
        <w:pStyle w:val="SourceNote"/>
      </w:pPr>
      <w:r>
        <w:rPr>
          <w:b/>
        </w:rPr>
        <w:t>Available abstract (not full text):</w:t>
      </w:r>
      <w:r>
        <w:t xml:space="preserve"> The development of electricity networks depends mainly on new technologies. Smart Grid – an intelligent, multi-grid is a tool for the future efficient use of increasingly expensive energy resources. In general, the implementation of intelligent networks will benefit individual customers, the national economy and the environment. Europe is now seeking to increase energy efficiency and reduce greenhouse gas emissions. The Smart Grid is a challenge which seeks to achieve this ambitious goal. The article presents the ideas of intelligent networks that will help energy companies to increase the reliability of energy supply and operational efficiency, expanding the scope of measurement and control of power systems and management of new technologies, even in the farthest points of the grid.</w:t>
      </w:r>
    </w:p>
    <w:p>
      <w:pPr/>
      <w:r>
        <w:rPr>
          <w:b/>
        </w:rPr>
        <w:t>POSSIBLE 2018:</w:t>
      </w:r>
      <w:r>
        <w:t xml:space="preserve"> Unbundled Smart meters in the new smart grid era: Assessment on compatibility with European standardisation efforts and with IoT features — https://doi.org/10.1109/melcon.2018.8379064</w:t>
      </w:r>
    </w:p>
    <w:p>
      <w:pPr/>
      <w:r>
        <w:rPr>
          <w:b/>
        </w:rPr>
        <w:t>Shared claim-specific concepts:</w:t>
      </w:r>
      <w:r>
        <w:t xml:space="preserve"> smart, grid, increasingly, energy, meters; EU scope visible. This is a provisional connection, not an outcome finding.</w:t>
      </w:r>
    </w:p>
    <w:p>
      <w:pPr>
        <w:pStyle w:val="SourceNote"/>
      </w:pPr>
      <w:r>
        <w:rPr>
          <w:b/>
        </w:rPr>
        <w:t>Available abstract (not full text):</w:t>
      </w:r>
      <w:r>
        <w:t xml:space="preserve"> With the new active distribution network where distributed energy resources are increasingly present and where Smart meters will become the most ubiquitous equipment in low voltage (LV) networks, the paper presents a new Smart Meter solution and a corresponding MV/LV dispatch center to contribute to both new energy market challenges as well as to Smart Grid services and evolving requirements. We are addressing some specific aspects of observability in LV network, based on wide-spread IP communication solutions, such as Synchro-SCADA and data anonymization, and presenting network services to assist dispatch, using also background network programs in LV such as power flow and state estimator. Moreover, the paper is analyzing and proposing a unifying approach for both Smart Meters and Smart Grid architectures, to allow a complex Smart Grid functionality and with Internet if Things features. The concepts are in progress to be implemented in the European R&amp;D project NOBEL GRID and developed also in the project Storage4Grid, showing the potential for generality.</w:t>
      </w:r>
    </w:p>
    <w:p>
      <w:pPr/>
      <w:r>
        <w:rPr>
          <w:b/>
        </w:rPr>
        <w:t>POSSIBLE 2017:</w:t>
      </w:r>
      <w:r>
        <w:t xml:space="preserve"> Power Quality aspects of Smart Grids — https://doi.org/10.24084/repqj08.583</w:t>
      </w:r>
    </w:p>
    <w:p>
      <w:pPr/>
      <w:r>
        <w:rPr>
          <w:b/>
        </w:rPr>
        <w:t>Shared claim-specific concepts:</w:t>
      </w:r>
      <w:r>
        <w:t xml:space="preserve"> smart, grid, energy, introduction, seen; EU scope not established. This is a provisional connection, not an outcome finding.</w:t>
      </w:r>
    </w:p>
    <w:p>
      <w:pPr>
        <w:pStyle w:val="SourceNote"/>
      </w:pPr>
      <w:r>
        <w:rPr>
          <w:b/>
        </w:rPr>
        <w:t>Available abstract (not full text):</w:t>
      </w:r>
      <w:r>
        <w:t xml:space="preserve"> This paper gives an overview of the smart grids developments, seen from a power-quality viewpoint; describes the main relations between smart grids and power quality, and goes into some detail for some of the aspects. Different types of real and virtual energy storage are distinguished. Power-quality monitoring in the smart grid is discussed in detail. Further aspects discussed in the paper are: emission by new devices; interference between devices and power-line communication; allocation of emission limits; improving voltage quality; immunity of devices; and weakening of the transmission grid. Although the smart grid brings many new power-quality challenges, these should not result in the introduction of unnecessary barriers against the introduction of new technology.</w:t>
      </w:r>
    </w:p>
    <w:p>
      <w:pPr/>
      <w:r>
        <w:rPr>
          <w:b/>
        </w:rPr>
        <w:t>POSSIBLE 2016:</w:t>
      </w:r>
      <w:r>
        <w:t xml:space="preserve"> From Smart Metering to Smart Grid — https://doi.org/10.1515/msr-2016-0017</w:t>
      </w:r>
    </w:p>
    <w:p>
      <w:pPr/>
      <w:r>
        <w:rPr>
          <w:b/>
        </w:rPr>
        <w:t>Shared claim-specific concepts:</w:t>
      </w:r>
      <w:r>
        <w:t xml:space="preserve"> smart, grid, electricity; EU scope not established. This is a provisional connection, not an outcome finding.</w:t>
      </w:r>
    </w:p>
    <w:p>
      <w:pPr>
        <w:pStyle w:val="SourceNote"/>
      </w:pPr>
      <w:r>
        <w:rPr>
          <w:b/>
        </w:rPr>
        <w:t>Available abstract (not full text):</w:t>
      </w:r>
      <w:r>
        <w:t xml:space="preserve"> Abstract The paper deals with evaluation of measurements in electrical distribution systems aimed at better use of data provided by Smart Metering systems. The influence of individual components of apparent power on the power loss is calculated and results of measurements under real conditions are presented. The significance of difference between the traditional and the complex evaluation of the electricity consumption efficiency by means of different definitions of the power factor is illustrated.</w:t>
      </w:r>
    </w:p>
    <w:p>
      <w:pPr/>
      <w:r>
        <w:rPr>
          <w:b/>
        </w:rPr>
        <w:t>POSSIBLE 2016:</w:t>
      </w:r>
      <w:r>
        <w:t xml:space="preserve"> Overview of power quality analysis and control technology for the smart grid — https://doi.org/10.1007/s40565-016-0185-8</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With the wide application of non-linear loads and the large-scale access of distributed energy generations based on power electronics equipments, power quality problems in the distribution network are increasingly serious with new characteristics. Further in-depth research is of great significance in theory and practice. This paper provides an overview of power quality analysis, compensators, and control technologies under the new situation of smart grid. It focuses on the topologies and control methods for power quality conditioners, especially new characteristics of power quality and applicable control technologies in microgrids and distributed power plants. Finally, trends and prospects of power quality control technology are introduced, which is important to achieve security and efficient operation of the smart grid.</w:t>
      </w:r>
    </w:p>
    <w:p>
      <w:pPr>
        <w:pStyle w:val="Heading2"/>
      </w:pPr>
      <w:r>
        <w:t>821.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2018:</w:t>
      </w:r>
      <w:r>
        <w:t xml:space="preserve"> Prevalence and incidence of myalgic encephalomyelitis/chronic fatigue syndrome in Europe—the Euro-epiME study from the European network EUROMENE: a protocol for a systematic review — https://doi.org/10.1136/bmjopen-2017-020817</w:t>
      </w:r>
    </w:p>
    <w:p>
      <w:pPr/>
      <w:r>
        <w:rPr>
          <w:b/>
        </w:rPr>
        <w:t>Shared claim-specific concepts:</w:t>
      </w:r>
      <w:r>
        <w:t xml:space="preserve"> discuss, sections, methodological, applied; EU scope visible. This is a provisional connection, not an outcome finding.</w:t>
      </w:r>
    </w:p>
    <w:p>
      <w:pPr>
        <w:pStyle w:val="SourceNote"/>
      </w:pPr>
      <w:r>
        <w:rPr>
          <w:b/>
        </w:rPr>
        <w:t>Available abstract (not full text):</w:t>
      </w:r>
      <w:r>
        <w:t xml:space="preserve">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pPr/>
      <w:r>
        <w:rPr>
          <w:b/>
        </w:rPr>
        <w:t>POSSIBLE 2017:</w:t>
      </w:r>
      <w:r>
        <w:t xml:space="preserve"> Recovery, reintegration, abstinence, harm reduction: the role of different goals within the drug treatment in the European context. — https://openalex.org/W2766289510</w:t>
      </w:r>
    </w:p>
    <w:p>
      <w:pPr/>
      <w:r>
        <w:rPr>
          <w:b/>
        </w:rPr>
        <w:t>Shared claim-specific concepts:</w:t>
      </w:r>
      <w:r>
        <w:t xml:space="preserve"> purpose, discuss, planning; EU scope visible. This is a provisional connection, not an outcome finding.</w:t>
      </w:r>
    </w:p>
    <w:p>
      <w:pPr>
        <w:pStyle w:val="SourceNote"/>
      </w:pPr>
      <w:r>
        <w:rPr>
          <w:b/>
        </w:rPr>
        <w:t>Available abstract (not full text):</w:t>
      </w:r>
      <w:r>
        <w:t xml:space="preserve"> The purpose of this paper is to discuss the different goals of ‘drug treatment’ within a European context and the key implications for those planning or delivering health and social responses. The heterogeneity of people who use drugs and the diversity in severity and complexity of drug taking and drug problems in Europe mean that a single goal or paradigm such as ‘harm reduction’, ‘recovery’ or ‘abstinence’ is no longer adequate to meet the diverse needs we face.</w:t>
      </w:r>
    </w:p>
    <w:p>
      <w:pPr>
        <w:pStyle w:val="Heading2"/>
      </w:pPr>
      <w:r>
        <w:t>822.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pStyle w:val="Heading2"/>
      </w:pPr>
      <w:r>
        <w:t>823.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2022:</w:t>
      </w:r>
      <w:r>
        <w:t xml:space="preserve"> PaLM: Scaling Language Modeling with Pathways — https://doi.org/10.48550/arxiv.2204.02311</w:t>
      </w:r>
    </w:p>
    <w:p>
      <w:pPr/>
      <w:r>
        <w:rPr>
          <w:b/>
        </w:rPr>
        <w:t>Shared claim-specific concepts:</w:t>
      </w:r>
      <w:r>
        <w:t xml:space="preserve"> pathways, achieve, increased, significant; EU scope not established. This is a provisional connection, not an outcome finding.</w:t>
      </w:r>
    </w:p>
    <w:p>
      <w:pPr>
        <w:pStyle w:val="SourceNote"/>
      </w:pPr>
      <w:r>
        <w:rPr>
          <w:b/>
        </w:rPr>
        <w:t>Available abstract (not full text):</w:t>
      </w:r>
      <w:r>
        <w:t xml:space="preserve">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pPr/>
      <w:r>
        <w:rPr>
          <w:b/>
        </w:rPr>
        <w:t>POSSIBLE 2021:</w:t>
      </w:r>
      <w:r>
        <w:t xml:space="preserve"> Co-productive agility and four collaborative pathways to sustainability transformations — https://doi.org/10.1016/j.gloenvcha.2021.102422</w:t>
      </w:r>
    </w:p>
    <w:p>
      <w:pPr/>
      <w:r>
        <w:rPr>
          <w:b/>
        </w:rPr>
        <w:t>Shared claim-specific concepts:</w:t>
      </w:r>
      <w:r>
        <w:t xml:space="preserve"> four, pathways, production; EU scope not established. This is a provisional connection, not an outcome finding.</w:t>
      </w:r>
    </w:p>
    <w:p>
      <w:pPr>
        <w:pStyle w:val="SourceNote"/>
      </w:pPr>
      <w:r>
        <w:rPr>
          <w:b/>
        </w:rPr>
        <w:t>Available abstract (not full text):</w:t>
      </w:r>
      <w:r>
        <w:t xml:space="preserve">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pPr/>
      <w:r>
        <w:rPr>
          <w:b/>
        </w:rPr>
        <w:t>POSSIBLE 2021:</w:t>
      </w:r>
      <w:r>
        <w:t xml:space="preserve"> It Is Still Possible to Achieve the Paris Climate Agreement: Regional, Sectoral, and Land-Use Pathways — https://doi.org/10.3390/en14082103</w:t>
      </w:r>
    </w:p>
    <w:p>
      <w:pPr/>
      <w:r>
        <w:rPr>
          <w:b/>
        </w:rPr>
        <w:t>Shared claim-specific concepts:</w:t>
      </w:r>
      <w:r>
        <w:t xml:space="preserve"> four, pathways, achieve, energy, climate, increased; EU scope not established. This is a provisional connection, not an outcome finding.</w:t>
      </w:r>
    </w:p>
    <w:p>
      <w:pPr>
        <w:pStyle w:val="SourceNote"/>
      </w:pPr>
      <w:r>
        <w:rPr>
          <w:b/>
        </w:rPr>
        <w:t>Available abstract (not full text):</w:t>
      </w:r>
      <w:r>
        <w:t xml:space="preserve">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pPr/>
      <w:r>
        <w:rPr>
          <w:b/>
        </w:rPr>
        <w:t>POSSIBLE 2021:</w:t>
      </w:r>
      <w:r>
        <w:t xml:space="preserve"> Carbon‐Neutral Pathways for the United States — https://doi.org/10.1029/2020av000284</w:t>
      </w:r>
    </w:p>
    <w:p>
      <w:pPr/>
      <w:r>
        <w:rPr>
          <w:b/>
        </w:rPr>
        <w:t>Shared claim-specific concepts:</w:t>
      </w:r>
      <w:r>
        <w:t xml:space="preserve"> four, pathways, target, energy, climate, all; EU scope not established. This is a provisional connection, not an outcome finding.</w:t>
      </w:r>
    </w:p>
    <w:p>
      <w:pPr>
        <w:pStyle w:val="SourceNote"/>
      </w:pPr>
      <w:r>
        <w:rPr>
          <w:b/>
        </w:rPr>
        <w:t>Available abstract (not full text):</w:t>
      </w:r>
      <w:r>
        <w:t xml:space="preserve"> Abstract The Intergovernmental Panel on Climate Change (IPCC) Special Report on Global Warming of 1.5°C points to the need for carbon neutrality by mid‐century. Achieving this in the United States in only 30 years will be challenging, and practical pathways detailing the technologies, infrastructure, costs, and tradeoffs involved are needed. Modeling the entire U.S. energy and industrial system with new analysis tools that capture synergies not represented in sector‐specific or integrated assessment models, we created multiple pathways to net zero and net negative CO 2 emissions by 2050. They met all forecast U.S. energy needs at a net cost of 0.2–1.2% of GDP in 2050, using only commercial or near‐commercial technologies, and requiring no early retirement of existing infrastructure. Pathways with constraints on consumer behavior, land use, biomass use, and technology choices (e.g., no nuclear) met the target but at higher cost. All pathways employed four basic strategies: energy efficiency, decarbonized electricity, electrification, and carbon capture. Least‐cost pathways were based on &gt;80% wind and solar electricity plus thermal generation for reliability. A 100% renewable primary energy system was feasible but had higher cost and land use. We found multiple feasible options for supplying low‐carbon fuels for non‐electrifiable end uses in industry, freight, and aviation, which</w:t>
      </w:r>
    </w:p>
    <w:p>
      <w:pPr/>
      <w:r>
        <w:rPr>
          <w:b/>
        </w:rPr>
        <w:t>POSSIBLE 2019:</w:t>
      </w:r>
      <w:r>
        <w:t xml:space="preserve"> Outcome-based commissioning: four pathways to achieving public value — https://doi.org/10.4337/9781788978583.00021</w:t>
      </w:r>
    </w:p>
    <w:p>
      <w:pPr/>
      <w:r>
        <w:rPr>
          <w:b/>
        </w:rPr>
        <w:t>Shared claim-specific concepts:</w:t>
      </w:r>
      <w:r>
        <w:t xml:space="preserve"> four, pathways, all, but; EU scope not established. This is a provisional connection, not an outcome finding.</w:t>
      </w:r>
    </w:p>
    <w:p>
      <w:pPr>
        <w:pStyle w:val="SourceNote"/>
      </w:pPr>
      <w:r>
        <w:rPr>
          <w:b/>
        </w:rPr>
        <w:t>Available abstract (not full text):</w:t>
      </w:r>
      <w:r>
        <w:t xml:space="preserve"> This chapter explores recent experience with commissioning of public services, mainly in the UK since the 1980s, where this has become the dominant approach to securing public services. By outcome-based commissioning we mean not simply the externalisation of public services - the letting of contracts for public services to private sector firms, third sector organisations and cross-sector partnerships - but also the overall consideration of all options for public sector interventions which might serve to improve publicly-desired outcomes, including transformation of internal service delivery and moving to ‘co-production’ of public service tasks with communities and service users. The chapter suggests that the role of outcome-based commissioning needs to be understood within a fuller model of public value and highlights four pathways to achieving public value. Finally, the chapter suggests some lessons which can be drawn from these recent experiences.</w:t>
      </w:r>
    </w:p>
    <w:p>
      <w:pPr/>
      <w:r>
        <w:rPr>
          <w:b/>
        </w:rPr>
        <w:t>POSSIBLE 2017:</w:t>
      </w:r>
      <w:r>
        <w:t xml:space="preserve"> Reactome pathway analysis: a high-performance in-memory approach — https://doi.org/10.1186/s12859-017-1559-2</w:t>
      </w:r>
    </w:p>
    <w:p>
      <w:pPr/>
      <w:r>
        <w:rPr>
          <w:b/>
        </w:rPr>
        <w:t>Shared claim-specific concepts:</w:t>
      </w:r>
      <w:r>
        <w:t xml:space="preserve"> four, achieve, target, all, production, other; EU scope not established. This is a provisional connection, not an outcome finding.</w:t>
      </w:r>
    </w:p>
    <w:p>
      <w:pPr>
        <w:pStyle w:val="SourceNote"/>
      </w:pPr>
      <w:r>
        <w:rPr>
          <w:b/>
        </w:rPr>
        <w:t>Available abstract (not full text):</w:t>
      </w:r>
      <w:r>
        <w:t xml:space="preserve"> BACKGROUND: Reactome aims to provide bioinformatics tools for visualisation, interpretation and analysis of pathway knowledge to support basic research, genome analysis, modelling, systems biology and education. Pathway analysis methods have a broad range of applications in physiological and biomedical research; one of the main problems, from the analysis methods performance point of view, is the constantly increasing size of the data samples. RESULTS: Here, we present a new high-performance in-memory implementation of the well-established over-representation analysis method. To achieve the target, the over-representation analysis method is divided in four different steps and, for each of them, specific data structures are used to improve performance and minimise the memory footprint. The first step, finding out whether an identifier in the user's sample corresponds to an entity in Reactome, is addressed using a radix tree as a lookup table. The second step, modelling the proteins, chemicals, their orthologous in other species and their composition in complexes and sets, is addressed with a graph. The third and fourth steps, that aggregate the results and calculate the statistics, are solved with a double-linked tree. CONCLUSION: Through the use of highly optimised, in-memory data structures and algorithms, Reactome has achieved a stable, high performance pathway analysis servi</w:t>
      </w:r>
    </w:p>
    <w:p>
      <w:pPr/>
      <w:r>
        <w:rPr>
          <w:b/>
        </w:rPr>
        <w:t>POSSIBLE 2017:</w:t>
      </w:r>
      <w:r>
        <w:t xml:space="preserve"> Pathways for scaling up public health interventions — https://doi.org/10.1186/s12889-017-4572-5</w:t>
      </w:r>
    </w:p>
    <w:p>
      <w:pPr/>
      <w:r>
        <w:rPr>
          <w:b/>
        </w:rPr>
        <w:t>Shared claim-specific concepts:</w:t>
      </w:r>
      <w:r>
        <w:t xml:space="preserve"> four, pathways, achieve, developed, all, but; EU scope not established. This is a provisional connection, not an outcome finding.</w:t>
      </w:r>
    </w:p>
    <w:p>
      <w:pPr>
        <w:pStyle w:val="SourceNote"/>
      </w:pPr>
      <w:r>
        <w:rPr>
          <w:b/>
        </w:rPr>
        <w:t>Available abstract (not full text):</w:t>
      </w:r>
      <w:r>
        <w:t xml:space="preserve"> BACKGROUND: To achieve population-wide health improvement, public health interventions found effective in selected samples need to be 'scaled up' and implemented more widely. The pathways through which interventions are scaled up are not well characterised. The aim of this paper is to identify examples of public health interventions which have been scaled up and to develop a conceptual framework which quantifies and describes this process. METHODS: A multi-stage international literature search was undertaken to identify examples of public health interventions in high income countries that have been scaled up or implemented at scale. Initial abstract review identified articles which met all the criteria of being a: 1) public health intervention; 2) chronic disease prevention focus; 3) program delivered at a wide geographical scale (state, national or international). Interventions were reviewed and coded into a conceptual framework pathway to document their scaling up process. For each program, an in-depth review of the identified articles was undertaken along with a broad internet based search to determine the outcomes of the dissemination process. A conceptual framework of scaling up pathways was developed that involved four stages (development, efficacy testing, real world trial and dissemination) to which the 40 programs were mapped. RESULTS: The search identified 40 public h</w:t>
      </w:r>
    </w:p>
    <w:p>
      <w:pPr>
        <w:pStyle w:val="Heading2"/>
      </w:pPr>
      <w:r>
        <w:t>824.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2019:</w:t>
      </w:r>
      <w:r>
        <w:t xml:space="preserve"> Subgrid modelling for two-dimensional turbulence using neural networks — https://openalex.org/W3105245152</w:t>
      </w:r>
    </w:p>
    <w:p>
      <w:pPr/>
      <w:r>
        <w:rPr>
          <w:b/>
        </w:rPr>
        <w:t>Shared claim-specific concepts:</w:t>
      </w:r>
      <w:r>
        <w:t xml:space="preserve"> two, energy, both; EU scope not established. This is a provisional connection, not an outcome finding.</w:t>
      </w:r>
    </w:p>
    <w:p>
      <w:pPr>
        <w:pStyle w:val="SourceNote"/>
      </w:pPr>
      <w:r>
        <w:rPr>
          <w:b/>
        </w:rPr>
        <w:t>Available abstract (not full text):</w:t>
      </w:r>
      <w:r>
        <w:t xml:space="preserve">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pPr/>
      <w:r>
        <w:rPr>
          <w:b/>
        </w:rPr>
        <w:t>POSSIBLE 2018:</w:t>
      </w:r>
      <w:r>
        <w:t xml:space="preserve"> Subgrid modelling for two-dimensional turbulence using neural networks — https://doi.org/10.1017/jfm.2018.770</w:t>
      </w:r>
    </w:p>
    <w:p>
      <w:pPr/>
      <w:r>
        <w:rPr>
          <w:b/>
        </w:rPr>
        <w:t>Shared claim-specific concepts:</w:t>
      </w:r>
      <w:r>
        <w:t xml:space="preserve"> two, energy, both; EU scope not established. This is a provisional connection, not an outcome finding.</w:t>
      </w:r>
    </w:p>
    <w:p>
      <w:pPr>
        <w:pStyle w:val="SourceNote"/>
      </w:pPr>
      <w:r>
        <w:rPr>
          <w:b/>
        </w:rPr>
        <w:t>Available abstract (not full text):</w:t>
      </w:r>
      <w:r>
        <w:t xml:space="preserve">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pPr/>
      <w:r>
        <w:rPr>
          <w:b/>
        </w:rPr>
        <w:t>POSSIBLE 2017:</w:t>
      </w:r>
      <w:r>
        <w:t xml:space="preserve"> Comparison of two models used for forecasting of codling moth (Cydia pomonella) in Norway — https://openalex.org/W2768969912</w:t>
      </w:r>
    </w:p>
    <w:p>
      <w:pPr/>
      <w:r>
        <w:rPr>
          <w:b/>
        </w:rPr>
        <w:t>Shared claim-specific concepts:</w:t>
      </w:r>
      <w:r>
        <w:t xml:space="preserve"> two, both, target; EU scope visible. This is a provisional connection, not an outcome finding.</w:t>
      </w:r>
    </w:p>
    <w:p>
      <w:pPr>
        <w:pStyle w:val="SourceNote"/>
      </w:pPr>
      <w:r>
        <w:rPr>
          <w:b/>
        </w:rPr>
        <w:t>Available abstract (not full text):</w:t>
      </w:r>
      <w:r>
        <w:t xml:space="preserve"> The codling moth (Cydia pomonella L.) is a problematic pest across the world, as well as in the eastern parts of Norway. The adult emerges in mid to late spring, after having overwintered as a fifth instar larvae, and the females begin to lay eggs a few days after. The larva damages crops in apple orchards by digging into the fruit and eating the seeds. In pest management it is critical to target the larvae before it can enter the fruit. Two forecasting models are used to find the oviposition and hatching timing in Norway: the traditional model and RIMpro-Cydia. The plum fruit moth (C. funebrana) is a smaller relative of the codling moth, and has been reported to have a similar phenology, but has no warning system in place for alerting growers. The aim of this study was to test how good these two models are for forecasting attacks of Cydia pomonella in Norwegian apple orchards, in order to improve pest management for growers.\nFieldwork was conducted in apple orchards in eastern Norway. The flight period was monitored using sex pheromone baited delta traps, placed in each of the orchards. Larvae feeding inside of apples were collected, and measurements of the width of their head capsules were used to estimate the time of oviposition and hatching, and compared with the output from the traditional model and RIMpro. Damage from codling moth larvae was recorded at harvest to examin</w:t>
      </w:r>
    </w:p>
    <w:p>
      <w:pPr/>
      <w:r>
        <w:rPr>
          <w:b/>
        </w:rPr>
        <w:t>POSSIBLE 2017:</w:t>
      </w:r>
      <w:r>
        <w:t xml:space="preserve"> Development of a global aerosol model using a two‐dimensional sectional method: 1. Model design — https://doi.org/10.1002/2017ms000936</w:t>
      </w:r>
    </w:p>
    <w:p>
      <w:pPr/>
      <w:r>
        <w:rPr>
          <w:b/>
        </w:rPr>
        <w:t>Shared claim-specific concepts:</w:t>
      </w:r>
      <w:r>
        <w:t xml:space="preserve"> two, climate; EU scope not established. This is a provisional connection, not an outcome finding.</w:t>
      </w:r>
    </w:p>
    <w:p>
      <w:pPr>
        <w:pStyle w:val="SourceNote"/>
      </w:pPr>
      <w:r>
        <w:rPr>
          <w:b/>
        </w:rPr>
        <w:t>Available abstract (not full text):</w:t>
      </w:r>
      <w:r>
        <w:t xml:space="preserve"> Abstract This study develops an aerosol module, the Aerosol Two‐dimensional bin module for foRmation and Aging Simulation version 2 (ATRAS2), and implements the module into a global climate model, Community Atmosphere Model. The ATRAS2 module uses a two‐dimensional (2‐D) sectional representation with 12 size bins for particles from 1 nm to 10 μm in dry diameter and 8 black carbon (BC) mixing state bins. The module can explicitly calculate the enhancement of absorption and cloud condensation nuclei activity of BC‐containing particles by aging processes. The ATRAS2 module is an extension of a 2‐D sectional aerosol module ATRAS used in our previous studies within a framework of a regional three‐dimensional model. Compared with ATRAS, the computational cost of the aerosol module is reduced by more than a factor of 10 by simplifying the treatment of aerosol processes and 2‐D sectional representation, while maintaining good accuracy of aerosol parameters in the simulations. Aerosol processes are simplified for condensation of sulfate, ammonium, and nitrate, organic aerosol formation, coagulation, and new particle formation processes, and box model simulations show that these simplifications do not substantially change the predicted aerosol number and mass concentrations and their mixing states. The 2‐D sectional representation is simplified (the number of advected species is reduced)</w:t>
      </w:r>
    </w:p>
    <w:p>
      <w:pPr/>
      <w:r>
        <w:rPr>
          <w:b/>
        </w:rPr>
        <w:t>POSSIBLE 2017:</w:t>
      </w:r>
      <w:r>
        <w:t xml:space="preserve"> Modeling Temporal Dynamics and Spatial Configurations of Actions Using Two-Stream Recurrent Neural Networks — https://doi.org/10.1109/cvpr.2017.387</w:t>
      </w:r>
    </w:p>
    <w:p>
      <w:pPr/>
      <w:r>
        <w:rPr>
          <w:b/>
        </w:rPr>
        <w:t>Shared claim-specific concepts:</w:t>
      </w:r>
      <w:r>
        <w:t xml:space="preserve"> two, use, both; EU scope not established. This is a provisional connection, not an outcome finding.</w:t>
      </w:r>
    </w:p>
    <w:p>
      <w:pPr>
        <w:pStyle w:val="SourceNote"/>
      </w:pPr>
      <w:r>
        <w:rPr>
          <w:b/>
        </w:rPr>
        <w:t>Available abstract (not full text):</w:t>
      </w:r>
      <w:r>
        <w:t xml:space="preserve"> Recently, skeleton based action recognition gains more popularity due to cost-effective depth sensors coupled with real-time skeleton estimation algorithms. Traditional approaches based on handcrafted features are limited to represent the complexity of motion patterns. Recent methods that use Recurrent Neural Networks (RNN) to handle raw skeletons only focus on the contextual dependency in the temporal domain and neglect the spatial configurations of articulated skeletons. In this paper, we propose a novel two-stream RNN architecture to model both temporal dynamics and spatial configurations for skeleton based action recognition. We explore two different structures for the temporal stream: stacked RNN and hierarchical RNN. Hierarchical RNN is designed according to human body kinematics. We also propose two effective methods to model the spatial structure by converting the spatial graph into a sequence of joints. To improve generalization of our model, we further exploit 3D transformation based data augmentation techniques including rotation and scaling transformation to transform the 3D coordinates of skeletons during training. Experiments on 3D action recognition benchmark datasets show that our method brings a considerable improvement for a variety of actions, i.e., generic actions, interaction activities and gestures.</w:t>
      </w:r>
    </w:p>
    <w:p>
      <w:pPr>
        <w:pStyle w:val="Heading2"/>
      </w:pPr>
      <w:r>
        <w:t>825.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2023:</w:t>
      </w:r>
      <w:r>
        <w:t xml:space="preserve"> Analysis of Environmental and Energy Policies in Turkey, the European Union and the United States — https://doi.org/10.9734/ijecc/2023/v13i123685</w:t>
      </w:r>
    </w:p>
    <w:p>
      <w:pPr/>
      <w:r>
        <w:rPr>
          <w:b/>
        </w:rPr>
        <w:t>Shared claim-specific concepts:</w:t>
      </w:r>
      <w:r>
        <w:t xml:space="preserve"> united, states, environmental, union, production; EU scope visible. This is a provisional connection, not an outcome finding.</w:t>
      </w:r>
    </w:p>
    <w:p>
      <w:pPr>
        <w:pStyle w:val="SourceNote"/>
      </w:pPr>
      <w:r>
        <w:rPr>
          <w:b/>
        </w:rPr>
        <w:t>Available abstract (not full text):</w:t>
      </w:r>
      <w:r>
        <w:t xml:space="preserve">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pPr/>
      <w:r>
        <w:rPr>
          <w:b/>
        </w:rPr>
        <w:t>POSSIBLE 2022:</w:t>
      </w:r>
      <w:r>
        <w:t xml:space="preserve"> Criminal Enforcement of Environmental Law in the European Union and the United States — https://doi.org/10.1016/b978-0-12-824315-2.00051-8</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Energy Transition and Environmental Sustainability: Evaluation of Europe, Canada and United States of America — https://doi.org/10.2139/ssrn.4138109</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The environmental impacts of clothing: Evidence from United States and three European countries — https://doi.org/10.1016/j.spc.2021.05.013</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Multilevel Environmental Governance in the European Union and United States — https://doi.org/10.1093/acrefore/9780199389407.013.163</w:t>
      </w:r>
    </w:p>
    <w:p>
      <w:pPr/>
      <w:r>
        <w:rPr>
          <w:b/>
        </w:rPr>
        <w:t>Shared claim-specific concepts:</w:t>
      </w:r>
      <w:r>
        <w:t xml:space="preserve"> united, states, environmental, union, whereas, levels; EU scope visible. This is a provisional connection, not an outcome finding.</w:t>
      </w:r>
    </w:p>
    <w:p>
      <w:pPr>
        <w:pStyle w:val="SourceNote"/>
      </w:pPr>
      <w:r>
        <w:rPr>
          <w:b/>
        </w:rPr>
        <w:t>Available abstract (not full text):</w:t>
      </w:r>
      <w:r>
        <w:t xml:space="preserve"> Abstract Managing the risks of climate change partly involves setting and implementing regulatory standards that help to diminish the causes of climate change. This means setting regulatory standards that require businesses to emit fewer pollutants, most notably carbon dioxide. In large federalist systems like the United States and the European Union, this regulation is produced by a variety of institutional structures and policy instruments as well. In the United States, federal regulations often encompass stricter standards with less flexibility; these standards have direct impacts on the relevant regulated interests, but they also influence the content and structure of non-governmental regulations, such as those promulgated by NGOs or industry trade associations. This influential “shadow of hierarchy” can be witnessed in both the U.S. and E.U. However, at a more local level, businesses and governments do not solely operate within the confines of strict, hierarchical regulation. Both sets of organizations join together horizontally to form compacts and regulatory networks that are often characterized more by guidance, soft law and collaborative efforts. While such institutions can be a welcome and effective complement to stricter, hierarchical regulation, such networks require high levels of trust and goal congruence to overcome the potential collective action problems that a</w:t>
      </w:r>
    </w:p>
    <w:p>
      <w:pPr/>
      <w:r>
        <w:rPr>
          <w:b/>
        </w:rPr>
        <w:t>POSSIBLE 2019:</w:t>
      </w:r>
      <w:r>
        <w:t xml:space="preserve"> Green Public Procurement: Legal Instruments for Promoting Environmental Interests in the United States and European Union — https://doi.org/10.2139/ssrn.3504676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2019:</w:t>
      </w:r>
      <w:r>
        <w:t xml:space="preserve"> INDOOR ENVIRONMENTAL QUALITY DESIGN OF HOTELS IN THE UNITED STATES AND EUROPE — https://openalex.org/W3185290772</w:t>
      </w:r>
    </w:p>
    <w:p>
      <w:pPr/>
      <w:r>
        <w:rPr>
          <w:b/>
        </w:rPr>
        <w:t>Shared claim-specific concepts:</w:t>
      </w:r>
      <w:r>
        <w:t xml:space="preserve"> united, states, environmental; EU scope visible. This is a provisional connection, not an outcome finding.</w:t>
      </w:r>
    </w:p>
    <w:p>
      <w:pPr>
        <w:pStyle w:val="SourceNote"/>
      </w:pPr>
      <w:r>
        <w:rPr>
          <w:b/>
        </w:rPr>
        <w:t>Available abstract (not full text):</w:t>
      </w:r>
      <w:r>
        <w:t xml:space="preserve"> The last 50 years marked a deep change in the way people travel. The great development of tourism created the necessity of building more and more hotels and accommodations, polluting and wasting much energy. The aim of this research is to understand how the accommodations face the environmental impact of the structure using LEED parameters. The starting point is the analysis based on a survey made on a sample of hotels located in places with opposite climate conditions; the purpose is to understand which strategies the structures adopted in order to adapt to extremely different climate conditions</w:t>
      </w:r>
    </w:p>
    <w:p>
      <w:pPr/>
      <w:r>
        <w:rPr>
          <w:b/>
        </w:rPr>
        <w:t>POSSIBLE 2017:</w:t>
      </w:r>
      <w:r>
        <w:t xml:space="preserve"> European and United States perspectives on forest operations in environmentally sensitive areas — https://doi.org/10.1080/02827581.2017.1338355</w:t>
      </w:r>
    </w:p>
    <w:p>
      <w:pPr/>
      <w:r>
        <w:rPr>
          <w:b/>
        </w:rPr>
        <w:t>Shared claim-specific concepts:</w:t>
      </w:r>
      <w:r>
        <w:t xml:space="preserve"> united, states, environmental, environment; EU scope visible. This is a provisional connection, not an outcome finding.</w:t>
      </w:r>
    </w:p>
    <w:p>
      <w:pPr>
        <w:pStyle w:val="SourceNote"/>
      </w:pPr>
      <w:r>
        <w:rPr>
          <w:b/>
        </w:rPr>
        <w:t>Available abstract (not full text):</w:t>
      </w:r>
      <w:r>
        <w:t xml:space="preserve"> This paper offers a forest operations perspective in environmentally sensitive areas in Europe and the United States. The objective is to help inform key sustainability knowledge gaps in forest operations to reduce impacts on the environment and the equipment operators in these increasingly targeted and difficult to operate in areas. Under existing guidelines and best management practices, the protection of ecosystem services linked to soil, water, wildlife and biodiversity have rightly received the highest considerations. However, the connection between protecting these ecological values, safe operational practices and technological advancements is rarely well articulated. One means to address the operational and technological gap is the selection of equipment and tailor the work conditions to terrain type, forest features and management objectives. To that effect, this paper discusses the environmental, planning, equipment selection and operator considerations and proposes possible solutions and guidelines to contain both the operators’ safety and environmental risks in forest operations.</w:t>
      </w:r>
    </w:p>
    <w:p>
      <w:pPr/>
      <w:r>
        <w:rPr>
          <w:b/>
        </w:rPr>
        <w:t>POSSIBLE 2017:</w:t>
      </w:r>
      <w:r>
        <w:t xml:space="preserve"> Environmental Assessment and Management of Phosphogypsum According to European and United States of America Regulations — https://doi.org/10.1016/j.proeps.2016.12.178</w:t>
      </w:r>
    </w:p>
    <w:p>
      <w:pPr/>
      <w:r>
        <w:rPr>
          <w:b/>
        </w:rPr>
        <w:t>Shared claim-specific concepts:</w:t>
      </w:r>
      <w:r>
        <w:t xml:space="preserve"> united, states, environmental, production; EU scope visible. This is a provisional connection, not an outcome finding.</w:t>
      </w:r>
    </w:p>
    <w:p>
      <w:pPr>
        <w:pStyle w:val="SourceNote"/>
      </w:pPr>
      <w:r>
        <w:rPr>
          <w:b/>
        </w:rPr>
        <w:t>Available abstract (not full text):</w:t>
      </w:r>
      <w:r>
        <w:t xml:space="preserve"> Waste derived from fertilizer production has been accumulated worldwide for decades, especially during the last century. This waste is mainly formed by phosphogypsum; a mixture of gypsum along with phosphates, fluorides, and organic matter, which are generated from phosphoric acid production. Phosphogypsum deposits are usually associated with an important load of radionuclides and metals. The present study aims to evaluate and compare the hazard derived from the metals leaching with phosphogypsum deposits located in areas under US and European environmental regulations. Archived samples from Mulberry (USA) and field samples from Huelva (Spain) deposits have been characterized by leaching tests, as outlined in the aforementioned regulations. The obtained results have been collated with EN 12457-2 from the European regulation and TCLP from the US EPA. As a result, Mulberry phosphogypsum was classified as non-hazardous by both regulations. Since the regulations differ on their strictness, only the European regulation classifies the Huelva deposit as hazardous for As and Cd, urging to have monitoring measurements; while the US regulation classifies the deposit as non-hazardous, even though a pre-treatment before depositing is recommended.</w:t>
      </w:r>
    </w:p>
    <w:p>
      <w:pPr>
        <w:pStyle w:val="Heading2"/>
      </w:pPr>
      <w:r>
        <w:t>826.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r>
        <w:rPr>
          <w:b/>
        </w:rPr>
        <w:t>POSSIBLE 2021:</w:t>
      </w:r>
      <w:r>
        <w:t xml:space="preserve"> Assessment of Demand Side Flexibility in European Electricity Markets: A Country Level Review — https://doi.org/10.3390/en14082324</w:t>
      </w:r>
    </w:p>
    <w:p>
      <w:pPr/>
      <w:r>
        <w:rPr>
          <w:b/>
        </w:rPr>
        <w:t>Shared claim-specific concepts:</w:t>
      </w:r>
      <w:r>
        <w:t xml:space="preserve"> electricity, renewable, generation, significant; EU scope visible. This is a provisional connection, not an outcome finding.</w:t>
      </w:r>
    </w:p>
    <w:p>
      <w:pPr>
        <w:pStyle w:val="SourceNote"/>
      </w:pPr>
      <w:r>
        <w:rPr>
          <w:b/>
        </w:rPr>
        <w:t>Available abstract (not full text):</w:t>
      </w:r>
      <w:r>
        <w:t xml:space="preserve"> Power systems in many countries have recently undergone a significant transition towards renewable and carbon-free generation sources. Those sources pose new challenges to the grid operation due to their intermittency and uncertainty. Consequently, advanced policy strategies and technologies offering new flexibility solutions on the inelastic demand side are required to maintain the reliability of power systems. Given the diversity of situations, legislation and needs across European countries and the varying nature of distribution system operators, this article reviews the deployment of demand side flexibility at national level to identify best practices and main barriers. The analysis concerns European countries of different progress in solutions that leverage flexibility towards offering electricity grid services. The scope is to explore the operation principles of European electricity markets, to assess the participation of emerging flexible resources, and to propose new approaches that facilitate the integration of flexible assets in the distribution grid. The countries reviewed are the United Kingdom, Belgium, Italy and Greece. These countries were selected owing to their diversity in terms of generation mix and market design. Barriers for market access of flexibility resources are also identified in order to form relevant country-specific recommendations.</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electricity, generation;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2020:</w:t>
      </w:r>
      <w:r>
        <w:t xml:space="preserve"> Demand for Electricity on the Global Electrification Frontier — https://openalex.org/W3009130449</w:t>
      </w:r>
    </w:p>
    <w:p>
      <w:pPr/>
      <w:r>
        <w:rPr>
          <w:b/>
        </w:rPr>
        <w:t>Shared claim-specific concepts:</w:t>
      </w:r>
      <w:r>
        <w:t xml:space="preserve"> electricity; EU scope not established. This is a provisional connection, not an outcome finding.</w:t>
      </w:r>
    </w:p>
    <w:p>
      <w:pPr>
        <w:pStyle w:val="SourceNote"/>
      </w:pPr>
      <w:r>
        <w:rPr>
          <w:b/>
        </w:rPr>
        <w:t>Available abstract (not full text):</w:t>
      </w:r>
      <w:r>
        <w:t xml:space="preserve"> Falling off-grid solar prices and an expanding grid are revolutionizing choices for nearly a billion people without electricity. Using experimental price variation, we estimate demand for all electricity sources in Bihar, India, during a four-year period when electrification leapt from 27% to 64%. We find that: (i) household surplus from electrification increased five-fold; (ii) both solar and the grid boost electrification but households gain more surplus from the grid; (iii) grid investments and subsidies strongly reduce demand for off-grid solar. When we extend the model to eight African countries where grid infrastructure is weaker and subsidies lower we find that off-grid solar often provides higher surplus than the grid. JEL Codes: O13 ; Q41 ; Q21 ; C93</w:t>
      </w:r>
    </w:p>
    <w:p>
      <w:pPr/>
      <w:r>
        <w:rPr>
          <w:b/>
        </w:rPr>
        <w:t>POSSIBLE 2020:</w:t>
      </w:r>
      <w:r>
        <w:t xml:space="preserve"> Exploring Wind and Solar PV Generation Complementarity to Meet Electricity Demand — https://doi.org/10.3390/en13164132</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Understanding the spatiotemporal complementarity of wind and solar power generation and their combined capability to meet the demand of electricity is a crucial step towards increasing their share in power systems without neglecting neither the security of supply nor the overall cost efficiency of the power system operation. This work proposes a methodology to exploit the complementarity of the wind and solar primary resources and electricity demand in planning the expansion of electric power systems. Scenarios that exploit the strategic combined deployment of wind and solar power against scenarios based only on the development of an individual renewable power source are compared and analysed. For each scenario of the power system development, the characterization of the additional power capacity, typical daily profile, extreme values, and energy deficit are assessed. The method is applied to a Portuguese case study and results show that coupled scenarios based on the strategic combined development of wind and solar generation provide a more sustainable way to increase the share of variable renewables into the power system (up to 68% for an annual energy exceedance of 10% for the renewable generation) when compared to scenarios based on an individual renewable power source. Combined development also enables to reduce the overall variability and extreme values of a power system </w:t>
      </w:r>
    </w:p>
    <w:p>
      <w:pPr/>
      <w:r>
        <w:rPr>
          <w:b/>
        </w:rPr>
        <w:t>POSSIBLE 2018:</w:t>
      </w:r>
      <w:r>
        <w:t xml:space="preserve"> The impact of social and weather drivers on the historical electricity demand in Europe — https://doi.org/10.1016/j.apenergy.2018.07.108</w:t>
      </w:r>
    </w:p>
    <w:p>
      <w:pPr/>
      <w:r>
        <w:rPr>
          <w:b/>
        </w:rPr>
        <w:t>Shared claim-specific concepts:</w:t>
      </w:r>
      <w:r>
        <w:t xml:space="preserve"> electricity, renewable, generation, significant, meet, targets; EU scope visible. This is a provisional connection, not an outcome finding.</w:t>
      </w:r>
    </w:p>
    <w:p>
      <w:pPr>
        <w:pStyle w:val="SourceNote"/>
      </w:pPr>
      <w:r>
        <w:rPr>
          <w:b/>
        </w:rPr>
        <w:t>Available abstract (not full text):</w:t>
      </w:r>
      <w:r>
        <w:t xml:space="preserve"> Climate change, technological innovation, as well as electrification of energy services to meet carbon targets, have a significant impact on electricity demand magnitude and patterns. Increasing generation from renewable energy sources is already changing supply variability at the hourly and seasonal timescales. Our aim is to conduct a rigorous study of European historical demand, to understand its relationship with social and weather drivers and, therefore, to gain insights into appropriate storage needs. Daily activity profiles exhibit notable differences across European countries, with some of them reporting a consistent demand reduction, up to 25%, during school closures and Christmas festivities. In addition, temperature sensitivity differentiates demand by countries’ latitude (north vs. south), and by technologies (electric heating vs. other fuel based heating). Assuming a 100% renewables scenario, European countries would display quite distinct periodicities and amplitudes of their residual electricity demands. Annual load curves and temperature sensitivities of nations with high electric heating or cooling demand can assist in the prediction of future electricity and other fuel consumption under increased electrification and climate change scenarios. Fourier periodicity and residual demand analysis suggest that, in addition to grid storage, European countries with mutua</w:t>
      </w:r>
    </w:p>
    <w:p>
      <w:pPr/>
      <w:r>
        <w:rPr>
          <w:b/>
        </w:rPr>
        <w:t>POSSIBLE 2017:</w:t>
      </w:r>
      <w:r>
        <w:t xml:space="preserve"> The increasing impact of weather on electricity supply and demand — https://doi.org/10.1016/j.energy.2017.12.051</w:t>
      </w:r>
    </w:p>
    <w:p>
      <w:pPr/>
      <w:r>
        <w:rPr>
          <w:b/>
        </w:rPr>
        <w:t>Shared claim-specific concepts:</w:t>
      </w:r>
      <w:r>
        <w:t xml:space="preserve"> electricity, renewable, sectors, electrified; EU scope not established. This is a provisional connection, not an outcome finding.</w:t>
      </w:r>
    </w:p>
    <w:p>
      <w:pPr>
        <w:pStyle w:val="SourceNote"/>
      </w:pPr>
      <w:r>
        <w:rPr>
          <w:b/>
        </w:rPr>
        <w:t>Available abstract (not full text):</w:t>
      </w:r>
      <w:r>
        <w:t xml:space="preserve"> Wind and solar power have experienced rapid cost declines and are being deployed at scale. However, their output variability remains a key problem for managing electricity systems, and the implications of multi-day to multi-year variability are still poorly understood. As other energy-using sectors are electrified, the shape and variability of electricity demand will also change. We develop an open framework for quantifying the impacts of weather on electricity supply and demand using the Renewables.ninja and DESSTINEE models. We demonstrate this using a case study of Britain using National Grid's Two Degrees scenario forwards to 2030. We find the British electricity system is rapidly moving into unprecedented territory, with peak demand rising above 70 GW due to electric heating, and intermittent renewable output exceeding demand as early as 2021. Hourly ramp-rates widen by 50% and year-to-year variability increases by 80%, showing why future power system studies must consider multiple years of data, and the influence of weather on both supply and demand. Our framework is globally applicable, and allows detailed scenarios of hourly electricity supply and demand to be explored using only limited input data such as annual quantities from government scenarios or broader energy systems models.</w:t>
      </w:r>
    </w:p>
    <w:p>
      <w:pPr/>
      <w:r>
        <w:rPr>
          <w:b/>
        </w:rPr>
        <w:t>POSSIBLE 2017:</w:t>
      </w:r>
      <w:r>
        <w:t xml:space="preserve"> The Risk of Residential Peak Electricity Demand: A Comparison of Five European Countries — https://doi.org/10.3390/en10030385</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The creation of a Europe-wide electricity market combined with the increased intermittency of supply from renewable sources calls for an investigation into the risk of aggregate peak demand. This paper makes use of a risk model to assess differences in time-use data from residential end-users in five different European electricity markets. Drawing on the Multinational Time-Use Survey database, it assesses risk in relation to the probability of electrical appliance use within households for five European countries. Findings highlight in which countries and for which activities the risk of aggregate peak demand is higher and link smart home solutions (automated load control, dynamic pricing and smart appliances) to different levels of peak demand risk.</w:t>
      </w:r>
    </w:p>
    <w:p>
      <w:pPr/>
      <w:r>
        <w:rPr>
          <w:b/>
        </w:rPr>
        <w:t>POSSIBLE 2017:</w:t>
      </w:r>
      <w:r>
        <w:t xml:space="preserve"> RE-Europe, a large-scale dataset for modeling a highly renewable European electricity system — https://doi.org/10.1038/sdata.2017.175</w:t>
      </w:r>
    </w:p>
    <w:p>
      <w:pPr/>
      <w:r>
        <w:rPr>
          <w:b/>
        </w:rPr>
        <w:t>Shared claim-specific concepts:</w:t>
      </w:r>
      <w:r>
        <w:t xml:space="preserve"> electricity, renewable, generation; EU scope visible. This is a provisional connection, not an outcome finding.</w:t>
      </w:r>
    </w:p>
    <w:p>
      <w:pPr>
        <w:pStyle w:val="SourceNote"/>
      </w:pPr>
      <w:r>
        <w:rPr>
          <w:b/>
        </w:rPr>
        <w:t>Available abstract (not full text):</w:t>
      </w:r>
      <w:r>
        <w:t xml:space="preserve"> Future highly renewable energy systems will couple to complex weather and climate dynamics. This coupling is generally not captured in detail by the open models developed in the power and energy system communities, where such open models exist. To enable modeling such a future energy system, we describe a dedicated large-scale dataset for a renewable electric power system. The dataset combines a transmission network model, as well as information for generation and demand. Generation includes conventional generators with their technical and economic characteristics, as well as weather-driven forecasts and corresponding realizations for renewable energy generation for a period of 3 years. These may be scaled according to the envisioned degrees of renewable penetration in a future European energy system. The spatial coverage, completeness and resolution of this dataset, open the door to the evaluation, scaling analysis and replicability check of a wealth of proposals in, e.g., market design, network actor coordination and forecasting of renewable power generation.</w:t>
      </w:r>
    </w:p>
    <w:p>
      <w:pPr>
        <w:pStyle w:val="Heading2"/>
      </w:pPr>
      <w:r>
        <w:t>827.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2019:</w:t>
      </w:r>
      <w:r>
        <w:t xml:space="preserve"> Distribution trends of European dragonflies under climate change — https://doi.org/10.1111/ddi.12913</w:t>
      </w:r>
    </w:p>
    <w:p>
      <w:pPr/>
      <w:r>
        <w:rPr>
          <w:b/>
        </w:rPr>
        <w:t>Shared claim-specific concepts:</w:t>
      </w:r>
      <w:r>
        <w:t xml:space="preserve"> furthermore, predicted, different;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pStyle w:val="Heading2"/>
      </w:pPr>
      <w:r>
        <w:t>828.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reach, energy, role, emissions;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Review of Works Combining GNSS and InSAR in Europe — https://doi.org/10.3390/rs13091684</w:t>
      </w:r>
    </w:p>
    <w:p>
      <w:pPr/>
      <w:r>
        <w:rPr>
          <w:b/>
        </w:rPr>
        <w:t>Shared claim-specific concepts:</w:t>
      </w:r>
      <w:r>
        <w:t xml:space="preserve"> combined, system, remote; EU scope visible. This is a provisional connection, not an outcome finding.</w:t>
      </w:r>
    </w:p>
    <w:p>
      <w:pPr>
        <w:pStyle w:val="SourceNote"/>
      </w:pPr>
      <w:r>
        <w:rPr>
          <w:b/>
        </w:rPr>
        <w:t>Available abstract (not full text):</w:t>
      </w:r>
      <w:r>
        <w:t xml:space="preserve">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pPr/>
      <w:r>
        <w:rPr>
          <w:b/>
        </w:rPr>
        <w:t>POSSIBLE 2020:</w:t>
      </w:r>
      <w:r>
        <w:t xml:space="preserve"> Make the European Green Deal real: Combining climate neutrality and economic recovery — https://openalex.org/W3095040650</w:t>
      </w:r>
    </w:p>
    <w:p>
      <w:pPr/>
      <w:r>
        <w:rPr>
          <w:b/>
        </w:rPr>
        <w:t>Shared claim-specific concepts:</w:t>
      </w:r>
      <w:r>
        <w:t xml:space="preserve"> reach, energy, significant, role, system, reduction; EU scope visible. This is a provisional connection, not an outcome finding.</w:t>
      </w:r>
    </w:p>
    <w:p>
      <w:pPr>
        <w:pStyle w:val="SourceNote"/>
      </w:pPr>
      <w:r>
        <w:rPr>
          <w:b/>
        </w:rPr>
        <w:t>Available abstract (not full text):</w:t>
      </w:r>
      <w:r>
        <w:t xml:space="preserve"> The European Green Deal (EGD), a package of measures "to put Europe on a pathway to a sustainable future, while leaving no one behind", can combine climate neutrality with a sustainable economic recovery of Europe coming out of the Corona pandemic crisis. However, this requires a tightening of climate targets for 2030 already, and the development of an ambitious climate policy pathway, replacing the current "business as usual". In particular, the recovery programs must target energy efficiency and innovations for sustainable technologies, such as renewable energies, storage, and other flexibility options. This study analyzes selected areas of the European Green Deal critically, focusing on the core objective of achieving climate neutrality. The study uses energy system modeling to describe an ambitious approach to achieve climate neutrality in the spirit of the Paris climate agreement (called "Paris"- scenario) aiming for carbon neutrality by 2040. Particular focus is placed on justice and solidarity between stakeholders that are affected differently. The reference benchmark of the EGD must be climate neutrality, and coherence with the 2015 Paris climate agreement for a pathway limiting the increase of the global mean temperature to far below 2°, and if possible to 1.5°. Significant increases in energy efficiency and energy savings through behavioral change can lead to a reduct</w:t>
      </w:r>
    </w:p>
    <w:p>
      <w:pPr/>
      <w:r>
        <w:rPr>
          <w:b/>
        </w:rPr>
        <w:t>POSSIBLE 2019:</w:t>
      </w:r>
      <w:r>
        <w:t xml:space="preserve"> Future changes, or lack thereof, in the temporal variability of the combined wind-plus-solar power production in Europe — https://doi.org/10.1016/j.renene.2019.02.060</w:t>
      </w:r>
    </w:p>
    <w:p>
      <w:pPr/>
      <w:r>
        <w:rPr>
          <w:b/>
        </w:rPr>
        <w:t>Shared claim-specific concepts:</w:t>
      </w:r>
      <w:r>
        <w:t xml:space="preserve"> combined, potential, significant; EU scope visible. This is a provisional connection, not an outcome finding.</w:t>
      </w:r>
    </w:p>
    <w:p>
      <w:pPr>
        <w:pStyle w:val="SourceNote"/>
      </w:pPr>
      <w:r>
        <w:rPr>
          <w:b/>
        </w:rPr>
        <w:t>Available abstract (not full text):</w:t>
      </w:r>
      <w:r>
        <w:t xml:space="preserve"> Here we present the first assessment of climate change impacts on the temporal variability of the joint production of wind and solar photovoltaic (PV) power across Europe. For that we adopted regional and continental perspectives (assuming a single European electricity grid), considered several temporal frequencies (from daily to annual), used state-of-the-art regional climate projections together with a climate-production model, and assumed a future massive deployment of wind and PV power installations. Results support that the spatio-temporal complementarity between the wind and solar resources helps to minimize the temporal variability of the combined production under both present (1971–2000) and future (2070–2099) climate conditions similarly. Thus the projected changes are overall negligible (well below ±5%). However, an additional assessment of theoretical upper/bottom bounds for these changes indicated significant potential increases in the stability of the joint production ranging from 5 to 25% across regions, 15% at the continental scale. This would be subordinated to the feasibility of reaching, with the future deployment strategies, individual wind and PV power production series with a perfect temporal anticorrelation. These results may encourage stakeholders to take holistically optimized decisions.</w:t>
      </w:r>
    </w:p>
    <w:p>
      <w:pPr/>
      <w:r>
        <w:rPr>
          <w:b/>
        </w:rPr>
        <w:t>POSSIBLE 2016:</w:t>
      </w:r>
      <w:r>
        <w:t xml:space="preserve"> Land and climate effects of bioenergy - Brazilian sugarcane ethanol and combined biofuel-district heating in Europe — https://openalex.org/W2286452073</w:t>
      </w:r>
    </w:p>
    <w:p>
      <w:pPr/>
      <w:r>
        <w:rPr>
          <w:b/>
        </w:rPr>
        <w:t>Shared claim-specific concepts:</w:t>
      </w:r>
      <w:r>
        <w:t xml:space="preserve"> aim, reach, combined, capacity, energy, carbon; EU scope visible. This is a provisional connection, not an outcome finding.</w:t>
      </w:r>
    </w:p>
    <w:p>
      <w:pPr>
        <w:pStyle w:val="SourceNote"/>
      </w:pPr>
      <w:r>
        <w:rPr>
          <w:b/>
        </w:rPr>
        <w:t>Available abstract (not full text):</w:t>
      </w:r>
      <w:r>
        <w:t xml:space="preserve"> According to the Intergovernmental Panel on Climate Change, use of fossil fuels is the largest source of\nthe increase in atmospheric CO2. The second largest is land use change. To reach stringent climate targets,\nemissions from fossil fuel combustion and land use change will need to be reduced to near zero\nwithin a few decades. Biomass is a renewable energy source that can be used to replace fossil fuels.\nHowever, it is a limited resource, expected to become scarce relative to future demand, prompting interest\nin optimizing efficiency. Further, when biomass for biofuels expands into new land areas, the total\nbiospheric carbon stock (the sum of soil and above-ground carbon) may increase or decrease, influencing\nthe net effect on greenhouse gas balances. This thesis, which consists of five separate papers, analyzes\nseveral key aspects associated with two bioenergy systems: (i) combined biofuels and district heat production\nin the EU and (ii) sugarcane for ethanol production in Brazil, with special attention to integration\nwith existing food and energy systems. The overall aim is to investigate specific options for improving\nmanagement of land use and land use change, efficient use of resources, and greenhouse gas balances for\nspecific bioenergy systems.\nIn Paper I, we study biomass gasification for the production of biofuels and heat for district heating systems\nin </w:t>
      </w:r>
    </w:p>
    <w:p>
      <w:pPr>
        <w:pStyle w:val="Heading2"/>
      </w:pPr>
      <w:r>
        <w:t>829.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2020:</w:t>
      </w:r>
      <w:r>
        <w:t xml:space="preserve"> The Latest Stage of the German Question: Pax Germanica in the New Europe — https://doi.org/10.4324/9781003100737-7</w:t>
      </w:r>
    </w:p>
    <w:p>
      <w:pPr/>
      <w:r>
        <w:rPr>
          <w:b/>
        </w:rPr>
        <w:t>Shared claim-specific concepts:</w:t>
      </w:r>
      <w:r>
        <w:t xml:space="preserve"> posed, context, concerning, well; EU scope visible. This is a provisional connection, not an outcome finding.</w:t>
      </w:r>
    </w:p>
    <w:p>
      <w:pPr>
        <w:pStyle w:val="SourceNote"/>
      </w:pPr>
      <w:r>
        <w:rPr>
          <w:b/>
        </w:rPr>
        <w:t>Available abstract (not full text):</w:t>
      </w:r>
      <w:r>
        <w:t xml:space="preserve">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pPr/>
      <w:r>
        <w:rPr>
          <w:b/>
        </w:rPr>
        <w:t>POSSIBLE 2020:</w:t>
      </w:r>
      <w:r>
        <w:t xml:space="preserve"> Forty questions of importance to the policy and practice of native oyster reef restoration in Europe — https://doi.org/10.1002/aqc.3462</w:t>
      </w:r>
    </w:p>
    <w:p>
      <w:pPr/>
      <w:r>
        <w:rPr>
          <w:b/>
        </w:rPr>
        <w:t>Shared claim-specific concepts:</w:t>
      </w:r>
      <w:r>
        <w:t xml:space="preserve"> questions, well, two; EU scope visible. This is a provisional connection, not an outcome finding.</w:t>
      </w:r>
    </w:p>
    <w:p>
      <w:pPr>
        <w:pStyle w:val="SourceNote"/>
      </w:pPr>
      <w:r>
        <w:rPr>
          <w:b/>
        </w:rPr>
        <w:t>Available abstract (not full text):</w:t>
      </w:r>
      <w:r>
        <w:t xml:space="preserve">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pPr/>
      <w:r>
        <w:rPr>
          <w:b/>
        </w:rPr>
        <w:t>POSSIBLE 2019:</w:t>
      </w:r>
      <w:r>
        <w:t xml:space="preserve"> Non-kin ties as a source of support in Europe: On the role of context — https://doi.org/10.13140/rg.2.2.35004.90249</w:t>
      </w:r>
    </w:p>
    <w:p>
      <w:pPr/>
      <w:r>
        <w:rPr>
          <w:b/>
        </w:rPr>
        <w:t>Shared claim-specific concepts:</w:t>
      </w:r>
      <w:r>
        <w:t xml:space="preserve"> questions, context, role, two; EU scope visible. This is a provisional connection, not an outcome finding.</w:t>
      </w:r>
    </w:p>
    <w:p>
      <w:pPr>
        <w:pStyle w:val="SourceNote"/>
      </w:pPr>
      <w:r>
        <w:rPr>
          <w:b/>
        </w:rPr>
        <w:t>Available abstract (not full text):</w:t>
      </w:r>
      <w:r>
        <w:t xml:space="preserve"> The process of modernisation brought about new contexts, such as ageing, individualism, and migration – to just name a few – posing questions about the organisation of support and the role of different providers in individuals’ support networks. A key premise across Europe has been the idea that kin and non-kin ties should take more responsibility in the future, but little is known about the circumstances under which they are willing and able to do so. This holds particularly true for non-kin ties – ties which are not related by blood or legal arrangements, e.g. friends, neighbours and colleagues. Non-kin ties have been largely neglected in European research on support. A link between generous social spending and non-kin support has been established, but questions such as how do non-relatives situate in individuals’ support networks remain open. Our knowledge remains equally scarce when it comes to the mechanics underlying non-kin help. This dissertation addresses this knowledge lacuna and poses two key questions: (1) To what extent do non-kin ties form part of individuals’ support networks across Europe? and (2) How are contemporary cultural, social, and demographic contexts, at both the individual and the country level, linked with potential and actual non-kin support in Europe?</w:t>
      </w:r>
    </w:p>
    <w:p>
      <w:pPr/>
      <w:r>
        <w:rPr>
          <w:b/>
        </w:rPr>
        <w:t>POSSIBLE 2019:</w:t>
      </w:r>
      <w:r>
        <w:t xml:space="preserve"> Extremism and toxic masculinity: the man question re-posed — https://doi.org/10.1093/ia/iiz177</w:t>
      </w:r>
    </w:p>
    <w:p>
      <w:pPr/>
      <w:r>
        <w:rPr>
          <w:b/>
        </w:rPr>
        <w:t>Shared claim-specific concepts:</w:t>
      </w:r>
      <w:r>
        <w:t xml:space="preserve"> posed, role, two; EU scope not established. This is a provisional connection, not an outcome finding.</w:t>
      </w:r>
    </w:p>
    <w:p>
      <w:pPr>
        <w:pStyle w:val="SourceNote"/>
      </w:pPr>
      <w:r>
        <w:rPr>
          <w:b/>
        </w:rPr>
        <w:t>Available abstract (not full text):</w:t>
      </w:r>
      <w:r>
        <w:t xml:space="preserve"> Abstract It is more than 20 years since Marysia Zalewski and feminist scholars posed ‘the man question’ in International Relations, repositioning the gaze from female subjectivities to a problematization of the subjecthood of man. The field of masculinity studies has developed this initial question to a deep interrogation of the relationship between maleness and violence. Yet public and policy discourse often reduce the complexity of masculinities within extremism to issues of crisis and toxicity. Governments have prioritized the prevention of extremism, particularly violent Islamism, and in so doing have produced as ‘risk’ particular racialized and marginalized men. This article asks, what are the effects of the toxic masculinity discourse in understanding the British radical right? It argues that current understandings of extremism neglect the central aim of Zalewski's ‘man’ question to destabilize the field and deconstruct patriarchy. They instead position Islamophobia—which is institutionalized in state discourse—as the responsibility of particular ‘extreme’ and ‘toxic’ groups. In particular, the article outlines two ways in which ‘toxic masculinity’ is an inadequate concept to describe activism in the anti-Islam(ist) movement the English Defence League (EDL). First, the term ‘toxic masculinity’ occludes the continuities of EDL masculinities with wider patriarchal norms; se</w:t>
      </w:r>
    </w:p>
    <w:p>
      <w:pPr/>
      <w:r>
        <w:rPr>
          <w:b/>
        </w:rPr>
        <w:t>POSSIBLE 2017:</w:t>
      </w:r>
      <w:r>
        <w:t xml:space="preserve"> Southern Europe in a Migratory Context — https://doi.org/10.4324/9781315133096-3</w:t>
      </w:r>
    </w:p>
    <w:p>
      <w:pPr/>
      <w:r>
        <w:rPr>
          <w:b/>
        </w:rPr>
        <w:t>Shared claim-specific concepts:</w:t>
      </w:r>
      <w:r>
        <w:t xml:space="preserve"> context, role, two; EU scope visible. This is a provisional connection, not an outcome finding.</w:t>
      </w:r>
    </w:p>
    <w:p>
      <w:pPr>
        <w:pStyle w:val="SourceNote"/>
      </w:pPr>
      <w:r>
        <w:rPr>
          <w:b/>
        </w:rPr>
        <w:t>Available abstract (not full text):</w:t>
      </w:r>
      <w:r>
        <w:t xml:space="preserve"> International comparative research focuses on the study of a relation and it can be based, either on the similarities or differences existing between two or more social processes. The issue of linearity in comparative work has been one of the main problems when dealing with the evolutionary heritage of the social sciences. Firstly, the idea of linearity is based on the existence of a fundamental industrializing trend, which itself is built into the main sociological theories. Then, the idea of linearity can also be applied to the assumed role of the welfare state in the later capitalist era. This chapter poses the question of convergence in terms of the interdisciplinary context located in the labor market, civil society, and the state. Changes in the market and in the family are the basis for the reproductive effect on the situation of foreign immigrants.</w:t>
      </w:r>
    </w:p>
    <w:p>
      <w:pPr/>
      <w:r>
        <w:rPr>
          <w:b/>
        </w:rPr>
        <w:t>POSSIBLE 2016:</w:t>
      </w:r>
      <w:r>
        <w:t xml:space="preserve"> Historicity and citizenship as conditions for national minority rights in Central Europe: old principles in a new migration context — https://doi.org/10.1080/1369183x.2015.1132158</w:t>
      </w:r>
    </w:p>
    <w:p>
      <w:pPr/>
      <w:r>
        <w:rPr>
          <w:b/>
        </w:rPr>
        <w:t>Shared claim-specific concepts:</w:t>
      </w:r>
      <w:r>
        <w:t xml:space="preserve"> context, role, two; EU scope visible. This is a provisional connection, not an outcome finding.</w:t>
      </w:r>
    </w:p>
    <w:p>
      <w:pPr>
        <w:pStyle w:val="SourceNote"/>
      </w:pPr>
      <w:r>
        <w:rPr>
          <w:b/>
        </w:rPr>
        <w:t>Available abstract (not full text):</w:t>
      </w:r>
      <w:r>
        <w:t xml:space="preserve"> Having a historical presence in a country and citizenship of that country are two basic conditions under which national minority rights are granted in many countries, but increasing international migration has started to pose a challenge to this conception. Like other countries of Central Europe, the Czech Republic has adopted the two conditions for granting rights to traditional ‘national minorities’ and has developed a separate policy for the ‘integration of foreigners’; however, the emergence of the second generation of Vietnamese has presented a special challenge to this two-tier policy system. Recent renegotiation of the historicity of this immigrant group has resulted in its ‘official recognition’ as a national minority. This paper discusses this case in its wider Central European context, and addresses the question of whether we are observing an erosion of the two-tier policy system or a reconsideration of the distinction between ‘old’ and ‘new’ minorities. Finally, the paper touches upon the question of the role and usability of ‘old’ minority language rights, considering the lack of interest among the traditional minorities vs. the linguistic situation of the migrants’ second generation.</w:t>
      </w:r>
    </w:p>
    <w:p>
      <w:pPr/>
      <w:r>
        <w:rPr>
          <w:b/>
        </w:rPr>
        <w:t>POSSIBLE 2016:</w:t>
      </w:r>
      <w:r>
        <w:t xml:space="preserve"> A review of canine babesiosis: the European perspective — https://doi.org/10.1186/s13071-016-1596-0</w:t>
      </w:r>
    </w:p>
    <w:p>
      <w:pPr/>
      <w:r>
        <w:rPr>
          <w:b/>
        </w:rPr>
        <w:t>Shared claim-specific concepts:</w:t>
      </w:r>
      <w:r>
        <w:t xml:space="preserve"> questions, posed, various; EU scope visible. This is a provisional connection, not an outcome finding.</w:t>
      </w:r>
    </w:p>
    <w:p>
      <w:pPr>
        <w:pStyle w:val="SourceNote"/>
      </w:pPr>
      <w:r>
        <w:rPr>
          <w:b/>
        </w:rPr>
        <w:t>Available abstract (not full text):</w:t>
      </w:r>
      <w:r>
        <w:t xml:space="preserve"> Canine babesiosis is a significant tick-borne disease caused by various species of the protozoan genus Babesia. Although it occurs worldwide, data relating to European infections have now been collected for many years. These data have boosted the publication record and increased our working knowledge of these protozoan parasites. Both the large and small forms of Babesia species (B. canis, B. vogeli, B. gibsoni, and B. microti-like isolates also referred to as "B. vulpes" and "Theileria annae") infect dogs in Europe, and their geographical distribution, transmission, clinical signs, treatment, and prognosis vary widely for each species. The goal of this review is to provide veterinary practitioners with practical guidelines for the diagnosis, treatment and prevention of babesiosis in European dogs. Our hope is that these guidelines will answer the most frequently asked questions posed by veterinary practitioners.</w:t>
      </w:r>
    </w:p>
    <w:p>
      <w:pPr>
        <w:pStyle w:val="Heading2"/>
      </w:pPr>
      <w:r>
        <w:t>830.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2017:</w:t>
      </w:r>
      <w:r>
        <w:t xml:space="preserve"> Lignocellulosic Crops in Europe: Integrating Crop Yield Potentials with Land Potentials — https://doi.org/10.6092/unibo/amsdottorato/7854</w:t>
      </w:r>
    </w:p>
    <w:p>
      <w:pPr/>
      <w:r>
        <w:rPr>
          <w:b/>
        </w:rPr>
        <w:t>Shared claim-specific concepts:</w:t>
      </w:r>
      <w:r>
        <w:t xml:space="preserve"> according, capri, yield, data; EU scope visible. This is a provisional connection, not an outcome finding.</w:t>
      </w:r>
    </w:p>
    <w:p>
      <w:pPr>
        <w:pStyle w:val="SourceNote"/>
      </w:pPr>
      <w:r>
        <w:rPr>
          <w:b/>
        </w:rPr>
        <w:t>Available abstract (not full text):</w:t>
      </w:r>
      <w:r>
        <w:t xml:space="preserve"> Given the ambitious EU targets to further decarbonise the economy, it can be expected that the demand for lignocellulosic biomass will continue to grow. Provisioning of part of this biomass by dedicated biomass crops becomes an option. This study presents integrated approach for crop allocation based on land availability and crop requirements. The model analysis to investigate the potential extension of unused land and its suitability for lignocellulosic crops was carried out in 37 European countries at the NUTS3 level. The CAPRI model predicts future land use changes and was used as a basic input to assess the agricultural biomass potentials in Europe. It was then identified the total land resource with a post-modeling assessment for three different potentials to the year 2020 and 2030, according to sustainability criteria formulated in the Renewable Energy directive (RED). Furthermore, crop-specific suitability maps were generated for each crop based on the variability of biophysical factors such as climate, soil properties and topographical aspects. The yields and cost levels that can be reached in Europe with different perennial crops in different climatic, soil and management situations. The AquaCrop model developed by FAO was used and fed with phenological parameters per crop and detailed weather data to simulate the crop growth in all European Nuts 3 regions. Yield level</w:t>
      </w:r>
    </w:p>
    <w:p>
      <w:pPr/>
      <w:r>
        <w:rPr>
          <w:b/>
        </w:rPr>
        <w:t>POSSIBLE 2016:</w:t>
      </w:r>
      <w:r>
        <w:t xml:space="preserve"> Prediction of homoprotein and heteroprotein complexes by protein docking and template‐based modeling: A CASP‐CAPRI experiment — https://doi.org/10.1002/prot.25007</w:t>
      </w:r>
    </w:p>
    <w:p>
      <w:pPr/>
      <w:r>
        <w:rPr>
          <w:b/>
        </w:rPr>
        <w:t>Shared claim-specific concepts:</w:t>
      </w:r>
      <w:r>
        <w:t xml:space="preserve"> capri, average, data; EU scope not established. This is a provisional connection, not an outcome finding.</w:t>
      </w:r>
    </w:p>
    <w:p>
      <w:pPr>
        <w:pStyle w:val="SourceNote"/>
      </w:pPr>
      <w:r>
        <w:rPr>
          <w:b/>
        </w:rPr>
        <w:t>Available abstract (not full text):</w:t>
      </w:r>
      <w:r>
        <w:t xml:space="preserve">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831.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r>
        <w:rPr>
          <w:b/>
        </w:rPr>
        <w:t>POSSIBLE 2021:</w:t>
      </w:r>
      <w:r>
        <w:t xml:space="preserve"> Co-benefits of a flexitarian diet for air quality and human health in Europe — https://doi.org/10.1016/j.ecolecon.2021.107232</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pPr/>
      <w:r>
        <w:rPr>
          <w:b/>
        </w:rPr>
        <w:t>POSSIBLE 2019:</w:t>
      </w:r>
      <w:r>
        <w:t xml:space="preserve"> Blind prediction of homo‐ and hetero‐protein complexes: The CASP13‐CAPRI experiment — https://doi.org/10.1002/prot.25838</w:t>
      </w:r>
    </w:p>
    <w:p>
      <w:pPr/>
      <w:r>
        <w:rPr>
          <w:b/>
        </w:rPr>
        <w:t>Shared claim-specific concepts:</w:t>
      </w:r>
      <w:r>
        <w:t xml:space="preserve"> capri, average; EU scope not established. This is a provisional connection, not an outcome finding.</w:t>
      </w:r>
    </w:p>
    <w:p>
      <w:pPr>
        <w:pStyle w:val="SourceNote"/>
      </w:pPr>
      <w:r>
        <w:rPr>
          <w:b/>
        </w:rPr>
        <w:t>Available abstract (not full text):</w:t>
      </w:r>
      <w:r>
        <w:t xml:space="preserve">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pPr/>
      <w:r>
        <w:rPr>
          <w:b/>
        </w:rPr>
        <w:t>POSSIBLE 2019:</w:t>
      </w:r>
      <w:r>
        <w:t xml:space="preserve"> Significance of the CAPRI risk score to predict heart failure hospitalization post-TAVI: The CAPRI-HF study — https://doi.org/10.1016/j.ijcard.2019.08.033</w:t>
      </w:r>
    </w:p>
    <w:p>
      <w:pPr/>
      <w:r>
        <w:rPr>
          <w:b/>
        </w:rPr>
        <w:t>Shared claim-specific concepts:</w:t>
      </w:r>
      <w:r>
        <w:t xml:space="preserve"> capri, increase, aim; EU scope not established. This is a provisional connection, not an outcome finding.</w:t>
      </w:r>
    </w:p>
    <w:p>
      <w:pPr>
        <w:pStyle w:val="SourceNote"/>
      </w:pPr>
      <w:r>
        <w:rPr>
          <w:b/>
        </w:rPr>
        <w:t>Available abstract (not full text):</w:t>
      </w:r>
      <w:r>
        <w:t xml:space="preserve"> BACKGROUND: Predictors of heart failure (HF) hospitalization after transcatheter aortic valve implantation (TAVI) are not well defined. CAPRI is a score for predicting 1-year post-TAVI cardiovascular and all-cause mortality. The aim of the present study is to assess the prognostic significance of the CAPRI score for HF hospitalization 1 year after TAVI. METHODS AND RESULTS: CAPRI-HF is an ancillary study of the C4CAPRI trial, analyzing 409 consecutive patients treated by TAVI. The primary outcome was hospitalization for HF during the first year post-intervention. The prognostic value of the CAPRI score was assessed by multivariable analysis adjusted for diabetes, atrial fibrillation, vascular route, pacemaker implantation, post-TAVI aortic regurgitation, transfusion and pulmonary artery systolic pressure. A subanalysis focused on patients with low-gradient aortic stenosis (LGAS). At 1 year, HF hospitalization occurred in 78 (19.9%) patients. Patients with HF were more prone to have diabetes, atrial fibrillation, renal dysfunction, lower mean aortic gradient, higher logistic EuroSCORE and higher CAPRI score (p &lt; .05 for all associations). In the multivariable analysis, CAPRI score was the sole predictor of HF: hazard ratio (HR) for each 0.1 CAPRI score increase was 1.065, 95% confidence interval (CI) 1.021-1.110. This was confirmed when adjusted for EuroSCORE: HR 1.066, 95% CI 1</w:t>
      </w:r>
    </w:p>
    <w:p>
      <w:pPr/>
      <w:r>
        <w:rPr>
          <w:b/>
        </w:rPr>
        <w:t>POSSIBLE 2016:</w:t>
      </w:r>
      <w:r>
        <w:t xml:space="preserve"> Modeling protein–protein and protein–peptide complexes: CAPRI 6th edition — https://doi.org/10.1002/prot.25215</w:t>
      </w:r>
    </w:p>
    <w:p>
      <w:pPr/>
      <w:r>
        <w:rPr>
          <w:b/>
        </w:rPr>
        <w:t>Shared claim-specific concepts:</w:t>
      </w:r>
      <w:r>
        <w:t xml:space="preserve"> based, capri; EU scope not established. This is a provisional connection, not an outcome finding.</w:t>
      </w:r>
    </w:p>
    <w:p>
      <w:pPr>
        <w:pStyle w:val="SourceNote"/>
      </w:pPr>
      <w:r>
        <w:rPr>
          <w:b/>
        </w:rPr>
        <w:t>Available abstract (not full text):</w:t>
      </w:r>
      <w:r>
        <w:t xml:space="preserve"> We present the sixth report evaluating the performance of methods for predicting the atomic resolution structures of protein complexes offered as targets to the community-wide initiative on the Critical Assessment of Predicted Interactions (CAPRI). The evaluation is based on a total of 20,670 predicted models for 8 protein-peptide complexes, a novel category of targets in CAPRI, and 12 protein-protein targets in CAPRI prediction Rounds held during the years 2013-2016. For two of the protein-protein targets, the focus was on the prediction of side-chain conformation and positions of interfacial water molecules. Seven of the protein-protein targets were particularly challenging owing to their multicomponent nature, to conformational changes at the binding site, or to a combination of both. Encouragingly, the very large multiprotein complex with the nucleosome was correctly predicted, and correct models were submitted for the protein-peptide targets, but not for some of the challenging protein-protein targets. Models of acceptable quality or better were obtained for 14 of the 20 targets, including medium quality models for 13 targets and high quality models for 8 targets, indicating tangible progress of present-day computational methods in modeling protein complexes with increased accuracy. Our evaluation suggests that the progress stems from better integration of different modeli</w:t>
      </w:r>
    </w:p>
    <w:p>
      <w:pPr/>
      <w:r>
        <w:rPr>
          <w:b/>
        </w:rPr>
        <w:t>POSSIBLE 2016:</w:t>
      </w:r>
      <w:r>
        <w:t xml:space="preserve"> Prediction of homoprotein and heteroprotein complexes by protein docking and template‐based modeling: A CASP‐CAPRI experiment — https://doi.org/10.1002/prot.25007</w:t>
      </w:r>
    </w:p>
    <w:p>
      <w:pPr/>
      <w:r>
        <w:rPr>
          <w:b/>
        </w:rPr>
        <w:t>Shared claim-specific concepts:</w:t>
      </w:r>
      <w:r>
        <w:t xml:space="preserve"> based, capri, average; EU scope not established. This is a provisional connection, not an outcome finding.</w:t>
      </w:r>
    </w:p>
    <w:p>
      <w:pPr>
        <w:pStyle w:val="SourceNote"/>
      </w:pPr>
      <w:r>
        <w:rPr>
          <w:b/>
        </w:rPr>
        <w:t>Available abstract (not full text):</w:t>
      </w:r>
      <w:r>
        <w:t xml:space="preserve">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832.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r>
        <w:rPr>
          <w:b/>
        </w:rPr>
        <w:t>POSSIBLE 2020:</w:t>
      </w:r>
      <w:r>
        <w:t xml:space="preserve"> Piercing Proverbial Crows’ Eyes: Theft and Publication in Renaissance France — https://doi.org/10.33137/rr.v43i3.35300</w:t>
      </w:r>
    </w:p>
    <w:p>
      <w:pPr/>
      <w:r>
        <w:rPr>
          <w:b/>
        </w:rPr>
        <w:t>Shared claim-specific concepts:</w:t>
      </w:r>
      <w:r>
        <w:t xml:space="preserve"> france, publication, thus; EU scope visible. This is a provisional connection, not an outcome finding.</w:t>
      </w:r>
    </w:p>
    <w:p>
      <w:pPr>
        <w:pStyle w:val="SourceNote"/>
      </w:pPr>
      <w:r>
        <w:rPr>
          <w:b/>
        </w:rPr>
        <w:t>Available abstract (not full text):</w:t>
      </w:r>
      <w:r>
        <w:t xml:space="preserve">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pPr/>
      <w:r>
        <w:rPr>
          <w:b/>
        </w:rPr>
        <w:t>POSSIBLE 2020:</w:t>
      </w:r>
      <w:r>
        <w:t xml:space="preserve"> Negotiating French Wine and European Identities at the European Community — https://doi.org/10.1017/s0960777320000405</w:t>
      </w:r>
    </w:p>
    <w:p>
      <w:pPr/>
      <w:r>
        <w:rPr>
          <w:b/>
        </w:rPr>
        <w:t>Shared claim-specific concepts:</w:t>
      </w:r>
      <w:r>
        <w:t xml:space="preserve"> due, national, created, countries; EU scope visible. This is a provisional connection, not an outcome finding.</w:t>
      </w:r>
    </w:p>
    <w:p>
      <w:pPr>
        <w:pStyle w:val="SourceNote"/>
      </w:pPr>
      <w:r>
        <w:rPr>
          <w:b/>
        </w:rPr>
        <w:t>Available abstract (not full text):</w:t>
      </w:r>
      <w:r>
        <w:t xml:space="preserve"> This article examines the French role in creating an integrated wine policy at the European level and demonstrates that political negotiations over the policy revealed competing European conceptions of agriculture and identity. Drawing on research in EEC and French historical archives, this article argues that in spite of the risks involved in relinquishing sovereignty over a key national industry with deep cultural resonance, the French government was determined to transfer responsibility for much of the sector to the European Community due to continued domestic pressure. Further, it suggests that common values around the centrality of agriculture in the European project meant that countries were persistent in realising a wine policy even though wine was not a natural fit in the pantheon of other goods for which common markets were created.</w:t>
      </w:r>
    </w:p>
    <w:p>
      <w:pPr/>
      <w:r>
        <w:rPr>
          <w:b/>
        </w:rPr>
        <w:t>POSSIBLE 2018:</w:t>
      </w:r>
      <w:r>
        <w:t xml:space="preserve"> Evolution of the Population Structure of Staphylococcus pseudintermedius in France — https://doi.org/10.3389/fmicb.2018.03055</w:t>
      </w:r>
    </w:p>
    <w:p>
      <w:pPr/>
      <w:r>
        <w:rPr>
          <w:b/>
        </w:rPr>
        <w:t>Shared claim-specific concepts:</w:t>
      </w:r>
      <w:r>
        <w:t xml:space="preserve"> france, multiple, population, decline, due, created; EU scope visible. This is a provisional connection, not an outcome finding.</w:t>
      </w:r>
    </w:p>
    <w:p>
      <w:pPr>
        <w:pStyle w:val="SourceNote"/>
      </w:pPr>
      <w:r>
        <w:rPr>
          <w:b/>
        </w:rPr>
        <w:t>Available abstract (not full text):</w:t>
      </w:r>
      <w:r>
        <w:t xml:space="preserve"> (MRSP) in the early 2000s, which were additionally resistant to most veterinary-licensed antibiotics, drew specific attention to these pathogens due to the limitations created in veterinary therapeutic options. Multiple studies showed that the sequence type (ST)71 was the most frequently identified clone in Europe. A few years ago, several publications have suggested a decline of the ST71 clone and the emergence of the ST258 lineage in Northern Europe. In this study, we show that ST71 is also decreasing over time in France and that the non-ST71 population is highly heterogeneous. Globally, the non-ST71 clones are more susceptible to antibiotics, which might be good news for veterinarians. Two other lineages, ST258 and ST496, seem to be successful in France. These isolates, as well as representatives of the ST71 clone, underwent whole-genome sequence. This study shows that the ST71 and ST496 clusters are highly homogenous while the ST258 cluster is more diverse. Each ST possesses a specific pattern of resistance and virulence genes. The reasons for the apparent and simultaneous success of the ST258 and ST496 clones remain unclear. But the emergence of the ST496 clone will require monitoring given its multi-resistant genotype and threat to canine health.</w:t>
      </w:r>
    </w:p>
    <w:p>
      <w:pPr/>
      <w:r>
        <w:rPr>
          <w:b/>
        </w:rPr>
        <w:t>POSSIBLE 2017:</w:t>
      </w:r>
      <w:r>
        <w:t xml:space="preserve"> New insights into the burden and costs of multiple sclerosis in Europe — https://doi.org/10.1177/1352458517694432</w:t>
      </w:r>
    </w:p>
    <w:p>
      <w:pPr/>
      <w:r>
        <w:rPr>
          <w:b/>
        </w:rPr>
        <w:t>Shared claim-specific concepts:</w:t>
      </w:r>
      <w:r>
        <w:t xml:space="preserve"> multiple, population, countries; EU scope visible. This is a provisional connection, not an outcome finding.</w:t>
      </w:r>
    </w:p>
    <w:p>
      <w:pPr>
        <w:pStyle w:val="SourceNote"/>
      </w:pPr>
      <w:r>
        <w:rPr>
          <w:b/>
        </w:rPr>
        <w:t>Available abstract (not full text):</w:t>
      </w:r>
      <w:r>
        <w:t xml:space="preserve"> BACKGROUND: The current focus in multiple sclerosis (MS) is on early diagnosis and drug intervention, with a view to modifying disease progression. Consequently, healthcare costs have shifted from inpatient care and rehabilitation to outpatient care. OBJECTIVES: This European burden of illness study provides data that can be combined with other evidence to assess whether management approaches provide value to society. METHODS: A cross-sectional study was conducted in 16 countries. Patients reported on their disease, health-related quality of life (HRQoL) and resource consumption. Descriptive analyses were performed by disease severity. Costs are reported from a societal perspective in 2015€ PPP (adjusted for purchasing power parity). RESULTS: The 16,808 participants had a mean age of 51.5 years, and 52% had relapsing-remitting multiple sclerosis (RRMS). Work capacity declined from 82% to 8%, and utility declined from normal population values to less than zero with advancing disease. Mean costs were 22,800€ PPP in mild, 37,100€ PPP in moderate and 57,500€ PPP in severe disease; healthcare accounted for 68%, 47% and 26%, respectively. Fatigue and cognitive difficulties were reported by 95% and 71% of participants, respectively; both had a significant independent effect on utility. CONCLUSION: Costs and utility were highly correlated with disease severity, but resource consumption</w:t>
      </w:r>
    </w:p>
    <w:p>
      <w:pPr/>
      <w:r>
        <w:rPr>
          <w:b/>
        </w:rPr>
        <w:t>POSSIBLE 2016:</w:t>
      </w:r>
      <w:r>
        <w:t xml:space="preserve"> Raising European citizens: Constructing European identities in French and English textbooks — https://doi.org/10.5964/jspp.v4i1.350</w:t>
      </w:r>
    </w:p>
    <w:p>
      <w:pPr/>
      <w:r>
        <w:rPr>
          <w:b/>
        </w:rPr>
        <w:t>Shared claim-specific concepts:</w:t>
      </w:r>
      <w:r>
        <w:t xml:space="preserve"> national, representations, two, countries; EU scope visible. This is a provisional connection, not an outcome finding.</w:t>
      </w:r>
    </w:p>
    <w:p>
      <w:pPr>
        <w:pStyle w:val="SourceNote"/>
      </w:pPr>
      <w:r>
        <w:rPr>
          <w:b/>
        </w:rPr>
        <w:t>Available abstract (not full text):</w:t>
      </w:r>
      <w:r>
        <w:t xml:space="preserve"> Schools play a pivotal role in the formation of identities and in the political socialization of youth. This study explores the social representations of European integration in French and English school textbooks and shows how the social representations are discursively used to construct national and European identities. By analysing the history and civics textbooks of major educational publishers, this study aims to demonstrate how European integration is understood, made familiar and concretized in the school textbooks of the two influential but different European countries. The findings suggest some shared and some diverse patterns in the way the two European countries portray and construct the political project of European integration. These representations, constructed around French Europe in French textbooks and ambivalent Europe in English textbooks, share the images of a strong European economy and a French-led political Europe. However, they position themselves differently with respect to the United States, motivation for the European unification process and the significance of common values and heritage. In both countries textbooks draw upon memories that are important for group identity. While the French textbooks make European integration meaningful in reference to a shared post-war collective memory and to a cultural memory based on a more ancient idea of Europe, </w:t>
      </w:r>
    </w:p>
    <w:p>
      <w:pPr/>
      <w:r>
        <w:rPr>
          <w:b/>
        </w:rPr>
        <w:t>POSSIBLE 2016:</w:t>
      </w:r>
      <w:r>
        <w:t xml:space="preserve"> Geographical Heterogeneity of Multiple Sclerosis Prevalence in France — https://doi.org/10.1371/journal.pone.0167556</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INTRODUCTION: Geographical variation in the prevalence of multiple sclerosis (MS) is controversial. Heterogeneity is important to acknowledge to adapt the provision of care within the healthcare system. We aimed to investigate differences in prevalence of MS in departments in the French territory. METHODS: We estimated MS prevalence on October 31, 2004 in 21 administrative departments in France (22% of the metropolitan departments) by using multiple data sources: the main French health insurance systems, neurologist networks devoted to MS and the Technical Information Agency of Hospitalization. We used a spatial Bayesian approach based on estimating the number of MS cases from 2005 and 2008 capture-recapture studies to analyze differences in prevalence. RESULTS: The age- and sex-standardized prevalence of MS per 100,000 inhabitants ranged from 68.1 (95% credible interval 54.6, 84.4) in Hautes-Pyrénées (southwest France) to 296.5 (258.8, 338.9) in Moselle (northeast France). The greatest prevalence was in the northeast departments, and the other departments showed great variability. DISCUSSION: By combining multiple data sources into a spatial Bayesian model, we found heterogeneity in MS prevalence among the 21 departments of France, some with higher prevalence than anticipated from previous publications. No clear explanation related to health insurance coverage and hospital fac</w:t>
      </w:r>
    </w:p>
    <w:p>
      <w:pPr/>
      <w:r>
        <w:rPr>
          <w:b/>
        </w:rPr>
        <w:t>POSSIBLE 2016:</w:t>
      </w:r>
      <w:r>
        <w:t xml:space="preserve"> Assisted reproductive technology in Europe, 2011: results generated from European registers by ESHRE — https://doi.org/10.1093/humrep/dev319</w:t>
      </w:r>
    </w:p>
    <w:p>
      <w:pPr/>
      <w:r>
        <w:rPr>
          <w:b/>
        </w:rPr>
        <w:t>Shared claim-specific concepts:</w:t>
      </w:r>
      <w:r>
        <w:t xml:space="preserve"> multiple, population, replacement, national, countries, ever; EU scope visible. This is a provisional connection, not an outcome finding.</w:t>
      </w:r>
    </w:p>
    <w:p>
      <w:pPr>
        <w:pStyle w:val="SourceNote"/>
      </w:pPr>
      <w:r>
        <w:rPr>
          <w:b/>
        </w:rPr>
        <w:t>Available abstract (not full text):</w:t>
      </w:r>
      <w:r>
        <w:t xml:space="preserve"> STUDY QUESTION: The 15th European IVF-monitoring (EIM) report presents the results of treatments involving assisted reproductive technology (ART) initiated in Europe during 2011: are there any changes in the trends compared with previous years? SUMMARY ANSWER: Despite some fluctuations in the number of countries reporting data, while the overall number of ART cycles has continued to increase year by year, the pregnancy rates in 2011 decreased slightly to those reported in 2010, and the number of transfers with multiple embryos (3+) and the multiple delivery rates declined. WHAT IS KNOWN ALREADY: Since 1997, ART data in Europe have been collected and reported in 14 manuscripts, published in Human Reproduction. STUDY DESIGN, SIZE, DURATION: Retrospective data collection of European ART data by the EIM Consortium for the European Society of Human Reproduction and Embryology (ESHRE); cycles started between 1 January and 31 December 2011 are collected on a yearly basis. The data are collected by National Registers, when existing, or on a voluntary basis by personal information. PARTICIPANTS/MATERIALS SETTING, METHODS: From 33 countries (+2 compared with 2010), 1064 clinics reported 609 973 treatment cycles including: IVF 138 592, ICSI 298 918, frozen embryo replacement (FER) 129 693, egg donation (ED) 30 198, in vitro maturation 511, preimplantation genetic diagnosis/screening 6824 </w:t>
      </w:r>
    </w:p>
    <w:p>
      <w:pPr>
        <w:pStyle w:val="Heading2"/>
      </w:pPr>
      <w:r>
        <w:t>833.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2023:</w:t>
      </w:r>
      <w:r>
        <w:t xml:space="preserve"> RETRACTED: Assessment of Building Materials in the European Residential Building Stock: An Analysis at EU27 Level — https://doi.org/10.3390/su15118840</w:t>
      </w:r>
    </w:p>
    <w:p>
      <w:pPr/>
      <w:r>
        <w:rPr>
          <w:b/>
        </w:rPr>
        <w:t>Shared claim-specific concepts:</w:t>
      </w:r>
      <w:r>
        <w:t xml:space="preserve"> eu27, reducing, consumption; EU scope visible. This is a provisional connection, not an outcome finding.</w:t>
      </w:r>
    </w:p>
    <w:p>
      <w:pPr>
        <w:pStyle w:val="SourceNote"/>
      </w:pPr>
      <w:r>
        <w:rPr>
          <w:b/>
        </w:rPr>
        <w:t>Available abstract (not full text):</w:t>
      </w:r>
      <w:r>
        <w:t xml:space="preserve">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pPr/>
      <w:r>
        <w:rPr>
          <w:b/>
        </w:rPr>
        <w:t>POSSIBLE 2023:</w:t>
      </w:r>
      <w:r>
        <w:t xml:space="preserve"> Supplementary material to "The consolidated European synthesis of CO2 emissions and removals for EU27 and UK: 1990–2020" — https://doi.org/10.5194/essd-2022-412-supplement</w:t>
      </w:r>
    </w:p>
    <w:p>
      <w:pPr/>
      <w:r>
        <w:rPr>
          <w:b/>
        </w:rPr>
        <w:t>Shared claim-specific concepts:</w:t>
      </w:r>
      <w:r>
        <w:t xml:space="preserve"> eu27, products, land, increased; EU scope visible. This is a provisional connection, not an outcome finding.</w:t>
      </w:r>
    </w:p>
    <w:p>
      <w:pPr>
        <w:pStyle w:val="SourceNote"/>
      </w:pPr>
      <w:r>
        <w:rPr>
          <w:b/>
        </w:rPr>
        <w:t>Available abstract (not full text):</w:t>
      </w:r>
      <w:r>
        <w:t xml:space="preserve"> Quantification of land surface-atmosphere fluxes of carbon dioxide (CO2) fluxes and their trends and uncertainties is essential for monitoring progress of the EU27+UK bloc as it strives to meet ambitious targets determined by both international agreements and internal regulation.This study provides a consolidated synthesis of fossil sources (CO2 fossil) and natural sources and sinks over land (CO2 land) using bottom-up (BU) and top-down (TD) approaches for the European Union and United Kingdom (EU27+UK), updating earlier syntheses (Petrescu et al., 2020(Petrescu et al., , 2021b)).Given the wide scope of the work and the variety of approaches involved, this study aims to answer essential questions identified in the previous syntheses and understand the differences between datasets, particularly for poorly characterized fluxes from managed ecosystems.The work integrates updated emission inventory data, process-based model results, data-driven sectoral model results, and inverse modeling estimates, extending the previous period 1990-2018 to the year 2020 to the extent possible.BU and TD products are compared with European National Greenhouse Gas Inventories (NGHGIs) reported by Parties including the year 2019 under the United Nations Framework Convention on Climate Change (UNFCCC).The uncertainties of the EU27+UK NGHGI were evaluated using the standard deviation reported by the EU</w:t>
      </w:r>
    </w:p>
    <w:p>
      <w:pPr/>
      <w:r>
        <w:rPr>
          <w:b/>
        </w:rPr>
        <w:t>POSSIBLE 2022:</w:t>
      </w:r>
      <w:r>
        <w:t xml:space="preserve"> EU27&amp;UK gas supply-storage-consumption and potential solutions to fill Russian gap with daily resolutions — https://doi.org/10.5281/zenodo.6833533</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Russia was the primary natural gas supplier to the EU before the 2022 invasion of Ukraine. The substantial reduction in Russian gas supplies to many EU countries precipitated a severe energy crisis across the EU27&amp;UK, leading to significant alterations in their natural gas supply, transmission, and consumption dynamics. To analyze these shifts, we updated our natural gas supply dataset, EUGasSC (originally described in version 1.0), incorporating daily country- and sector-specific supply sources. In version 2.0 of the dataset, we introduce EUGasNet, a newly constructed dataset detailing daily intra-EU natural gas transmission with specific supply sources, utilizing data from ENTSOG (European Network of Transmission System Operators for Gas) alongside EUGasSC data. Furthermore, we developed EUGasImpact, a daily dataset capturing sector-specific drivers of consumption changes based on change attribution models employing multiple open datasets. The EUGasSC and EUGasNet dataset was developed with a gas network flow simulation based on flow mass balance by combining data from multiple datasets including ENTSO-G, ENTSO-E, and Eurostat energy balance (annual and monthly). The EUGasSC dataset was validated with BP Statistical Review of World Energy and multiple Eurostat datasets. The EUGasSC shows the share of gas supplied by Russia in each country to analyze the ‘gap’ that would resul</w:t>
      </w:r>
    </w:p>
    <w:p>
      <w:pPr/>
      <w:r>
        <w:rPr>
          <w:b/>
        </w:rPr>
        <w:t>POSSIBLE 2022:</w:t>
      </w:r>
      <w:r>
        <w:t xml:space="preserve"> The role of NOx emission reductions in Euro 7/VII vehicle emission standards to reduce adverse health impacts in the EU27 through 2050 — https://doi.org/10.1016/j.treng.2022.100133</w:t>
      </w:r>
    </w:p>
    <w:p>
      <w:pPr/>
      <w:r>
        <w:rPr>
          <w:b/>
        </w:rPr>
        <w:t>Shared claim-specific concepts:</w:t>
      </w:r>
      <w:r>
        <w:t xml:space="preserve"> eu27, pollution, health, million, increased; EU scope visible. This is a provisional connection, not an outcome finding.</w:t>
      </w:r>
    </w:p>
    <w:p>
      <w:pPr>
        <w:pStyle w:val="SourceNote"/>
      </w:pPr>
      <w:r>
        <w:rPr>
          <w:b/>
        </w:rPr>
        <w:t>Available abstract (not full text):</w:t>
      </w:r>
      <w:r>
        <w:t xml:space="preserve"> Air pollution is the single greatest environmental health hazard in Europe, responsible for over 300,000 premature deaths in the EU27 in 2019. Transport is a significant contributor toward the emission of air pollutants which reduce life expectancy through increased likelihood of morbidity-associated diseases. The introduction of the Euro vehicle emission standards has been successful in driving down the overall level of transport related air pollutants. However, the current regulatory limits have not been updated in nearly a decade. Furthermore, deviations are still evident between the type-approval standards and real-world emissions recorded through remote sensing. Based on the technology potential of current emission control systems, a feasible reduction in new vehicle emissions of nitrogen oxides (NOx) of up to 80% applicable to light- and heavy-duty vehicles that could be realized through the upcoming revision of the Euro standards is modelled. A multi-model approach is employed, combining a stock simulation model and a health impact model which applies the latest methodology of the Global Burden of Disease to quantify the cumulative emissions reduction and corresponding health impacts in the EU27 through 2050. Mandating such a NOx reduction for new vehicles from 2027 would result in a 93-98% reduction in annual NOx emissions from transport by 2050, and reduce cumulative e</w:t>
      </w:r>
    </w:p>
    <w:p>
      <w:pPr/>
      <w:r>
        <w:rPr>
          <w:b/>
        </w:rPr>
        <w:t>POSSIBLE 2021:</w:t>
      </w:r>
      <w:r>
        <w:t xml:space="preserve"> Fertility rates by metropolitan and non-metropolitan regions, EU27 — https://doi.org/10.1787/3dbbd509-en</w:t>
      </w:r>
    </w:p>
    <w:p>
      <w:pPr/>
      <w:r>
        <w:rPr>
          <w:b/>
        </w:rPr>
        <w:t>Shared claim-specific concepts:</w:t>
      </w:r>
      <w:r>
        <w:t xml:space="preserve"> eu27, health, changing; EU scope visible. This is a provisional connection, not an outcome finding.</w:t>
      </w:r>
    </w:p>
    <w:p>
      <w:pPr>
        <w:pStyle w:val="SourceNote"/>
      </w:pPr>
      <w:r>
        <w:rPr>
          <w:b/>
        </w:rPr>
        <w:t>Available abstract (not full text):</w:t>
      </w:r>
      <w:r>
        <w:t xml:space="preserve"> We are delighted to introduce the joint study "Access and Cost of Education and Health Services", conducted by the OECD and the European Commission's Joint Research Centre.The estimates of the cost and access to education and health services in this report are the first of their kind and an essential evidence base to develop better policies in this area.This analysis can help policy makers identify at a very granular level present and future service supply shortages and respond accordingly.By illustrating the trade-offs between efficiency and equity faced by every community, the report can also support decision making at both the regional and local levels.Education and health are the two social services in which national and subnational governments typically spend the most resources to ensure provisions keep pace with widespread and changing demand.As the COVID-19 pandemic has demonstrated, without adequate access to services, vulnerable citizens are more exposed to exclusions.For this reason, it is essential for policy responses to ensure an effective, fair and just recovery across European and OECD countries to shape a sustainable future for all citizens, regardless of where they live and work.Particularly, governments are facing growing challenges in providing schooling and health services in regions and localities that are sparsely populated, scattered and difficult to acce</w:t>
      </w:r>
    </w:p>
    <w:p>
      <w:pPr/>
      <w:r>
        <w:rPr>
          <w:b/>
        </w:rPr>
        <w:t>POSSIBLE 2018:</w:t>
      </w:r>
      <w:r>
        <w:t xml:space="preserve"> Reducing external costs of nitrogen pollution by relocation of pig production between regions in the European Union — https://doi.org/10.1007/s10113-018-1335-5</w:t>
      </w:r>
    </w:p>
    <w:p>
      <w:pPr/>
      <w:r>
        <w:rPr>
          <w:b/>
        </w:rPr>
        <w:t>Shared claim-specific concepts:</w:t>
      </w:r>
      <w:r>
        <w:t xml:space="preserve"> eu27, reducing, production, pollution, health, million; EU scope visible. This is a provisional connection, not an outcome finding.</w:t>
      </w:r>
    </w:p>
    <w:p>
      <w:pPr>
        <w:pStyle w:val="SourceNote"/>
      </w:pPr>
      <w:r>
        <w:rPr>
          <w:b/>
        </w:rPr>
        <w:t>Available abstract (not full text):</w:t>
      </w:r>
      <w:r>
        <w:t xml:space="preserve"> Abstract This paper tests the hypothesis that relocation of pig production within the EU27 can reduce the external costs of nitrogen (N) pollution. The external cost of pollution by ammonia and nitrate from agriculture in the European Union (EU27) in 2008 was estimated at 61–215 billion € (0.5 to 1.8% of the GDP). Per capita it ranged from more than 1000 € in north-west EU27 to 50 € in Romania. The average contribution of pig production was 15%. Using provincial data (224 NUTS2 regions in EU27), the potential reduction of external N cost by relocation of pig production was estimated at 14 billion € (10% of the total). Regions most eligible for decreasing the pig stock were in western Germany, Flemish region, Denmark, the Netherlands and Bretagne, while Romania is most eligible for increasing pig production. Relocating 20 million pigs (13% of the total EU stock) decreased average external costs per capita from 900 to 785 € in the 13 NUTS2 regions where pigs were removed and increased from 69 to 107 € in 11 regions receiving pigs. A second alternative configuration of pig production was targeted at reducing exceedance of critical N deposition and closing regional nutrient cycles. This configuration relocates pigs within Germany and France, for example from Bretagne to Northern France and from Weser-Ems to Oberbayern. However, total external cost increases due to an increase of he</w:t>
      </w:r>
    </w:p>
    <w:p>
      <w:pPr/>
      <w:r>
        <w:rPr>
          <w:b/>
        </w:rPr>
        <w:t>POSSIBLE 2016:</w:t>
      </w:r>
      <w:r>
        <w:t xml:space="preserve"> Virtual Water Flows in the EU27: A Consumption‐based Approach — https://doi.org/10.1111/jiec.12454</w:t>
      </w:r>
    </w:p>
    <w:p>
      <w:pPr/>
      <w:r>
        <w:rPr>
          <w:b/>
        </w:rPr>
        <w:t>Shared claim-specific concepts:</w:t>
      </w:r>
      <w:r>
        <w:t xml:space="preserve"> eu27, consumption, products, become, food, changing; EU scope visible. This is a provisional connection, not an outcome finding.</w:t>
      </w:r>
    </w:p>
    <w:p>
      <w:pPr>
        <w:pStyle w:val="SourceNote"/>
      </w:pPr>
      <w:r>
        <w:rPr>
          <w:b/>
        </w:rPr>
        <w:t>Available abstract (not full text):</w:t>
      </w:r>
      <w:r>
        <w:t xml:space="preserve"> Summary The use of water resources has traditionally been studied by accounting for the volume of water removed from sources for specific uses. This approach focuses on surface and groundwater only and it ignores that international trade of products with substantial amounts of embodied water can have an impact on domestic water resources. Using current economic and environmental data, we conduct a consumption‐based assessment of virtual water flows in the European Union (EU27). We find that the total water footprint (WF) of 2,280 cubic meters (m 3 ) per capita for the EU27 mostly consists of green water use (precipitation stored as soil moisture), which is omitted in the conventional water accounting. Blue water (surface and groundwater.) and gray water use (the volume of freshwater needed to dilute pollutants to meet the applicable water quality standards), which are targeted by current EU water policies, only make up 32% of the total WF. We also find that Europeans imported 585 cubic kilometers (km 3 ) (10 9 m 3 ) of virtual water, or around 28% of global virtual water trade flows, in 2009. Within Europe, Germany is a key net importer of water through the trade of products in agriculture, the food industry, the chemical sector, and electricity generation. Countries in Southern and Eastern Europe have specialized in water‐intensive agriculture and are key exporters of virtual </w:t>
      </w:r>
    </w:p>
    <w:p>
      <w:pPr>
        <w:pStyle w:val="Heading2"/>
      </w:pPr>
      <w:r>
        <w:t>834.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r>
        <w:rPr>
          <w:b/>
        </w:rPr>
        <w:t>POSSIBLE 2021:</w:t>
      </w:r>
      <w:r>
        <w:t xml:space="preserve"> Climate and Society in Europe The Last Thousand Years — https://doi.org/10.2445/9783258482347</w:t>
      </w:r>
    </w:p>
    <w:p>
      <w:pPr/>
      <w:r>
        <w:rPr>
          <w:b/>
        </w:rPr>
        <w:t>Shared claim-specific concepts:</w:t>
      </w:r>
      <w:r>
        <w:t xml:space="preserve"> here, climate, data, two, leading, based; EU scope visible. This is a provisional connection, not an outcome finding.</w:t>
      </w:r>
    </w:p>
    <w:p>
      <w:pPr>
        <w:pStyle w:val="SourceNote"/>
      </w:pPr>
      <w:r>
        <w:rPr>
          <w:b/>
        </w:rPr>
        <w:t>Available abstract (not full text):</w:t>
      </w:r>
      <w:r>
        <w:t xml:space="preserve"> A richly illustrated book on the history of climate change in Europe. Two perspectives, one unique book: two leading experts, a historian and a climatologist, co-author a new standard work on climate history. An overview of the connection between climatic and social developments over the last 1000 years. For the first time, a historian and a climatologist with knowledge of climate history have worked closely together to create a unique book, combining climate reconstructions based on documented data in their human-historical context with temporally highly resolved analyses of climate and glaciers. "Here we can clearly see how changes in climate affected the environment and people of Europe over many centuries, with important lessons for the future. A wonderfully engaging and well-documented account by two of Europe's leading climate scientists." Prof. Dr.</w:t>
      </w:r>
    </w:p>
    <w:p>
      <w:pPr/>
      <w:r>
        <w:rPr>
          <w:b/>
        </w:rPr>
        <w:t>POSSIBLE 2020:</w:t>
      </w:r>
      <w:r>
        <w:t xml:space="preserve"> Climate and society in European history — https://doi.org/10.1002/wcc.691</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pPr/>
      <w:r>
        <w:rPr>
          <w:b/>
        </w:rPr>
        <w:t>POSSIBLE 2019:</w:t>
      </w:r>
      <w:r>
        <w:t xml:space="preserve"> Climate change, reforestation/afforestation, and urbanization impacts on evapotranspiration and streamflow in Europe — https://doi.org/10.5194/hess-23-3631-2019</w:t>
      </w:r>
    </w:p>
    <w:p>
      <w:pPr/>
      <w:r>
        <w:rPr>
          <w:b/>
        </w:rPr>
        <w:t>Shared claim-specific concepts:</w:t>
      </w:r>
      <w:r>
        <w:t xml:space="preserve"> here, climate, leading; EU scope visible. This is a provisional connection, not an outcome finding.</w:t>
      </w:r>
    </w:p>
    <w:p>
      <w:pPr>
        <w:pStyle w:val="SourceNote"/>
      </w:pPr>
      <w:r>
        <w:rPr>
          <w:b/>
        </w:rPr>
        <w:t>Available abstract (not full text):</w:t>
      </w:r>
      <w:r>
        <w:t xml:space="preserve">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Quantifying uncertainty in European climate projections using combined performance-independence weighting — https://doi.org/10.1088/1748-9326/ab492f</w:t>
      </w:r>
    </w:p>
    <w:p>
      <w:pPr/>
      <w:r>
        <w:rPr>
          <w:b/>
        </w:rPr>
        <w:t>Shared claim-specific concepts:</w:t>
      </w:r>
      <w:r>
        <w:t xml:space="preserve"> here, climate, two, emission, based; EU scope visible. This is a provisional connection, not an outcome finding.</w:t>
      </w:r>
    </w:p>
    <w:p>
      <w:pPr>
        <w:pStyle w:val="SourceNote"/>
      </w:pPr>
      <w:r>
        <w:rPr>
          <w:b/>
        </w:rPr>
        <w:t>Available abstract (not full text):</w:t>
      </w:r>
      <w:r>
        <w:t xml:space="preserve"> Abstract Uncertainty in model projections of future climate change arises due to internal variability, multiple possible emission scenarios, and different model responses to anthropogenic forcing. To robustly quantify uncertainty in multi-model ensembles, inter-dependencies between models as well as a models ability to reproduce observations should be considered. Here, a model weighting approach, which accounts for both independence and performance, is applied to European temperature and precipitation projections from the CMIP5 archive. Two future periods representing mid- and end-of-century conditions driven by the high-emission scenario RCP8.5 are investigated. To inform the weighting, six diagnostics based on three observational estimates are used to also account for uncertainty in the observational record. Our findings show that weighting the ensemble can reduce the interquartile spread by more than 20% in some regions, increasing the reliability of projected changes. The mean temperature change is most notably impacted by the weighting in the Mediterranean, where it is found to be 0.35 °C higher than the unweighted mean in the end-of-century period. For precipitation the largest differences are found for Northern Europe, with a relative decrease in precipitation of 2.4% and 3.4% for the two future periods compared to the unweighted case. Based on a perfect model test, it i</w:t>
      </w:r>
    </w:p>
    <w:p>
      <w:pPr/>
      <w:r>
        <w:rPr>
          <w:b/>
        </w:rPr>
        <w:t>POSSIBLE 2019:</w:t>
      </w:r>
      <w:r>
        <w:t xml:space="preserve"> Distribution trends of European dragonflies under climate change — https://doi.org/10.1111/ddi.12913</w:t>
      </w:r>
    </w:p>
    <w:p>
      <w:pPr/>
      <w:r>
        <w:rPr>
          <w:b/>
        </w:rPr>
        <w:t>Shared claim-specific concepts:</w:t>
      </w:r>
      <w:r>
        <w:t xml:space="preserve"> combine, climate, predicted, data, species; EU scope visible. This is a provisional connection, not an outcome finding.</w:t>
      </w:r>
    </w:p>
    <w:p>
      <w:pPr>
        <w:pStyle w:val="SourceNote"/>
      </w:pPr>
      <w:r>
        <w:rPr>
          <w:b/>
        </w:rPr>
        <w:t>Available abstract (not full text):</w:t>
      </w:r>
      <w:r>
        <w:t xml:space="preserve">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r>
        <w:rPr>
          <w:b/>
        </w:rPr>
        <w:t>POSSIBLE 2018:</w:t>
      </w:r>
      <w:r>
        <w:t xml:space="preserve"> Enhanced climate instability in the North Atlantic and southern Europe during the Last Interglacial — https://doi.org/10.1038/s41467-018-06683-3</w:t>
      </w:r>
    </w:p>
    <w:p>
      <w:pPr/>
      <w:r>
        <w:rPr>
          <w:b/>
        </w:rPr>
        <w:t>Shared claim-specific concepts:</w:t>
      </w:r>
      <w:r>
        <w:t xml:space="preserve"> here, combine, climate, indicate; EU scope visible. This is a provisional connection, not an outcome finding.</w:t>
      </w:r>
    </w:p>
    <w:p>
      <w:pPr>
        <w:pStyle w:val="SourceNote"/>
      </w:pPr>
      <w:r>
        <w:rPr>
          <w:b/>
        </w:rPr>
        <w:t>Available abstract (not full text):</w:t>
      </w:r>
      <w:r>
        <w:t xml:space="preserve"> Considerable ambiguity remains over the extent and nature of millennial/centennial-scale climate instability during the Last Interglacial (LIG). Here we analyse marine and terrestrial proxies from a deep-sea sediment sequence on the Portuguese Margin and combine results with an intensively dated Italian speleothem record and climate-model experiments. The strongest expression of climate variability occurred during the transitions into and out of the LIG. Our records also document a series of multi-centennial intra-interglacial arid events in southern Europe, coherent with cold water-mass expansions in the North Atlantic. The spatial and temporal fingerprints of these changes indicate a reorganization of ocean surface circulation, consistent with low-intensity disruptions of the Atlantic meridional overturning circulation (AMOC). The amplitude of this LIG variability is greater than that observed in Holocene records. Episodic Greenland ice melt and runoff as a result of excess warmth may have contributed to AMOC weakening and increased climate instability throughout the LIG.</w:t>
      </w:r>
    </w:p>
    <w:p>
      <w:pPr/>
      <w:r>
        <w:rPr>
          <w:b/>
        </w:rPr>
        <w:t>POSSIBLE 2018:</w:t>
      </w:r>
      <w:r>
        <w:t xml:space="preserve"> Decline in climate resilience of European wheat — https://doi.org/10.1073/pnas.1804387115</w:t>
      </w:r>
    </w:p>
    <w:p>
      <w:pPr/>
      <w:r>
        <w:rPr>
          <w:b/>
        </w:rPr>
        <w:t>Shared claim-specific concepts:</w:t>
      </w:r>
      <w:r>
        <w:t xml:space="preserve"> here, climate, breeding, based; EU scope visible. This is a provisional connection, not an outcome finding.</w:t>
      </w:r>
    </w:p>
    <w:p>
      <w:pPr>
        <w:pStyle w:val="SourceNote"/>
      </w:pPr>
      <w:r>
        <w:rPr>
          <w:b/>
        </w:rPr>
        <w:t>Available abstract (not full text):</w:t>
      </w:r>
      <w:r>
        <w:t xml:space="preserve">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pPr/>
      <w:r>
        <w:rPr>
          <w:b/>
        </w:rPr>
        <w:t>POSSIBLE 2018:</w:t>
      </w:r>
      <w:r>
        <w:t xml:space="preserve"> Climate Impacts from Afforestation and Deforestation in Europe — https://doi.org/10.1175/ei-d-17-0033.1</w:t>
      </w:r>
    </w:p>
    <w:p>
      <w:pPr/>
      <w:r>
        <w:rPr>
          <w:b/>
        </w:rPr>
        <w:t>Shared claim-specific concepts:</w:t>
      </w:r>
      <w:r>
        <w:t xml:space="preserve"> here, climate, two; EU scope visible. This is a provisional connection, not an outcome finding.</w:t>
      </w:r>
    </w:p>
    <w:p>
      <w:pPr>
        <w:pStyle w:val="SourceNote"/>
      </w:pPr>
      <w:r>
        <w:rPr>
          <w:b/>
        </w:rPr>
        <w:t>Available abstract (not full text):</w:t>
      </w:r>
      <w:r>
        <w:t xml:space="preserve"> Abstract Changes in vegetation are known to have an impact on climate via biogeophysical effects such as changes in albedo and heat fluxes. Here, the effects of maximum afforestation and deforestation are studied over Europe. This is done by comparing three regional climate model simulations—one with present-day vegetation, one with maximum afforestation, and one with maximum deforestation. In general, afforestation leads to more evapotranspiration (ET), which leads to decreased near-surface temperature, whereas deforestation leads to less ET, which leads to increased temperature. There are exceptions, mainly in regions with little water available for ET. In such regions, changes in albedo are relatively more important for temperature. The simulated biogeophysical effect on seasonal mean temperature varies between 0.5° and 3°C across Europe. The effect on minimum and maximum temperature is larger than that on mean temperature. Increased (decreased) mean temperature is associated with an even larger increase (decrease) in maximum summer (minimum winter) temperature. The effect on precipitation is found to be small. Two additional simulations in which vegetation is changed in only one-half of the domain were also performed. These simulations show that the climatic effects from changed vegetation in Europe are local. The results imply that vegetation changes have had, and will hav</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here, combine, climate;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r>
        <w:rPr>
          <w:b/>
        </w:rPr>
        <w:t>POSSIBLE 2017:</w:t>
      </w:r>
      <w:r>
        <w:t xml:space="preserve"> Combined Impacts of PDO and Two Types of La Niña on Climate Anomalies in Europe — https://doi.org/10.1175/jcli-d-16-0376.1</w:t>
      </w:r>
    </w:p>
    <w:p>
      <w:pPr/>
      <w:r>
        <w:rPr>
          <w:b/>
        </w:rPr>
        <w:t>Shared claim-specific concepts:</w:t>
      </w:r>
      <w:r>
        <w:t xml:space="preserve"> here, climate, two, indicate; EU scope visible. This is a provisional connection, not an outcome finding.</w:t>
      </w:r>
    </w:p>
    <w:p>
      <w:pPr>
        <w:pStyle w:val="SourceNote"/>
      </w:pPr>
      <w:r>
        <w:rPr>
          <w:b/>
        </w:rPr>
        <w:t>Available abstract (not full text):</w:t>
      </w:r>
      <w:r>
        <w:t xml:space="preserve"> Combined impacts of the Pacific decadal oscillation (PDO) and two types of La Niña on climate anomalies in Europe are studied. Particularly, the conjunction of the negative PDO phase and two different types of La Niña events favors strong and significant North Atlantic Oscillation (NAO) pattern anomalies with opposite polarity. For the central Pacific (CP) La Niña, a clear positive NAO signal can be detected, which is accompanied by positive surface air temperature (SAT) anomaly and a dipolar structure of precipitation anomalies in Europe. In addition, a typical negative Pacific–North America (PNA) teleconnection pattern forms, including a high pressure anomaly over the southeastern United States, which may contribute to the development and maintenance of the NAO anomaly by strengthening the baroclinicity and the local eddy–mean flow interaction. However, for the eastern Pacific (EP) La Niña, a zonal wave train in the high latitudes can be observed, which is quite different from the typical PNA structure. Here, an anomalous anticyclone over southern Greenland supports a negative NAO pattern through the local eddy–mean flow interaction and the associated vorticity advection. Hence, reversed SAT and precipitation anomalies occur over Europe. Further analyses indicate that the wave trains emanating from the North Pacific and the synoptic eddy–mean flow interaction play essential r</w:t>
      </w:r>
    </w:p>
    <w:p>
      <w:pPr>
        <w:pStyle w:val="Heading2"/>
      </w:pPr>
      <w:r>
        <w:t>835.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2021:</w:t>
      </w:r>
      <w:r>
        <w:t xml:space="preserve"> The state of innovative development and further steps towards the neo-economy of Ukraine in the first quarter of the XXI century — https://doi.org/10.33731/52020.233745</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pPr/>
      <w:r>
        <w:rPr>
          <w:b/>
        </w:rPr>
        <w:t>POSSIBLE 2020:</w:t>
      </w:r>
      <w:r>
        <w:t xml:space="preserve"> Technological readiness in Europe — https://doi.org/10.4324/9780429057984-12</w:t>
      </w:r>
    </w:p>
    <w:p>
      <w:pPr/>
      <w:r>
        <w:rPr>
          <w:b/>
        </w:rPr>
        <w:t>Shared claim-specific concepts:</w:t>
      </w:r>
      <w:r>
        <w:t xml:space="preserve"> technological, industrial, issues; EU scope visible. This is a provisional connection, not an outcome finding.</w:t>
      </w:r>
    </w:p>
    <w:p>
      <w:pPr>
        <w:pStyle w:val="SourceNote"/>
      </w:pPr>
      <w:r>
        <w:rPr>
          <w:b/>
        </w:rPr>
        <w:t>Available abstract (not full text):</w:t>
      </w:r>
      <w:r>
        <w:t xml:space="preserve"> The technological and innovative developments promised by the next industrial revolution come with their corollaries of optimistic and pessimistic scenarios for our societies. Public policy is tackling digital transition issues; meanwhile, it is already acting on and anticipating the challenges and opportunities, and the risks and uncertainties, of the emerging Industry 4.0 paradigm. The qualitative analysis mainly relies upon official European Commission communications and European Union (EU) reports as well as thematic national and regional strategies. It brings together an updated and structured picture of some of the rationales and directions of I4.0-enabling policies in the EU. The initial efforts to develop key enabling technologies and advanced manufacturing as engines of the EU’s growth trajectory led to the identification of priority action lines for the EU’s industrial policy and investments into new technologies. The priority areas underlined in the previous communications also constituted important building blocks of the EU Regional and Cohesion Policy for the period 2014–2020.</w:t>
      </w:r>
    </w:p>
    <w:p>
      <w:pPr/>
      <w:r>
        <w:rPr>
          <w:b/>
        </w:rPr>
        <w:t>POSSIBLE 2020:</w:t>
      </w:r>
      <w:r>
        <w:t xml:space="preserve"> The sustainability transition in Europe in an age of demographic and technological change — https://doi.org/10.2800/571570</w:t>
      </w:r>
    </w:p>
    <w:p>
      <w:pPr/>
      <w:r>
        <w:rPr>
          <w:b/>
        </w:rPr>
        <w:t>Shared claim-specific concepts:</w:t>
      </w:r>
      <w:r>
        <w:t xml:space="preserve"> technological, industrial, economy; EU scope visible. This is a provisional connection, not an outcome finding.</w:t>
      </w:r>
    </w:p>
    <w:p>
      <w:pPr>
        <w:pStyle w:val="SourceNote"/>
      </w:pPr>
      <w:r>
        <w:rPr>
          <w:b/>
        </w:rPr>
        <w:t>Available abstract (not full text):</w:t>
      </w:r>
      <w:r>
        <w:t xml:space="preserve"> EU policy clearly recognises that achieving long-term sustainability will require fundamental transformation of the core socio-economic systems such as the food, energy and mobility systems. This understanding forms a key pillar of the new European Green Deal, as well as the growing body of complementary goals, strategies and tools, including the Energy Union, the New Industrial Strategy for Europe, the just transition mechanism and the proposal for a European Climate Law. In their different ways, these instruments all aim to enable society to meet its material and socio-economic needs while protecting and enhancing the environment in Europe and globally. Achieving this balance, as detailed in the European Environment Agency's recent five-yearly assessment, SOER 2020, represents a major governance challenge, characterised by widespread lock-ins, feedback loops, trade-offs and uncertainties. Achieving the sustainability transition will require that all areas and levels of government work together to enable the emergence and diffusion of new ways of living and working. Fiscal and financial policy tools have a critical role to play in each phase — from enabling experimentation and innovation, and correcting market incentives, to ensuring a fair sharing of the costs and benefits across society. Yet Europe's financial and fiscal systems themselves face significant disruption and cha</w:t>
      </w:r>
    </w:p>
    <w:p>
      <w:pPr/>
      <w:r>
        <w:rPr>
          <w:b/>
        </w:rPr>
        <w:t>POSSIBLE 2018:</w:t>
      </w:r>
      <w:r>
        <w:t xml:space="preserve"> European Federation of Societies for Ultrasound in Medicine and Biology (EFSUMB) Policy Document Development Strategy – Clinical Practice Guidelines, Position Statements and Technological Reviews — https://doi.org/10.1055/a-0770-3965</w:t>
      </w:r>
    </w:p>
    <w:p>
      <w:pPr/>
      <w:r>
        <w:rPr>
          <w:b/>
        </w:rPr>
        <w:t>Shared claim-specific concepts:</w:t>
      </w:r>
      <w:r>
        <w:t xml:space="preserve"> steps, further, technological, issues; EU scope visible. This is a provisional connection, not an outcome finding.</w:t>
      </w:r>
    </w:p>
    <w:p>
      <w:pPr>
        <w:pStyle w:val="SourceNote"/>
      </w:pPr>
      <w:r>
        <w:rPr>
          <w:b/>
        </w:rPr>
        <w:t>Available abstract (not full text):</w:t>
      </w:r>
      <w:r>
        <w:t xml:space="preserve"> This document summarizes principles and methodology to guide the creation of Clinical Practice Guidelines, Position Statements und Technological Reviews of the European Federation of Societies for Ultrasound in Medicine and Biology (EFSUMB). The purpose of EFSUMB Clinical Practice Guidelines is to provide physicians and sonographers performing or requesting diagnostic and interventional ultrasound examinations with evidence-based recommendations. Position Statements summarize EFSUMB opinions on important current issues in clinical applications, education and training of ultrasound techniques or health care policy related to ultrasound-based imaging and ultrasound-guided interventions. The third type of EFSUMB policy document is the Technological Review, which describes ultrasound techniques and technologies for physicians, medical technicians, engineers and physicists developing ultrasound technology. The whole process of development of EFSUMB policy documents is explained beginning with the decision regarding topics, selection of authors, funding, and planning of the developmental process. Further steps described in this document are the review of the evidence, creation of recommendations, statements and comments, grading of level of evidence and strength of recommendations, and consensus process. Finally, rules for the creation, review, approval, publication and update of EFS</w:t>
      </w:r>
    </w:p>
    <w:p>
      <w:pPr/>
      <w:r>
        <w:rPr>
          <w:b/>
        </w:rPr>
        <w:t>POSSIBLE 2017:</w:t>
      </w:r>
      <w:r>
        <w:t xml:space="preserve"> A Technological Overview of Biogas Production from Biowaste — https://doi.org/10.1016/j.eng.2017.03.002</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current irrational use of fossil fuels and the impact of greenhouse gases on the environment are driving research into renewable energy production from organic resources and waste. The global energy demand is high, and most of this energy is produced from fossil resources. Recent studies report that anaerobic digestion (AD) is an efficient alternative technology that combines biofuel production with sustainable waste management, and various technological trends exist in the biogas industry that enhance the production and quality of biogas. Further investments in AD are expected to meet with increasing success due to the low cost of available feedstocks and the wide range of uses for biogas (i.e., for heating, electricity, and fuel). Biogas production is growing in the European energy market and offers an economical alternative for bioenergy production. The objective of this work is to provide an overview of biogas production from lignocellulosic waste, thus providing information toward crucial issues in the biogas economy.</w:t>
      </w:r>
    </w:p>
    <w:p>
      <w:pPr/>
      <w:r>
        <w:rPr>
          <w:b/>
        </w:rPr>
        <w:t>POSSIBLE 2016:</w:t>
      </w:r>
      <w:r>
        <w:t xml:space="preserve"> Energy Technological Review — https://doi.org/10.5281/zenodo.3479264</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WP2 aims to undertake an extensive characterisation of the European energy system. Following the actors and actor-networks analysis realised during Task 2.1, the work performed during Task 2.2 represents a further step towards the complete energy system characterisation, as it provides a detailed overview on the technological forces currently driving it. D2.2 focuses on the technical /technological elements of the Energy Socio-Technical regime, to contribute significant and robust evidence on what constitutes a regime. In order to do this, a supply chain perspective was adopted. The rich literature on the topic was reviewed and synthesised, and on this basis it was deemed most appropriate to apply a Key Performance Indicators (KPIs) approach in order to assess and characterise the energy supply chain. A best practice methodology for defining and applying KPIs was pursued; for this reason, an extensive review of the academic literature in this area was conducted and is presented in this deliverable. From this review, a means of identifying KPIs to characterise the Energy Supply Chain was developed, synthesising insights from state of the art knowledge on this. Developed KPIs represent a comprehensive and innovative means of characterising the Energy Supply Chain according to a myriad of multi-dimensional criteria; typically supply chains are characterised only in narrow or singl</w:t>
      </w:r>
    </w:p>
    <w:p>
      <w:pPr>
        <w:pStyle w:val="Heading2"/>
      </w:pPr>
      <w:r>
        <w:t>836.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2021:</w:t>
      </w:r>
      <w:r>
        <w:t xml:space="preserve"> Identifying and correcting spatial bias in opportunistic citizen science data for wild ungulates in Norway — https://doi.org/10.1002/ece3.8200</w:t>
      </w:r>
    </w:p>
    <w:p>
      <w:pPr/>
      <w:r>
        <w:rPr>
          <w:b/>
        </w:rPr>
        <w:t>Shared claim-specific concepts:</w:t>
      </w:r>
      <w:r>
        <w:t xml:space="preserve"> finally, rsf, use, level; EU scope visible. This is a provisional connection, not an outcome finding.</w:t>
      </w:r>
    </w:p>
    <w:p>
      <w:pPr>
        <w:pStyle w:val="SourceNote"/>
      </w:pPr>
      <w:r>
        <w:rPr>
          <w:b/>
        </w:rPr>
        <w:t>Available abstract (not full text):</w:t>
      </w:r>
      <w:r>
        <w:t xml:space="preserve"> Many publications make use of opportunistic data, such as citizen science observation data, to infer large-scale properties of species' distributions. However, the few publications that use opportunistic citizen science data to study animal ecology at a habitat level do so without accounting for spatial biases in opportunistic records or using methods that are difficult to generalize. In this study, we explore the biases that exist in opportunistic observations and suggest an approach to correct for them. We first examined the extent of the biases in opportunistic citizen science observations of three wild ungulate species in Norway by comparing them to data from GPS telemetry. We then quantified the extent of the biases by specifying a model of the biases. From the bias model, we sampled available locations within the species' home range. Along with opportunistic observations, we used the corrected availability locations to estimate a resource selection function (RSF). We tested this method with simulations and empirical datasets for the three species. We compared the results of our correction method to RSFs obtained using opportunistic observations without correction and to RSFs using GPS-telemetry data. Finally, we compared habitat suitability maps obtained using each of these models. Opportunistic observations are more affected by human access and visibility than locations </w:t>
      </w:r>
    </w:p>
    <w:p>
      <w:pPr/>
      <w:r>
        <w:rPr>
          <w:b/>
        </w:rPr>
        <w:t>POSSIBLE 2019:</w:t>
      </w:r>
      <w:r>
        <w:t xml:space="preserve"> Laminin-Coated Electrospun Regenerated Silk Fibroin Mats Promote Neural Progenitor Cell Proliferation, Differentiation, and Survival in vitro — https://doi.org/10.3389/fbioe.2019.00190</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Neural progenitor cell (NPC) transplantation is a promising technique for central nervous system (CNS) reconstruction and regeneration. Biomaterial scaffolds, frameworks, and platforms can support NPC proliferation and differentiation in vitro as well as serve as a temporary extracellular matrix after transplantation. However, further applications of biomaterials require improved biological attributes. Silk fibroin (SF), which is produced by Bombyx mori, is a widely used and studied protein polymer for biomaterial application. Here, we prepared aligned and random eletrospun regenerated SF (RSF) scaffolds, and evaluated their impact on the growth of NPCs. First, we isolated NPCs and then cultured them on either laminin-coated RSF mats or conventional laminin-coated coverslips for cell assays. We found that aligned and random RSF led to increases in NPC proliferation of 143.8 ± 13.3% and 156.3 ± 14.7%, respectively, compared to controls. Next, we investigated neuron differentiation and found that the aligned and the random RSF led to increases in increase in neuron differentiation of about 93.2 ± 6.4%, and 3167.1 ± 4.8%, respectively, compared to controls. Furthermore, we measured the survival of NPCs and found that RSF promoted NPC survival, and found there was no difference among those three groups. Finally, signaling pathways in cells cultured on RSF mats were studied for thei</w:t>
      </w:r>
    </w:p>
    <w:p>
      <w:pPr/>
      <w:r>
        <w:rPr>
          <w:b/>
        </w:rPr>
        <w:t>POSSIBLE 2018:</w:t>
      </w:r>
      <w:r>
        <w:t xml:space="preserve"> Have wolves (Canis lupus) finally scared moose (Alces alces) in Sweden — https://openalex.org/W2902161450</w:t>
      </w:r>
    </w:p>
    <w:p>
      <w:pPr/>
      <w:r>
        <w:rPr>
          <w:b/>
        </w:rPr>
        <w:t>Shared claim-specific concepts:</w:t>
      </w:r>
      <w:r>
        <w:t xml:space="preserve"> finally, use; EU scope visible. This is a provisional connection, not an outcome finding.</w:t>
      </w:r>
    </w:p>
    <w:p>
      <w:pPr>
        <w:pStyle w:val="SourceNote"/>
      </w:pPr>
      <w:r>
        <w:rPr>
          <w:b/>
        </w:rPr>
        <w:t>Available abstract (not full text):</w:t>
      </w:r>
      <w:r>
        <w:t xml:space="preserve"> Carnivores are coming back to Europe and the repercussions of their return on prey species is not fully understood. Research from North American studies suggests predators can indirectly affect how ungulates will select their habitat which can result in a change in vegetation growth as browsing pressure is relaxed in risky areas. The highly human dominated landscapes of European countries could limit the effect predators have, as humans alter so much of the environment, from forestry to hunting. I use resource selection functions to analyse 20 years of data collected in the Grimsö Wildlife Research Area (140 km2), in a before/after study design to see if the return of the wolf (Canis lupus) in Scandinavia has caused moose (Alces alces) to change how they select winter habitat. I show a change in moose habitat selection after wolf recolonization, but find no conclusive evidence of an indirect effect of wolves. A more likely explanation for the observed changes in moose habitat selection within the Grimsö Wildlife Research Area is a functional response between moose and forage availability.</w:t>
      </w:r>
    </w:p>
    <w:p>
      <w:pPr/>
      <w:r>
        <w:rPr>
          <w:b/>
        </w:rPr>
        <w:t>POSSIBLE 2018:</w:t>
      </w:r>
      <w:r>
        <w:t xml:space="preserve"> Integrating telemetry data into spatial capture–recapture modifies inferences on multi‐scale resource selection — https://doi.org/10.1002/ecs2.2203</w:t>
      </w:r>
    </w:p>
    <w:p>
      <w:pPr/>
      <w:r>
        <w:rPr>
          <w:b/>
        </w:rPr>
        <w:t>Shared claim-specific concepts:</w:t>
      </w:r>
      <w:r>
        <w:t xml:space="preserve"> rsf, use, integration; EU scope not established. This is a provisional connection, not an outcome finding.</w:t>
      </w:r>
    </w:p>
    <w:p>
      <w:pPr>
        <w:pStyle w:val="SourceNote"/>
      </w:pPr>
      <w:r>
        <w:rPr>
          <w:b/>
        </w:rPr>
        <w:t>Available abstract (not full text):</w:t>
      </w:r>
      <w:r>
        <w:t xml:space="preserve"> Abstract Estimating population size and resource selection functions ( RSF s) are common approaches in applied ecology for addressing wildlife conservation and management objectives. Traditionally such approaches have been undertaken separately with different sources of data. Spatial capture–recapture ( SCR ) provides a hierarchical framework for jointly estimating density and multi‐scale resource selection, and data integration techniques provide opportunities for improving inferences from SCR models. Despite the added benefits, there have been few applications of SCR ‐ RSF integration, potentially due to complexities of specifying and fitting such models. Here, we extend a previous integrated SCR ‐ RSF model to accommodate overlap of individuals between data sources and add the functionality to an open‐source R package ( oSCR ). We illustrate an application of the integrated model to a population of American marten ( Martes americana ) in alpine forests of northern New England. Spatial encounter data from camera traps were combined with telemetry locations from radio‐collared individuals to examine how density and space use varied with spatial environmental features. We compared multi‐model inferences between the integrated SCR ‐ RSF model with telemetry and a standard SCR model with no telemetry. The integrated SCR ‐ RSF model supported more complex relationships with spatia</w:t>
      </w:r>
    </w:p>
    <w:p>
      <w:pPr>
        <w:pStyle w:val="Heading2"/>
      </w:pPr>
      <w:r>
        <w:t>837.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2022:</w:t>
      </w:r>
      <w:r>
        <w:t xml:space="preserve"> Exploring Factors Associated with Parent Engagement in A Parenting Program in Southeastern Europe — https://doi.org/10.1007/s10826-022-02411-0</w:t>
      </w:r>
    </w:p>
    <w:p>
      <w:pPr/>
      <w:r>
        <w:rPr>
          <w:b/>
        </w:rPr>
        <w:t>Shared claim-specific concepts:</w:t>
      </w:r>
      <w:r>
        <w:t xml:space="preserve"> three, different, there; EU scope visible. This is a provisional connection, not an outcome finding.</w:t>
      </w:r>
    </w:p>
    <w:p>
      <w:pPr>
        <w:pStyle w:val="SourceNote"/>
      </w:pPr>
      <w:r>
        <w:rPr>
          <w:b/>
        </w:rPr>
        <w:t>Available abstract (not full text):</w:t>
      </w:r>
      <w:r>
        <w:t xml:space="preserve">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pPr/>
      <w:r>
        <w:rPr>
          <w:b/>
        </w:rPr>
        <w:t>POSSIBLE 2022:</w:t>
      </w:r>
      <w:r>
        <w:t xml:space="preserve"> Exploring scale in social licence to operate: European perspectives — https://doi.org/10.1016/j.jclepro.2022.135552</w:t>
      </w:r>
    </w:p>
    <w:p>
      <w:pPr/>
      <w:r>
        <w:rPr>
          <w:b/>
        </w:rPr>
        <w:t>Shared claim-specific concepts:</w:t>
      </w:r>
      <w:r>
        <w:t xml:space="preserve"> three, although, there; EU scope visible. This is a provisional connection, not an outcome finding.</w:t>
      </w:r>
    </w:p>
    <w:p>
      <w:pPr>
        <w:pStyle w:val="SourceNote"/>
      </w:pPr>
      <w:r>
        <w:rPr>
          <w:b/>
        </w:rPr>
        <w:t>Available abstract (not full text):</w:t>
      </w:r>
      <w:r>
        <w:t xml:space="preserve">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pPr/>
      <w:r>
        <w:rPr>
          <w:b/>
        </w:rPr>
        <w:t>POSSIBLE 2020:</w:t>
      </w:r>
      <w:r>
        <w:t xml:space="preserve"> Factors Influencing Human Mobility During The COVID-19 Pandemic in Selected Countries of Europe and North America — https://doi.org/10.1109/bigdata50022.2020.9377932</w:t>
      </w:r>
    </w:p>
    <w:p>
      <w:pPr/>
      <w:r>
        <w:rPr>
          <w:b/>
        </w:rPr>
        <w:t>Shared claim-specific concepts:</w:t>
      </w:r>
      <w:r>
        <w:t xml:space="preserve"> principal, component, applied; EU scope visible. This is a provisional connection, not an outcome finding.</w:t>
      </w:r>
    </w:p>
    <w:p>
      <w:pPr>
        <w:pStyle w:val="SourceNote"/>
      </w:pPr>
      <w:r>
        <w:rPr>
          <w:b/>
        </w:rPr>
        <w:t>Available abstract (not full text):</w:t>
      </w:r>
      <w:r>
        <w:t xml:space="preserve"> A novel coronavirus (COVID-19) was first reported in Wuhan, China in December 2109 and was declared a global pandemic by the World Health Organization on 11 March 2020. Identification of the critical factors that predict reduced mobility and human interaction is critical to developing successful transmission mitigation efforts globally. Governments and localities around the world have responded with wide-ranging policies related to containment and closure such as travel restrictions and stay-at-home-orders, as well as economic benefits, expanded testing, and public health education, among others. Anonymized GPS-enabled smartphone data is a novel tool to track human mobility and is becoming widely available. This study explores the relationships between containment and closure policies, disease trends, and human mobility patterns in 40 countries in Western, Eastern, Northern, and Southern Europe and North America. The principal component analysis was applied to reduce variable dimensions, followed by multivariate multiple regression. The model parameter estimations indicate that total cases, canceling activities (school, work, events), mask policies and the pandemic declaration all were significant predictors (p&lt;; .001) of change in workplace mobility from baseline.</w:t>
      </w:r>
    </w:p>
    <w:p>
      <w:pPr/>
      <w:r>
        <w:rPr>
          <w:b/>
        </w:rPr>
        <w:t>POSSIBLE 2018:</w:t>
      </w:r>
      <w:r>
        <w:t xml:space="preserve"> Principal factors controlling the species richness of European fens differ between habitat specialists and matrix‐derived species — https://doi.org/10.1111/ddi.12718</w:t>
      </w:r>
    </w:p>
    <w:p>
      <w:pPr/>
      <w:r>
        <w:rPr>
          <w:b/>
        </w:rPr>
        <w:t>Shared claim-specific concepts:</w:t>
      </w:r>
      <w:r>
        <w:t xml:space="preserve"> principal, like, there, groups; EU scope visible. This is a provisional connection, not an outcome finding.</w:t>
      </w:r>
    </w:p>
    <w:p>
      <w:pPr>
        <w:pStyle w:val="SourceNote"/>
      </w:pPr>
      <w:r>
        <w:rPr>
          <w:b/>
        </w:rPr>
        <w:t>Available abstract (not full text):</w:t>
      </w:r>
      <w:r>
        <w:t xml:space="preserve"> Abstract Aim We present the first continental‐scale study of factors controlling the species richness of groundwater‐fed fens, comparing land snails, vascular plants and bryophytes. We separately analyse two ecologically distinct groups differing in conservation value and colonization/extinction dynamics, that is habitat specialists, and matrix‐derived species. Considering the island‐like nature of fen habitats, we hypothesize larger differences in the species richness–environment relationships between habitat specialists and matrix‐derived species than among the taxonomic entities. Location Seven European regions Methods Richness was counted at 373 well‐preserved fens with undisturbed hydrology using the same protocols. Relationships between the species richness and waterpH, waterlogging, climate and geography were explored byGLMs. Results Land snail richness responded mainly to waterpH, regardless of habitat specialization. Richness of vascular plant and bryophyte specialists was strongly driven by geographical location of the sites, while that of matrix‐derived species was driven by waterlogging and waterpH. The richness of matrix‐derived species of all taxa significantly increased with the decreasing waterlogging. Residual richness of specialists of all taxa decreased towards southern Europe. Main conclusions In island‐like terrestrial habitats, differences between speciali</w:t>
      </w:r>
    </w:p>
    <w:p>
      <w:pPr/>
      <w:r>
        <w:rPr>
          <w:b/>
        </w:rPr>
        <w:t>POSSIBLE 2017:</w:t>
      </w:r>
      <w:r>
        <w:t xml:space="preserve"> Exploring Self-Employment in the European Union — https://openalex.org/W2773297494</w:t>
      </w:r>
    </w:p>
    <w:p>
      <w:pPr/>
      <w:r>
        <w:rPr>
          <w:b/>
        </w:rPr>
        <w:t>Shared claim-specific concepts:</w:t>
      </w:r>
      <w:r>
        <w:t xml:space="preserve"> there, general, across; EU scope visible. This is a provisional connection, not an outcome finding.</w:t>
      </w:r>
    </w:p>
    <w:p>
      <w:pPr>
        <w:pStyle w:val="SourceNote"/>
      </w:pPr>
      <w:r>
        <w:rPr>
          <w:b/>
        </w:rPr>
        <w:t>Available abstract (not full text):</w:t>
      </w:r>
      <w:r>
        <w:t xml:space="preserve"> [Excerpt] Self-employment in the European Union is in a process of continual change. While the proportion of the self-employed in the EU28 Member States is stable, its composition has shifted. While on the one hand there has been a decline in employment in agriculture (generally self-employment), on the other hand the proportions of self-employed workers in the services sector and public sector have increased. Another recent phenomenon is the increase in the proportion of self-employed people who do not employ workers. Across the European Union, some countries have experienced a greater degree of change in the proportion of self-employed workers than in others. In general, self-employment has become more varied and this diversity presents a challenge for policymakers.</w:t>
      </w:r>
    </w:p>
    <w:p>
      <w:pPr/>
      <w:r>
        <w:rPr>
          <w:b/>
        </w:rPr>
        <w:t>POSSIBLE 2017:</w:t>
      </w:r>
      <w:r>
        <w:t xml:space="preserve"> Regional economic development in Europe: the role of total factor productivity — https://doi.org/10.1080/00343404.2017.1334118</w:t>
      </w:r>
    </w:p>
    <w:p>
      <w:pPr/>
      <w:r>
        <w:rPr>
          <w:b/>
        </w:rPr>
        <w:t>Shared claim-specific concepts:</w:t>
      </w:r>
      <w:r>
        <w:t xml:space="preserve"> factor, component, across; EU scope visible. This is a provisional connection, not an outcome finding.</w:t>
      </w:r>
    </w:p>
    <w:p>
      <w:pPr>
        <w:pStyle w:val="SourceNote"/>
      </w:pPr>
      <w:r>
        <w:rPr>
          <w:b/>
        </w:rPr>
        <w:t>Available abstract (not full text):</w:t>
      </w:r>
      <w:r>
        <w:t xml:space="preserve"> Regional economic development in Europe: the role of total factor productivity. Regional Studies. This paper documents the fact that the large and persistent differences in economic development across subnational regions in European Union countries can largely be attributed to differences in total factor productivity (TFP). Applying the technique of development accounting, the paper decomposes differences in output per worker across 257 European Union regions into a component due to the local availability of production factors and a component due to TFP. As the analysis reveals, TFP differences are large even within countries, and are strongly related to economic geography and historical development paths. This suggests limited interregional diffusion of technology and of efficient production practices.</w:t>
      </w:r>
    </w:p>
    <w:p>
      <w:pPr>
        <w:pStyle w:val="Heading2"/>
      </w:pPr>
      <w:r>
        <w:t>838.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2022:</w:t>
      </w:r>
      <w:r>
        <w:t xml:space="preserve"> Navigating the internationalization process: Strategic resources for early internationalizing firms — https://doi.org/10.1007/s10843-022-00308-z</w:t>
      </w:r>
    </w:p>
    <w:p>
      <w:pPr/>
      <w:r>
        <w:rPr>
          <w:b/>
        </w:rPr>
        <w:t>Shared claim-specific concepts:</w:t>
      </w:r>
      <w:r>
        <w:t xml:space="preserve"> recommendations, internationalization, based, process; EU scope not established. This is a provisional connection, not an outcome finding.</w:t>
      </w:r>
    </w:p>
    <w:p>
      <w:pPr>
        <w:pStyle w:val="SourceNote"/>
      </w:pPr>
      <w:r>
        <w:rPr>
          <w:b/>
        </w:rPr>
        <w:t>Available abstract (not full text):</w:t>
      </w:r>
      <w:r>
        <w:t xml:space="preserve">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pPr/>
      <w:r>
        <w:rPr>
          <w:b/>
        </w:rPr>
        <w:t>POSSIBLE 2020:</w:t>
      </w:r>
      <w:r>
        <w:t xml:space="preserve"> Collaboration and Internationalization of SMEs: Insights and Recommendations from a Systematic Review — https://doi.org/10.1111/ijmr.12238</w:t>
      </w:r>
    </w:p>
    <w:p>
      <w:pPr/>
      <w:r>
        <w:rPr>
          <w:b/>
        </w:rPr>
        <w:t>Shared claim-specific concepts:</w:t>
      </w:r>
      <w:r>
        <w:t xml:space="preserve"> recommendations, internationalization, process, key; EU scope not established. This is a provisional connection, not an outcome finding.</w:t>
      </w:r>
    </w:p>
    <w:p>
      <w:pPr>
        <w:pStyle w:val="SourceNote"/>
      </w:pPr>
      <w:r>
        <w:rPr>
          <w:b/>
        </w:rPr>
        <w:t>Available abstract (not full text):</w:t>
      </w:r>
      <w:r>
        <w:t xml:space="preserve">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pPr/>
      <w:r>
        <w:rPr>
          <w:b/>
        </w:rPr>
        <w:t>POSSIBLE 2020:</w:t>
      </w:r>
      <w:r>
        <w:t xml:space="preserve"> Make Banking Simple Again : A multiple case-study about the internationalization of the largest online retail banks in Europe — https://openalex.org/W3047438540</w:t>
      </w:r>
    </w:p>
    <w:p>
      <w:pPr/>
      <w:r>
        <w:rPr>
          <w:b/>
        </w:rPr>
        <w:t>Shared claim-specific concepts:</w:t>
      </w:r>
      <w:r>
        <w:t xml:space="preserve"> recommendations, internationalization, process, international, findings; EU scope visible. This is a provisional connection, not an outcome finding.</w:t>
      </w:r>
    </w:p>
    <w:p>
      <w:pPr>
        <w:pStyle w:val="SourceNote"/>
      </w:pPr>
      <w:r>
        <w:rPr>
          <w:b/>
        </w:rPr>
        <w:t>Available abstract (not full text):</w:t>
      </w:r>
      <w:r>
        <w:t xml:space="preserve">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pPr/>
      <w:r>
        <w:rPr>
          <w:b/>
        </w:rPr>
        <w:t>POSSIBLE 2019:</w:t>
      </w:r>
      <w:r>
        <w:t xml:space="preserve"> Pathways of SME internationalization: a bibliometric and systematic review — https://doi.org/10.1007/s11187-019-00181-6</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Business is dynamic and rapidly changing. Global markets were previously the playing field of multinational corporations (MNCs), while small and medium enterprises (SMEs) were local; however, the removal of imposed barriers and recent technological advances in manufacturing, transportation, and communications have indorsed SMEs and international entrepreneurs (IEs) global access. SMEs and IEs are increasingly fueling economic growth and innovation, and these trends are presenting both opportunities and challenges to both MNCs and SMEs in the global arena. This review systematically examines comparative SME and IE research, analyzing (after fine-tuning) 762 articles published in leading journals from 1992 to September 2018. Our bibliometric and systematic review classifies SME and IE research findings into three echelons: (i) subjects, (ii) theories, and (iii) methods.</w:t>
      </w:r>
    </w:p>
    <w:p>
      <w:pPr/>
      <w:r>
        <w:rPr>
          <w:b/>
        </w:rPr>
        <w:t>POSSIBLE 2019:</w:t>
      </w:r>
      <w:r>
        <w:t xml:space="preserve"> Internationalization Strategy — https://doi.org/10.4018/978-1-7998-2007-9.ch001</w:t>
      </w:r>
    </w:p>
    <w:p>
      <w:pPr/>
      <w:r>
        <w:rPr>
          <w:b/>
        </w:rPr>
        <w:t>Shared claim-specific concepts:</w:t>
      </w:r>
      <w:r>
        <w:t xml:space="preserve"> conclusions, internationalization, international; EU scope not established. This is a provisional connection, not an outcome finding.</w:t>
      </w:r>
    </w:p>
    <w:p>
      <w:pPr>
        <w:pStyle w:val="SourceNote"/>
      </w:pPr>
      <w:r>
        <w:rPr>
          <w:b/>
        </w:rPr>
        <w:t>Available abstract (not full text):</w:t>
      </w:r>
      <w:r>
        <w:t xml:space="preserve"> This chapter, devoted to the theoretical framework of internationalization strategy, intends to perform a reflection on its main theories and studies. The authors discuss the main motivations that firms face to internationalize their activity as well as the aspects related to the success of approaching new markets. Then it also characterizes the main risks associated with the decision of internationalization and international trade. The authors will also present developed tools to support the two starting decisions that companies face in this type of projects: where and how to internationalize. They also intend to go into the decision of direct investment in international markets, providing knowledge about different perspectives, as several empirical studies show a more detailed vision of this strategic option and its main financial impacts on business. Finally, it discusses the main conclusions about the relation between internationalization and the performance of companies.</w:t>
      </w:r>
    </w:p>
    <w:p>
      <w:pPr/>
      <w:r>
        <w:rPr>
          <w:b/>
        </w:rPr>
        <w:t>POSSIBLE 2018:</w:t>
      </w:r>
      <w:r>
        <w:t xml:space="preserve"> INTERNATIONALIZATION OF QUALITY ASSURANCE IN THE EUROPEAN HIGHER EDUCATION AREA: CHARACTERISTICS OF THE TERMINOLOGICAL APPARATUS AND CONCEPTUAL BASES OF THE RESEARCH — https://doi.org/10.33989/2075-146x.2018.21.206296</w:t>
      </w:r>
    </w:p>
    <w:p>
      <w:pPr/>
      <w:r>
        <w:rPr>
          <w:b/>
        </w:rPr>
        <w:t>Shared claim-specific concepts:</w:t>
      </w:r>
      <w:r>
        <w:t xml:space="preserve"> conclusions, recommendations, internationalization, higher, education, based; EU scope visible. This is a provisional connection, not an outcome finding.</w:t>
      </w:r>
    </w:p>
    <w:p>
      <w:pPr>
        <w:pStyle w:val="SourceNote"/>
      </w:pPr>
      <w:r>
        <w:rPr>
          <w:b/>
        </w:rPr>
        <w:t>Available abstract (not full text):</w:t>
      </w:r>
      <w:r>
        <w:t xml:space="preserve"> The research is devoted to the problems of internationalization of quality assurance (QA) in the European Higher Education Area. Based on the application of methods of terminological analysis, systematization and generalization, the characteristic of the conceptual apparatus of the study is given. The importance of such concepts as "internationalization of higher education", "quality assurance of higher education" and " European Higher Education Area " are specified.The definition of the key concept of the study "internationalization of the quality assurance of higher education" as a process and result of the implementation of normative, organizational and procedural principles of the QA at the international level and the legitimization of the international / global dimension of the quality assurance agencies' activities in higher education is formulated. The theoretical, normative, organizational and procedural aspects of the problem under study are outlined.The following conclusions are made regarding trends in the development of the phenomenon under study: 1) the process of internationalization of the QA acquires a systemic character, the approval of international norms for the implementation of the QA process at official summits of the Bologna Process, in the educational legislation of the member states of the Bologna Club, gives them legitimacy; 2) there is an increase in </w:t>
      </w:r>
    </w:p>
    <w:p>
      <w:pPr/>
      <w:r>
        <w:rPr>
          <w:b/>
        </w:rPr>
        <w:t>POSSIBLE 2017:</w:t>
      </w:r>
      <w:r>
        <w:t xml:space="preserve"> Internationalization and Student Mobility in Teacher Education: Internationalization Models, Diffusion Barriers, and Recommendations for Policy and Higher Education Institutions — https://openalex.org/W2725157936</w:t>
      </w:r>
    </w:p>
    <w:p>
      <w:pPr/>
      <w:r>
        <w:rPr>
          <w:b/>
        </w:rPr>
        <w:t>Shared claim-specific concepts:</w:t>
      </w:r>
      <w:r>
        <w:t xml:space="preserve"> conclusions, recommendations, internationalization, higher, education, process; EU scope visible. This is a provisional connection, not an outcome finding.</w:t>
      </w:r>
    </w:p>
    <w:p>
      <w:pPr>
        <w:pStyle w:val="SourceNote"/>
      </w:pPr>
      <w:r>
        <w:rPr>
          <w:b/>
        </w:rPr>
        <w:t>Available abstract (not full text):</w:t>
      </w:r>
      <w:r>
        <w:t xml:space="preserve"> For the field of teacher education, a particularly wide discrepancy exists between (1) higher education discourses and policies advocating a wide diffusion of international dimensions, specifically of study-related mobility (such as Erasmus stays abroad), within higher education degree programs; (2) the ideals and demands placed upon teacher education graduates to possess relevant international competences and experiences in view of their role as multipliers and professionals in increasingly multicultural and global societies; and (3) the ground-level practices, as evidenced by comparatively low mobility rates in teacher education degree programs in Europe.The study reverts to the question where this discrepancy is actually produced and how it could be addressed, thereby closing a gap in student mobility and higher education internationalization research on the diffusion barriers at work in the field of teacher education.The thesis is set in the field of international and comparative education, and pursues a multilevel and contextualized comparative approach, involving two strands of investigation:(1) a theory-based and process-oriented quantitative inquiry into relevant obstacles for eventual participation in study-related mobility among students in teacher education degree programs; (2) and a multilevel (policy, institutions/staff, students) inquiry into the trajectories of i</w:t>
      </w:r>
    </w:p>
    <w:p>
      <w:pPr/>
      <w:r>
        <w:rPr>
          <w:b/>
        </w:rPr>
        <w:t>POSSIBLE 2017:</w:t>
      </w:r>
      <w:r>
        <w:t xml:space="preserve"> Policies to support internationalization — https://openalex.org/W2775780618</w:t>
      </w:r>
    </w:p>
    <w:p>
      <w:pPr/>
      <w:r>
        <w:rPr>
          <w:b/>
        </w:rPr>
        <w:t>Shared claim-specific concepts:</w:t>
      </w:r>
      <w:r>
        <w:t xml:space="preserve"> conclusions, recommendations, internationalization, based, including; EU scope visible. This is a provisional connection, not an outcome finding.</w:t>
      </w:r>
    </w:p>
    <w:p>
      <w:pPr>
        <w:pStyle w:val="SourceNote"/>
      </w:pPr>
      <w:r>
        <w:rPr>
          <w:b/>
        </w:rPr>
        <w:t>Available abstract (not full text):</w:t>
      </w:r>
      <w:r>
        <w:t xml:space="preserve"> This paper presents practical suggestions and recommendations as to how public policy in Europe could make more of a contribution to the profitable exploitation of foreign market opportunities by Europe?s SMEs. The paper will seek to combine practical policy relevance with theoretical soundness. As such, it will present a relevant and useful example of the relationship between scientifically robust research and public policy making. In this regard, the opportunity will be taken to identify a number of relevant issues in public policy making including some conclusions drawn with respect to the extent to which policy for internationalization is evidence based, as well as aspects of internationalization policy appears to have run ahead on the scientific evidence base.</w:t>
      </w:r>
    </w:p>
    <w:p>
      <w:pPr/>
      <w:r>
        <w:rPr>
          <w:b/>
        </w:rPr>
        <w:t>POSSIBLE 2017:</w:t>
      </w:r>
      <w:r>
        <w:t xml:space="preserve"> The internationalization of CK Solar Academy to Brazil — https://openalex.org/W2626819597</w:t>
      </w:r>
    </w:p>
    <w:p>
      <w:pPr/>
      <w:r>
        <w:rPr>
          <w:b/>
        </w:rPr>
        <w:t>Shared claim-specific concepts:</w:t>
      </w:r>
      <w:r>
        <w:t xml:space="preserve"> conclusions, recommendations, internationalization, based, national, process; EU scope visible. This is a provisional connection, not an outcome finding.</w:t>
      </w:r>
    </w:p>
    <w:p>
      <w:pPr>
        <w:pStyle w:val="SourceNote"/>
      </w:pPr>
      <w:r>
        <w:rPr>
          <w:b/>
        </w:rPr>
        <w:t>Available abstract (not full text):</w:t>
      </w:r>
      <w:r>
        <w:t xml:space="preserve"> Nowadays, more firms tend to explore the off-borders market to fight the stress of the competition in the national market. Moreover, most of the firms see this chance as an opportunity to provide the foreign market what it lacks. In such context, this report examines the possibility of the internationalization of CK Solar Academy to Brazil, more specifically to the city of S. Paulo. The present work describes the activities developed during the curricular internship in CRITICAL KINETICS, Unip. Lda., located in Torres Novas. This company works in the renewable energies’ market, more specifically in the supply and installation of photovoltaic equipment, directed for own-consumption. The company has several sections, each being responsible for a renewable energies’ market branch. The section studied in this report is responsible for training professionals to be able to install and work with this specific equipment. This section of the company has a varied range of courses in the photovoltaic area taught throughout the Portuguese country. The developed work intended to increase the number of markets in which the company operates, aiming for markets that lack in training courses as wide and complete as those offered by CK Solar Academy. Therefore, and taking into consideration the expressed need of the company to search for one Portuguese-speaking market to implement the internation</w:t>
      </w:r>
    </w:p>
    <w:p>
      <w:pPr/>
      <w:r>
        <w:rPr>
          <w:b/>
        </w:rPr>
        <w:t>POSSIBLE 2017:</w:t>
      </w:r>
      <w:r>
        <w:t xml:space="preserve"> Network embeddedness in the internationalization of biotechnology entrepreneurs — https://doi.org/10.1080/08985626.2017.1408697</w:t>
      </w:r>
    </w:p>
    <w:p>
      <w:pPr/>
      <w:r>
        <w:rPr>
          <w:b/>
        </w:rPr>
        <w:t>Shared claim-specific concepts:</w:t>
      </w:r>
      <w:r>
        <w:t xml:space="preserve"> internationalization, national, among, international; EU scope visible. This is a provisional connection, not an outcome finding.</w:t>
      </w:r>
    </w:p>
    <w:p>
      <w:pPr>
        <w:pStyle w:val="SourceNote"/>
      </w:pPr>
      <w:r>
        <w:rPr>
          <w:b/>
        </w:rPr>
        <w:t>Available abstract (not full text):</w:t>
      </w:r>
      <w:r>
        <w:t xml:space="preserve"> This study investigates how entrepreneurs of biotech enterprises embed in domestic and international networks so as to internationalize. We advance a contextual framework of embeddedness of internationalizing entrepreneurs, providing a contribution (i) by synthesizing and applying existing conceptual insights from the networking literature to provide a more culturally sensitive view of getting embedded for international entrepreneurship in the biotech industry and (ii) by adding insights into the practices and (micro)processes of how and in what ways embeddedness integrates with the internationalization of biotech entrepreneurs. Our study involves six entrepreneurs from Canada, Finland, and New Zealand. Context-specific embeddedness was studied by exploring the (i) type, (ii) strength, (iii) locality, and (iv) importance of the international and national network ties among internationalizing entrepreneurs. We found differences in relation to the locality of universities and research institutes, role and type of financiers, and customer focus in internationalization. For instance, while customers were central to the embeddedness of Canadian and New Zealand entrepreneurs, Finnish entrepreneurs had no focus on their customers, but acted solely through sales channels and partners. The customer focus of New Zealand entrepreneurs was mainly international, whereas it was domestic in t</w:t>
      </w:r>
    </w:p>
    <w:p>
      <w:pPr>
        <w:pStyle w:val="Heading2"/>
      </w:pPr>
      <w:r>
        <w:t>839.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2022:</w:t>
      </w:r>
      <w:r>
        <w:t xml:space="preserve"> Persécution des juifs et espace urbain — https://doi.org/10.3917/rhu.062.0081</w:t>
      </w:r>
    </w:p>
    <w:p>
      <w:pPr/>
      <w:r>
        <w:rPr>
          <w:b/>
        </w:rPr>
        <w:t>Shared claim-specific concepts:</w:t>
      </w:r>
      <w:r>
        <w:t xml:space="preserve"> les, pour, une, article; EU scope not established. This is a provisional connection, not an outcome finding.</w:t>
      </w:r>
    </w:p>
    <w:p>
      <w:pPr>
        <w:pStyle w:val="SourceNote"/>
      </w:pPr>
      <w:r>
        <w:rPr>
          <w:b/>
        </w:rPr>
        <w:t>Available abstract (not full text):</w:t>
      </w:r>
      <w:r>
        <w:t xml:space="preserve">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pPr/>
      <w:r>
        <w:rPr>
          <w:b/>
        </w:rPr>
        <w:t>POSSIBLE 2022:</w:t>
      </w:r>
      <w:r>
        <w:t xml:space="preserve"> The public stigma of facial disfigurement : investigating the relationships between visual attention, affective reactions and dehumanization — https://openalex.org/W7214250308</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pPr/>
      <w:r>
        <w:rPr>
          <w:b/>
        </w:rPr>
        <w:t>POSSIBLE 2022:</w:t>
      </w:r>
      <w:r>
        <w:t xml:space="preserve"> Faire diaspora en ville, XIII e -XIX e siècle — https://doi.org/10.3917/rhu.064.0097</w:t>
      </w:r>
    </w:p>
    <w:p>
      <w:pPr/>
      <w:r>
        <w:rPr>
          <w:b/>
        </w:rPr>
        <w:t>Shared claim-specific concepts:</w:t>
      </w:r>
      <w:r>
        <w:t xml:space="preserve"> les, effets, pour, une, cet, article; EU scope not established. This is a provisional connection, not an outcome finding.</w:t>
      </w:r>
    </w:p>
    <w:p>
      <w:pPr>
        <w:pStyle w:val="SourceNote"/>
      </w:pPr>
      <w:r>
        <w:rPr>
          <w:b/>
        </w:rPr>
        <w:t>Available abstract (not full text):</w:t>
      </w:r>
      <w:r>
        <w:t xml:space="preserve">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pPr/>
      <w:r>
        <w:rPr>
          <w:b/>
        </w:rPr>
        <w:t>POSSIBLE 2022:</w:t>
      </w:r>
      <w:r>
        <w:t xml:space="preserve"> Des albums plurilingues à l’école pour les lecteurs… plurilingues ? — https://doi.org/10.63723/publije.202110161</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pPr/>
      <w:r>
        <w:rPr>
          <w:b/>
        </w:rPr>
        <w:t>POSSIBLE 2022:</w:t>
      </w:r>
      <w:r>
        <w:t xml:space="preserve"> Un virus mis en scène par son vaccin ? La prise en charge du HPV et des pathologies associées en belgique — https://doi.org/10.1684/sss.2021.0211</w:t>
      </w:r>
    </w:p>
    <w:p>
      <w:pPr/>
      <w:r>
        <w:rPr>
          <w:b/>
        </w:rPr>
        <w:t>Shared claim-specific concepts:</w:t>
      </w:r>
      <w:r>
        <w:t xml:space="preserve"> les, une, vers, cet, article; EU scope not established. This is a provisional connection, not an outcome finding.</w:t>
      </w:r>
    </w:p>
    <w:p>
      <w:pPr>
        <w:pStyle w:val="SourceNote"/>
      </w:pPr>
      <w:r>
        <w:rPr>
          <w:b/>
        </w:rPr>
        <w:t>Available abstract (not full text):</w:t>
      </w:r>
      <w:r>
        <w:t xml:space="preserve"> Cet article s’intéresse à la mise en place de la détection du papillomavirus humain (HPV) et aux conséquences qui en découlent en Belgique. L’établissement de technologies de détection et de prévention contre le cancer du col de l’utérus et l’agent infectieux – le HPV – ont redéfini les contours d’un problème de santé publique. La systématisation du test HPV en lien avec l’arrivée des vaccins témoigne du glissement de la prise en charge du cancer du col à la prévention du virus. Alors que le frottis utérin permet de détecter le cancer et des lésions précancéreuses, l’utilisation des vaccins anti-HPV est un pas vers une étape de prévention plus précoce qui induit des conséquences sanitaires et sociales. La compréhension de ce qui fait « pathologie » ou de ce qui peut être désigné comme « normal » s’est modifiée ignorant parfois certaines populations ou au contraire élargissant les caractéristiques des populations dites « à risque ». L’attention ou l’absence d’importance donnée à certains organes et populations laisse à voir des normes autour de la sexualité et du genre et contribue à construire des identités sexuelles et de genre affectées par certaines maladies – les hommes homosexuels par le cancer de l’anus et les femmes par le cancer du col utérin – alors que d’autres cancers comme celui de l’oropharynx sont semblablement présents. Parallèlement, bien que les inégalités soci</w:t>
      </w:r>
    </w:p>
    <w:p>
      <w:pPr/>
      <w:r>
        <w:rPr>
          <w:b/>
        </w:rPr>
        <w:t>POSSIBLE 2021:</w:t>
      </w:r>
      <w:r>
        <w:t xml:space="preserve"> Neuro-socio-cognitive approach of social perception : new perspectives for disability studies — https://openalex.org/W7214254807</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Approche neuro-socio-cognitive de la perception sociale : nouvelles perspectives pour la recherche sur le handicap — https://doi.org/10.70675/71d44d6az4a73z4885zb629za45d7782d05d</w:t>
      </w:r>
    </w:p>
    <w:p>
      <w:pPr/>
      <w:r>
        <w:rPr>
          <w:b/>
        </w:rPr>
        <w:t>Shared claim-specific concepts:</w:t>
      </w:r>
      <w:r>
        <w:t xml:space="preserve"> les, pour, une, mesure; EU scope not established. This is a provisional connection, not an outcome finding.</w:t>
      </w:r>
    </w:p>
    <w:p>
      <w:pPr>
        <w:pStyle w:val="SourceNote"/>
      </w:pPr>
      <w:r>
        <w:rPr>
          <w:b/>
        </w:rPr>
        <w:t>Available abstract (not full text):</w:t>
      </w:r>
      <w:r>
        <w:t xml:space="preserve">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pPr/>
      <w:r>
        <w:rPr>
          <w:b/>
        </w:rPr>
        <w:t>POSSIBLE 2021:</w:t>
      </w:r>
      <w:r>
        <w:t xml:space="preserve"> Régulation et politique de la concurrence à l'ère numérique : essais en économie industrielle — https://doi.org/10.70675/bff4f604z556ez4d9dza30az2bd8c79f106c</w:t>
      </w:r>
    </w:p>
    <w:p>
      <w:pPr/>
      <w:r>
        <w:rPr>
          <w:b/>
        </w:rPr>
        <w:t>Shared claim-specific concepts:</w:t>
      </w:r>
      <w:r>
        <w:t xml:space="preserve"> tudie, les, effets, pour, une, conomie; EU scope not established. This is a provisional connection, not an outcome finding.</w:t>
      </w:r>
    </w:p>
    <w:p>
      <w:pPr>
        <w:pStyle w:val="SourceNote"/>
      </w:pPr>
      <w:r>
        <w:rPr>
          <w:b/>
        </w:rPr>
        <w:t>Available abstract (not full text):</w:t>
      </w:r>
      <w:r>
        <w:t xml:space="preserve"> Cette thèse aborde deux enjeux auxquels les régulateurs doivent faire face dans l’économie numérique : le défi informationnel généré par l'utilisation de nouvelles technologies d'intelligence artificielle et la problématique du pouvoir de marché des grandes plateformes numériques. Le premier chapitre de cette thèse étudie la mise en place d’un système d’audit (coûteux et imparfait) par un régulateur cherchant à réduire le risque de dommage généré par les technologies d’intelligence artificielle, tout en limitant le coût de la régulation. Les entreprises peuvent investir dans l'explicabilité de leurs technologies pour mieux comprendre leurs algorithmes et réduire leur coût de conformité à la réglementation. Lorsque l’explicabilité n’affecte pas l’efficacité des audits, la prise en compte du niveau d'explicabilité de la technologie dans la politique d’audit du régulateur induit davantage d'investissement en explicabilité et une conformité plus forte de la part des entreprises en comparaison d’une politique neutre à l’explicabilité. Si, au contraire, l'explicabilité facilite la détection d'une mauvaise conduite par le régulateur, les entreprises peuvent s’engager dans une stratégie d’opacification de leur technologie. Un comportement opportuniste de la part du régulateur décourage l'investissement dans l'explicabilité. Pour promouvoir l'explicabilité et la conformité, il peut être</w:t>
      </w:r>
    </w:p>
    <w:p>
      <w:pPr/>
      <w:r>
        <w:rPr>
          <w:b/>
        </w:rPr>
        <w:t>POSSIBLE 2019:</w:t>
      </w:r>
      <w:r>
        <w:t xml:space="preserve"> Dans les coulisses de la gestion de l’épidémie Ebola en Afrique de l’Ouest (2014-2016) : l’ère de l’« OMSF » — https://doi.org/10.3917/sss.372.0039</w:t>
      </w:r>
    </w:p>
    <w:p>
      <w:pPr/>
      <w:r>
        <w:rPr>
          <w:b/>
        </w:rPr>
        <w:t>Shared claim-specific concepts:</w:t>
      </w:r>
      <w:r>
        <w:t xml:space="preserve"> les, pour, une, cet, article; EU scope not established. This is a provisional connection, not an outcome finding.</w:t>
      </w:r>
    </w:p>
    <w:p>
      <w:pPr>
        <w:pStyle w:val="SourceNote"/>
      </w:pPr>
      <w:r>
        <w:rPr>
          <w:b/>
        </w:rPr>
        <w:t>Available abstract (not full text):</w:t>
      </w:r>
      <w:r>
        <w:t xml:space="preserve"> Résumé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 (OMS)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et véhiculent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w:t>
      </w:r>
    </w:p>
    <w:p>
      <w:pPr/>
      <w:r>
        <w:rPr>
          <w:b/>
        </w:rPr>
        <w:t>POSSIBLE 2019:</w:t>
      </w:r>
      <w:r>
        <w:t xml:space="preserve"> Dans les coulisses de la gestion de l’épidémie Ebola en Afrique de l’Ouest (2014-2016) : l’ère de l’« OMSF » — https://doi.org/10.1684/sss.2019.0139</w:t>
      </w:r>
    </w:p>
    <w:p>
      <w:pPr/>
      <w:r>
        <w:rPr>
          <w:b/>
        </w:rPr>
        <w:t>Shared claim-specific concepts:</w:t>
      </w:r>
      <w:r>
        <w:t xml:space="preserve"> les, pour, une, cet, article; EU scope not established. This is a provisional connection, not an outcome finding.</w:t>
      </w:r>
    </w:p>
    <w:p>
      <w:pPr>
        <w:pStyle w:val="SourceNote"/>
      </w:pPr>
      <w:r>
        <w:rPr>
          <w:b/>
        </w:rPr>
        <w:t>Available abstract (not full text):</w:t>
      </w:r>
      <w:r>
        <w:t xml:space="preserve">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des anthropologues sembl</w:t>
      </w:r>
    </w:p>
    <w:p>
      <w:pPr/>
      <w:r>
        <w:rPr>
          <w:b/>
        </w:rPr>
        <w:t>POSSIBLE 2019:</w:t>
      </w:r>
      <w:r>
        <w:t xml:space="preserve"> Essays in industrial organization : competition and regulation in network industries — https://doi.org/10.70675/4dbdf65ezf0cez4968zbc9cz5bb6629ecaf3</w:t>
      </w:r>
    </w:p>
    <w:p>
      <w:pPr/>
      <w:r>
        <w:rPr>
          <w:b/>
        </w:rPr>
        <w:t>Shared claim-specific concepts:</w:t>
      </w:r>
      <w:r>
        <w:t xml:space="preserve"> second; EU scope not established. This is a provisional connection, not an outcome finding.</w:t>
      </w:r>
    </w:p>
    <w:p>
      <w:pPr>
        <w:pStyle w:val="SourceNote"/>
      </w:pPr>
      <w:r>
        <w:rPr>
          <w:b/>
        </w:rPr>
        <w:t>Available abstract (not full text):</w:t>
      </w:r>
      <w:r>
        <w:t xml:space="preserve"> In the first chapter of the thesis, I study how merger policy affects the choice between in-market and cross-border merging. An insight of the first chapter is that the merger policy should consider subsequent mergers triggered by an initial decision to merge, which here corresponds to the scenario of an exit-by-merger after a failed cross-border merger. In the second chapter of the thesis, I examine the impact of competition between a private firm and public firms on prices and investment in new infrastructures. An insight from this analysis is that due to distinct objective functions, the private firm charges the monopoly price when it is a monopoly, while the national public firm charges a price such that it cross-subsidizes between low-cost and high-cost areas. Local public firms charge prices contingent on the investment cost in their own area. In monopoly, the national public has the largest coverage, whereas the local public firms cover the same areas as the private firm. In mixed duopoly, prices are strategic complements for the private firm and are strategic substitutes for public firms. Competition leads the private firm to set lower prices, while public firms may charge higher prices. In the third chapter of the thesis, I investigate the impact of competition between two firms in prices and information disclosure levels. In a two-sided market, there are consumers on </w:t>
      </w:r>
    </w:p>
    <w:p>
      <w:pPr>
        <w:pStyle w:val="Heading2"/>
      </w:pPr>
      <w:r>
        <w:t>840.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2024:</w:t>
      </w:r>
      <w:r>
        <w:t xml:space="preserve"> Machine learning for efficient segregation and labeling of potential biological sounds in long-term underwater recordings — https://doi.org/10.3389/frsen.2024.1390687</w:t>
      </w:r>
    </w:p>
    <w:p>
      <w:pPr/>
      <w:r>
        <w:rPr>
          <w:b/>
        </w:rPr>
        <w:t>Shared claim-specific concepts:</w:t>
      </w:r>
      <w:r>
        <w:t xml:space="preserve"> long-term, biological, provide, data, however; EU scope visible. This is a provisional connection, not an outcome finding.</w:t>
      </w:r>
    </w:p>
    <w:p>
      <w:pPr>
        <w:pStyle w:val="SourceNote"/>
      </w:pPr>
      <w:r>
        <w:rPr>
          <w:b/>
        </w:rPr>
        <w:t>Available abstract (not full text):</w:t>
      </w:r>
      <w:r>
        <w:t xml:space="preserve">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pPr/>
      <w:r>
        <w:rPr>
          <w:b/>
        </w:rPr>
        <w:t>POSSIBLE 2024:</w:t>
      </w:r>
      <w:r>
        <w:t xml:space="preserve"> Toward DNA-Based Recording of Biological Processes — https://doi.org/10.3390/ijms25179233</w:t>
      </w:r>
    </w:p>
    <w:p>
      <w:pPr/>
      <w:r>
        <w:rPr>
          <w:b/>
        </w:rPr>
        <w:t>Shared claim-specific concepts:</w:t>
      </w:r>
      <w:r>
        <w:t xml:space="preserve"> biological, recording, data; EU scope not established. This is a provisional connection, not an outcome finding.</w:t>
      </w:r>
    </w:p>
    <w:p>
      <w:pPr>
        <w:pStyle w:val="SourceNote"/>
      </w:pPr>
      <w:r>
        <w:rPr>
          <w:b/>
        </w:rPr>
        <w:t>Available abstract (not full text):</w:t>
      </w:r>
      <w:r>
        <w:t xml:space="preserve"> Exploiting the inherent compatibility of DNA-based data storage with living cells, various cellular recording approaches have been developed for recording and retrieving biologically relevant signals in otherwise inaccessible locations, such as inside the body. This review provides an overview of the current state of engineered cellular memory systems, highlighting their design principles, advantages, and limitations. We examine various technologies, including CRISPR-Cas systems, recombinases, retrons, and DNA methylation, that enable these recording systems. Additionally, we discuss potential strategies for improving recording accuracy, scalability, and durability to address current limitations in the field. This emerging modality of biological measurement will be key to gaining novel insights into diverse biological processes and fostering the development of various biotechnological applications, from environmental sensing to disease monitoring and beyond.</w:t>
      </w:r>
    </w:p>
    <w:p>
      <w:pPr/>
      <w:r>
        <w:rPr>
          <w:b/>
        </w:rPr>
        <w:t>POSSIBLE 2024:</w:t>
      </w:r>
      <w:r>
        <w:t xml:space="preserve"> Acute to long-term characteristics of impedance recordings during neurostimulation in humans — https://doi.org/10.1088/1741-2552/ad3416</w:t>
      </w:r>
    </w:p>
    <w:p>
      <w:pPr/>
      <w:r>
        <w:rPr>
          <w:b/>
        </w:rPr>
        <w:t>Shared claim-specific concepts:</w:t>
      </w:r>
      <w:r>
        <w:t xml:space="preserve"> long-term, biological, recording, data, other; EU scope not established. This is a provisional connection, not an outcome finding.</w:t>
      </w:r>
    </w:p>
    <w:p>
      <w:pPr>
        <w:pStyle w:val="SourceNote"/>
      </w:pPr>
      <w:r>
        <w:rPr>
          <w:b/>
        </w:rPr>
        <w:t>Available abstract (not full text):</w:t>
      </w:r>
      <w:r>
        <w:t xml:space="preserve"> Objective: This study aims to characterize the time course of impedance, a crucial electrophysiological property of brain tissue, in the human thalamus (THL), amygdala-hippocampus (AMG-HPC), and posterior hippocampus (post-HPC) over an extended period. Approach: Impedance was periodically sampled every 5-15 minutes over several months in five subjects with drug-resistant epilepsy using an experimental neuromodulation device. Initially, we employed descriptive piecewise and continuous mathematical models to characterize the impedance response for approximately three weeks post-electrode implantation. We then explored the temporal dynamics of impedance during periods when electrical stimulation was temporarily halted, observing a monotonic increase (rebound) in impedance before it stabilized at a higher value. Lastly, we assessed the stability of amplitude and phase over the 24-hour impedance cycle throughout the multi-month recording. Main results: Immediately post-implantation, the impedance decreased, reaching a minimum value in all brain regions within approximately two days, and then increased monotonically over about 14 days to a stable value. The models accounted for the variance in short-term impedance changes. Notably, the minimum impedance of the THL in the most epileptogenic hemisphere was significantly lower than in other regions. During the gaps in electrical stimula</w:t>
      </w:r>
    </w:p>
    <w:p>
      <w:pPr/>
      <w:r>
        <w:rPr>
          <w:b/>
        </w:rPr>
        <w:t>POSSIBLE 2022:</w:t>
      </w:r>
      <w:r>
        <w:t xml:space="preserve"> Long-term SCN calcium signal recording in freely moving mice — https://doi.org/10.1016/j.xpro.2022.101547</w:t>
      </w:r>
    </w:p>
    <w:p>
      <w:pPr/>
      <w:r>
        <w:rPr>
          <w:b/>
        </w:rPr>
        <w:t>Shared claim-specific concepts:</w:t>
      </w:r>
      <w:r>
        <w:t xml:space="preserve"> long-term, biological, recording, provide; EU scope not established. This is a provisional connection, not an outcome finding.</w:t>
      </w:r>
    </w:p>
    <w:p>
      <w:pPr>
        <w:pStyle w:val="SourceNote"/>
      </w:pPr>
      <w:r>
        <w:rPr>
          <w:b/>
        </w:rPr>
        <w:t>Available abstract (not full text):</w:t>
      </w:r>
      <w:r>
        <w:t xml:space="preserve"> The suprachiasmatic nucleus (SCN) is the master circadian pacemaker of the mammalian biological clock. Here, we provide a detailed protocol for long-term recording of calcium signals in SCN neurons of freely moving mice through a multichannel optical fiber recording system. This system can simultaneously collect calcium signals from up to seven animals. The calcium signals can be visualized by the appropriate software and code. This protocol can be used to explore the long-term response of SCN to external environmental stimulation. For complete details on the use and execution of this protocol, please refer to Zhai et al. (2022).</w:t>
      </w:r>
    </w:p>
    <w:p>
      <w:pPr/>
      <w:r>
        <w:rPr>
          <w:b/>
        </w:rPr>
        <w:t>POSSIBLE 2022:</w:t>
      </w:r>
      <w:r>
        <w:t xml:space="preserve"> 3D Bioelectronics with a Remodellable Matrix for Long‐Term Tissue Integration and Recording — https://doi.org/10.1002/adma.202207847</w:t>
      </w:r>
    </w:p>
    <w:p>
      <w:pPr/>
      <w:r>
        <w:rPr>
          <w:b/>
        </w:rPr>
        <w:t>Shared claim-specific concepts:</w:t>
      </w:r>
      <w:r>
        <w:t xml:space="preserve"> long-term, recording, however; EU scope not established. This is a provisional connection, not an outcome finding.</w:t>
      </w:r>
    </w:p>
    <w:p>
      <w:pPr>
        <w:pStyle w:val="SourceNote"/>
      </w:pPr>
      <w:r>
        <w:rPr>
          <w:b/>
        </w:rPr>
        <w:t>Available abstract (not full text):</w:t>
      </w:r>
      <w:r>
        <w:t xml:space="preserve"> Bioelectronics hold the key for understanding and treating disease. However, achieving stable, long-term interfaces between electronics and the body remains a challenge. Implantation of a bioelectronic device typically initiates a foreign body response, which can limit long-term recording and stimulation efficacy. Techniques from regenerative medicine have shown a high propensity for promoting integration of implants with surrounding tissue, but these implants lack the capabilities for the sophisticated recording and actuation afforded by electronics. Combining these two fields can achieve the best of both worlds. Here, the construction of a hybrid implant system for creating long-term interfaces with tissue is shown. Implants are created by combining a microelectrode array with a bioresorbable and remodellable gel. These implants are shown to produce a minimal foreign body response when placed into musculature, allowing one to record long-term electromyographic signals with high spatial resolution. This device platform drives the possibility for a new generation of implantable electronics for long-term interfacing.</w:t>
      </w:r>
    </w:p>
    <w:p>
      <w:pPr/>
      <w:r>
        <w:rPr>
          <w:b/>
        </w:rPr>
        <w:t>POSSIBLE 2022:</w:t>
      </w:r>
      <w:r>
        <w:t xml:space="preserve"> Open set classification strategies for long-term environmental field recordings for bird species recognition — https://doi.org/10.1121/10.0011466</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Deep learning is one established tool for carrying out classification tasks on complex, multi-dimensional data. Since audio recordings contain a frequency and temporal component, long-term monitoring of bioacoustics recordings is made more feasible with these computational frameworks. Unfortunately, these neural networks are rarely designed for the task of open set classification in which examples belonging to the training classes must not only be correctly classified but also crucially separated from any spurious or unknown classes. To combat this reliance on closed set classifiers which are singularly inappropriate for monitoring applications in which many non-relevant sounds are likely to be encountered, the performance of several open set classification frameworks is compared on environmental audio datasets recorded and published within this work, containing both biological and anthropogenic sounds. The inference-based open set classification techniques include prediction score thresholding, distance-based thresholding, and OpenMax. Each open set classification technique is evaluated under multi-, single-, and cross-corpus scenarios for two different types of unknown data, configured to highlight common challenges inherent to real-world classification tasks. The performance of each method is highly dependent upon the degree of similarity between the training, testing, and u</w:t>
      </w:r>
    </w:p>
    <w:p>
      <w:pPr/>
      <w:r>
        <w:rPr>
          <w:b/>
        </w:rPr>
        <w:t>POSSIBLE 2021:</w:t>
      </w:r>
      <w:r>
        <w:t xml:space="preserve"> Long-term in-vivo recording performance of flexible penetrating microelectrode arrays — https://doi.org/10.1088/1741-2552/ac3656</w:t>
      </w:r>
    </w:p>
    <w:p>
      <w:pPr/>
      <w:r>
        <w:rPr>
          <w:b/>
        </w:rPr>
        <w:t>Shared claim-specific concepts:</w:t>
      </w:r>
      <w:r>
        <w:t xml:space="preserve"> long-term, biological, recording, often, because, other; EU scope not established. This is a provisional connection, not an outcome finding.</w:t>
      </w:r>
    </w:p>
    <w:p>
      <w:pPr>
        <w:pStyle w:val="SourceNote"/>
      </w:pPr>
      <w:r>
        <w:rPr>
          <w:b/>
        </w:rPr>
        <w:t>Available abstract (not full text):</w:t>
      </w:r>
      <w:r>
        <w:t xml:space="preserve"> Abstract Objective. Neural interfaces are an essential tool to enable the human body to directly communicate with machines such as computers or prosthetic robotic arms. Since invasive electrodes can be located closer to target neurons, they have advantages such as precision in stimulation and high signal-to-noise ratio (SNR) in recording, while they often exhibit unstable performance in long-term in-vivo implantation because of the tissue damage caused by the electrodes insertion. In the present study, we investigated the electrical functionality of flexible penetrating microelectrode arrays (FPMAs) up to 3 months in in-vivo conditions. Approach. The in-vivo experiment was performed by implanting FPMAs in five rats. The in-vivo impedance as well as the action potential (AP) amplitude and SNR were analyzed over weeks. Additionally, APs were tracked over time to investigate the possibility of single neuron recording. Main results. It was observed that the FPMAs exhibited dramatic increases in impedance for the first 4 weeks after implantation, accompanied by decreases in AP amplitude. However, the increase/decrease in AP amplitude was always accompanied by the increase/decrease in background noise, resulting in quite consistently maintained SNRs. After 4 weeks of implantation, we observed two distinctive issues regarding long-term implantation, each caused by chronic tissue respo</w:t>
      </w:r>
    </w:p>
    <w:p>
      <w:pPr/>
      <w:r>
        <w:rPr>
          <w:b/>
        </w:rPr>
        <w:t>POSSIBLE 2020:</w:t>
      </w:r>
      <w:r>
        <w:t xml:space="preserve"> Long-Term Rewritable Report and Recording of Environmental Stimuli in Engineered Bacterial Populations — https://doi.org/10.1021/acssynbio.0c00193</w:t>
      </w:r>
    </w:p>
    <w:p>
      <w:pPr/>
      <w:r>
        <w:rPr>
          <w:b/>
        </w:rPr>
        <w:t>Shared claim-specific concepts:</w:t>
      </w:r>
      <w:r>
        <w:t xml:space="preserve"> long-term, biological, recording, capture, other, however; EU scope not established. This is a provisional connection, not an outcome finding.</w:t>
      </w:r>
    </w:p>
    <w:p>
      <w:pPr>
        <w:pStyle w:val="SourceNote"/>
      </w:pPr>
      <w:r>
        <w:rPr>
          <w:b/>
        </w:rPr>
        <w:t>Available abstract (not full text):</w:t>
      </w:r>
      <w:r>
        <w:t xml:space="preserve"> DNA writing (living sensing recorders) based whole-cell biosensors can capture transient signals and then convert them into readable genomic DNA changes. The primitive signals can be easily obtained by sequencing technology or analysis of protein activity (such as fluorescent protein). However, the functions of the current living sensing recorders still need to be expanded, and the difficulty of rewriting in complex biological environments has further limited their applications. In this study, we designed a long-term rewritable recording system using a CRISPR base editor-based synthetic genetic circuit, named CRISPR-istop. This system can convert stimuli into changes in the fluorescence intensity (reporter) and single-base mutations in genomic DNA (recording). Furthermore, we updated the biological circuit through the strategy of coupling the single-base mutation (record site) and the loss-of-function of the targeted protein (translation stopped by stop codon introduction), and we can remove edited bacteria from a population through selective sweeps upon applying a selective pressure. It successfully conducted the rewritable reporter and recording of the nutrient arabinose and pollutant arsenite with two rounds of continuous operation (10 passages/round, 12 h/passage). These observations indicated that the CRISPR-istop system can report and record stimuli over time; moreover, t</w:t>
      </w:r>
    </w:p>
    <w:p>
      <w:pPr/>
      <w:r>
        <w:rPr>
          <w:b/>
        </w:rPr>
        <w:t>POSSIBLE 2020:</w:t>
      </w:r>
      <w:r>
        <w:t xml:space="preserve"> Does Citizen Science Biological Recording Tell Us As Much About The Recorders As Biodiversity? — https://doi.org/10.31219/osf.io/bsye5</w:t>
      </w:r>
    </w:p>
    <w:p>
      <w:pPr/>
      <w:r>
        <w:rPr>
          <w:b/>
        </w:rPr>
        <w:t>Shared claim-specific concepts:</w:t>
      </w:r>
      <w:r>
        <w:t xml:space="preserve"> biological, recording, however; EU scope not established. This is a provisional connection, not an outcome finding.</w:t>
      </w:r>
    </w:p>
    <w:p>
      <w:pPr>
        <w:pStyle w:val="SourceNote"/>
      </w:pPr>
      <w:r>
        <w:rPr>
          <w:b/>
        </w:rPr>
        <w:t>Available abstract (not full text):</w:t>
      </w:r>
      <w:r>
        <w:t xml:space="preserve"> There is growing body of evidence that a connection to nature is important at both an individual emotional level, and for the development of societal attitudes that rank conservation issues as important, however, there is widespread loss of this connection in modern lifestyles. The recruitment of community stakeholders into Citizen Science biodiversity projects is one mechanism that may help to restore that connection, while at the same time providing outcomes of scientific value. However, the narrative describing such projects tends to use a fundamentally Apollonian view of science, which casts the researcher as an impartial observer and operates within a carefully designed methodology to guide the contributions from volunteer stakeholders. While this is a convenient model for formally reporting scientific outcomes, it masks individual immersive engagement.</w:t>
      </w:r>
    </w:p>
    <w:p>
      <w:pPr>
        <w:pStyle w:val="Heading2"/>
      </w:pPr>
      <w:r>
        <w:t>841.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2016:</w:t>
      </w:r>
      <w:r>
        <w:t xml:space="preserve"> Brexit and Europe. A Commentary — https://doi.org/10.1515/soeu-2016-0031</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The Brexit vote was not simply a rejection of the European Union but also of a politics based on calculated self-interest or reasoned idealism. The author outlines how the referendum came about, provides crucial background information, and analyses its results. The reasons for the success of the Leave campaign are concisely presented, including the role of parties other than the Labour and Tory parties and that of the media in promoting, instead of critically assessing, a campaign characterized by exaggerated, even false claims. In his outlook towards the future, the author focuses on the UK/EU relationship and the internal constitutional crisis the Brexit vote has created and the dangers these pose for (further) destabilisation both of Britain and Europe.</w:t>
      </w:r>
    </w:p>
    <w:p>
      <w:pPr/>
      <w:r>
        <w:rPr>
          <w:b/>
        </w:rPr>
        <w:t>POSSIBLE 2016:</w:t>
      </w:r>
      <w:r>
        <w:t xml:space="preserve"> Applied Anthropology in Europe — https://doi.org/10.3167/aia.2016.230208</w:t>
      </w:r>
    </w:p>
    <w:p>
      <w:pPr/>
      <w:r>
        <w:rPr>
          <w:b/>
        </w:rPr>
        <w:t>Shared claim-specific concepts:</w:t>
      </w:r>
      <w:r>
        <w:t xml:space="preserve"> abstract, outlines, importance; EU scope visible. This is a provisional connection, not an outcome finding.</w:t>
      </w:r>
    </w:p>
    <w:p>
      <w:pPr>
        <w:pStyle w:val="SourceNote"/>
      </w:pPr>
      <w:r>
        <w:rPr>
          <w:b/>
        </w:rPr>
        <w:t>Available abstract (not full text):</w:t>
      </w:r>
      <w:r>
        <w:t xml:space="preserve"> Abstract The article presents the state of applied anthropology in Europe, in particular focusing on the application of anthropological knowledge and skills within the private sector. Firstly, the text depicts the historical context, which has had a strong and often negative impact on the developments in contemporary applied anthropology and specifically on applying anthropology in for-profit endeavours. It then provides an overview of this type of applied anthropology in Europe by identifying its main institutions and individuals. Building on this analysis, the article elaborates on extant challenges for its future development, and outlines the most promising solutions. The authors conclude that it is of crucial importance for European anthropology to make the transition ‘from words to actions’, especially in the areas not traditionally addressed by anthropologists, such as business and design anthropology or consultancy work in the private sector. While the discipline has a longer applied history in areas such as development, human rights and multiculturalism, few anthropologists have played significant roles in the efforts usually associated with the private sector. It is argued that anthropology should – also outside the non-profit and non-governmental sectors – shift from being a descriptive, hermeneutical and interpretative branch of social sciences describing and explain</w:t>
      </w:r>
    </w:p>
    <w:p>
      <w:pPr>
        <w:pStyle w:val="Heading2"/>
      </w:pPr>
      <w:r>
        <w:t>842.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2023:</w:t>
      </w:r>
      <w:r>
        <w:t xml:space="preserve"> Examining the Role of Motivation Cues from Narratives in Online Time Bank Participating Decisions — https://doi.org/10.21203/rs.3.rs-2694840/v1</w:t>
      </w:r>
    </w:p>
    <w:p>
      <w:pPr/>
      <w:r>
        <w:rPr>
          <w:b/>
        </w:rPr>
        <w:t>Shared claim-specific concepts:</w:t>
      </w:r>
      <w:r>
        <w:t xml:space="preserve"> time, banks, value; EU scope not established. This is a provisional connection, not an outcome finding.</w:t>
      </w:r>
    </w:p>
    <w:p>
      <w:pPr>
        <w:pStyle w:val="SourceNote"/>
      </w:pPr>
      <w:r>
        <w:rPr>
          <w:b/>
        </w:rPr>
        <w:t>Available abstract (not full text):</w:t>
      </w:r>
      <w:r>
        <w:t xml:space="preserve">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pPr/>
      <w:r>
        <w:rPr>
          <w:b/>
        </w:rPr>
        <w:t>POSSIBLE 2022:</w:t>
      </w:r>
      <w:r>
        <w:t xml:space="preserve"> Research on Time Bank Mutual Pension Model under the Background of Aging Population — https://doi.org/10.54097/fbem.v6i3.3312</w:t>
      </w:r>
    </w:p>
    <w:p>
      <w:pPr/>
      <w:r>
        <w:rPr>
          <w:b/>
        </w:rPr>
        <w:t>Shared claim-specific concepts:</w:t>
      </w:r>
      <w:r>
        <w:t xml:space="preserve"> time, value, people; EU scope not established. This is a provisional connection, not an outcome finding.</w:t>
      </w:r>
    </w:p>
    <w:p>
      <w:pPr>
        <w:pStyle w:val="SourceNote"/>
      </w:pPr>
      <w:r>
        <w:rPr>
          <w:b/>
        </w:rPr>
        <w:t>Available abstract (not full text):</w:t>
      </w:r>
      <w:r>
        <w:t xml:space="preserve"> With the aging of the population,the-age security of low-income urban and rural resident,who account for about 70% of china’s total population,has become an important issue related to the national economy and people’s livelihood,and also a short board to be solved urgently in building a socialist modernization power[1].Mutual support for the aged is a new pension model that transcends the blood relationship, can assist the family to provide for the aged, and solve the pension problem with the help of social forces. In this model, the concept of "time money" is introduced and merged into a brand-new mutual support model "Time Bank". China's "Time Bank" mechanism is still in the development stage, and there are still some problems from the current operation of this new pension model in China. In order to promote the extensive development of Time Bank, this paper makes a theoretical analysis on the conversion of time currency value, withdrawal and deposit, the conversion of labor value and time currency value in Time Bank, and the inheritance of time currency savings, so as to create an all-round, wide-area, multi-level and integrated old-age service ecology, create a service-oriented old-age model with China characteristics, and contribute to China's wisdom and China's plan for solving the world's old-age problems.</w:t>
      </w:r>
    </w:p>
    <w:p>
      <w:pPr/>
      <w:r>
        <w:rPr>
          <w:b/>
        </w:rPr>
        <w:t>POSSIBLE 2021:</w:t>
      </w:r>
      <w:r>
        <w:t xml:space="preserve"> Time's up: Analyzing the feminist potential of time banks — https://doi.org/10.1111/gwao.12691</w:t>
      </w:r>
    </w:p>
    <w:p>
      <w:pPr/>
      <w:r>
        <w:rPr>
          <w:b/>
        </w:rPr>
        <w:t>Shared claim-specific concepts:</w:t>
      </w:r>
      <w:r>
        <w:t xml:space="preserve"> time, banks, particularly, they, address; EU scope not established. This is a provisional connection, not an outcome finding.</w:t>
      </w:r>
    </w:p>
    <w:p>
      <w:pPr>
        <w:pStyle w:val="SourceNote"/>
      </w:pPr>
      <w:r>
        <w:rPr>
          <w:b/>
        </w:rPr>
        <w:t>Available abstract (not full text):</w:t>
      </w:r>
      <w:r>
        <w:t xml:space="preserve"> Abstract Time banks are an alternative economic system proposed to address social problems by stimulating work and exchange through time‐based currency. They aim to redefine work and money, through building social capital to alleviate social problems. As women are disproportionately affected by these problems, it follows that membership is predominantly female, often poor. This article takes the position that time banks provide a lens through which to theorize the feminist potential of alternative forms of economic organization. It examines the ways in which feminists, and time banks, have sought to redefine the concepts of work and money, as well as the context of time banks within the Third Sector. “The reality” of these concepts in practice is then critically analyzed using empirical data from a year as an active participant within a time bank. The findings demonstrate the complex issues regarding how the time bank functioned in practice, particularly in relation to how members engaged with it, and articulated their participation. Further, the way in which the system co‐opted feminist potentials of alternative economic practices as part of the Third Sector, through a conception of social capital, is shown to be problematic in terms of exploiting the energies of already exploited women. This research shows the need for ongoing critical examination of initiatives targeted at s</w:t>
      </w:r>
    </w:p>
    <w:p>
      <w:pPr/>
      <w:r>
        <w:rPr>
          <w:b/>
        </w:rPr>
        <w:t>POSSIBLE 2018:</w:t>
      </w:r>
      <w:r>
        <w:t xml:space="preserve"> Time Banks as Aging-in-Place Initiatives — https://openalex.org/W2900139510</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There has been growing concern over how state and federal governments can support the increasing population of aging Americans and their need for long-term care. Current insurance funding models cover acute hospitalization and skilled care only, leaving unskilled care needs and homemaker services at the full expense of those in need. Time banking allows individuals to exchange or barter time for goods or services without monetary payment. There is insufficient evidence to determine if members believe time banks to be a viable alternative to support aging-in-place care needs. This phenomenological study explored time banking as a potential vehicle for nonskilled health care support to defray health care costs as one ages. Ostrom's co-production theory provided the theoretical foundation for the research questions, which examined the participants' lived experiences with the role time banks played in their decision to age in place. Face-to-face interviews were conducted with 10 Southern California time bank participants, age 50 years or older. Using a Moustakas-modified van Kaam method and a priori coding emergent themes were extracted. Study findings illustrated that time bank participation did support aspects of nonskilled health care needs and provided members with confident options for aging in place. Study findings also indicated a need for continued collaborations between pr</w:t>
      </w:r>
    </w:p>
    <w:p>
      <w:pPr/>
      <w:r>
        <w:rPr>
          <w:b/>
        </w:rPr>
        <w:t>POSSIBLE 2017:</w:t>
      </w:r>
      <w:r>
        <w:t xml:space="preserve"> The Institutionalization of Alternative Economies: The Processes of Objectification in Time Banks — https://openalex.org/W7219320224</w:t>
      </w:r>
    </w:p>
    <w:p>
      <w:pPr/>
      <w:r>
        <w:rPr>
          <w:b/>
        </w:rPr>
        <w:t>Shared claim-specific concepts:</w:t>
      </w:r>
      <w:r>
        <w:t xml:space="preserve"> time, banks, different, not; EU scope not established. This is a provisional connection, not an outcome finding.</w:t>
      </w:r>
    </w:p>
    <w:p>
      <w:pPr>
        <w:pStyle w:val="SourceNote"/>
      </w:pPr>
      <w:r>
        <w:rPr>
          <w:b/>
        </w:rPr>
        <w:t>Available abstract (not full text):</w:t>
      </w:r>
      <w:r>
        <w:t xml:space="preserve"> This paper explores the institutionalization process of complementary currencies; understanding the institutionalization of alternative economies is key in order to assess their sustainability. Drawing from neo-institutional theory, the paper examines the objectification processes in a sample of Spanish and Greek recently formed time banks. The paper focuses on the rationalization stage, i.e. when rules, practices and symbols are embedded in the organization, and studies how symbols and norms establish the framework for social interaction and make the common space of action visible. The main finding of this paper is that timebanking is subject to multiple logics, both inter and intra time banks. These logics lead to adopt different organizational forms, promote disparate forms of actorhood, and adopt different pricing and accounting systems. Yet, these objects are not aligned with one another, and tensions between the symbolic and the functional are found. Institutionalization is not yet complete as there are still missing blended models that bridge multiple logics.</w:t>
      </w:r>
    </w:p>
    <w:p>
      <w:pPr/>
      <w:r>
        <w:rPr>
          <w:b/>
        </w:rPr>
        <w:t>POSSIBLE 2016:</w:t>
      </w:r>
      <w:r>
        <w:t xml:space="preserve"> How alternative consumer markets can build community resiliency — https://doi.org/10.1108/ejm-12-2014-0802</w:t>
      </w:r>
    </w:p>
    <w:p>
      <w:pPr/>
      <w:r>
        <w:rPr>
          <w:b/>
        </w:rPr>
        <w:t>Shared claim-specific concepts:</w:t>
      </w:r>
      <w:r>
        <w:t xml:space="preserve"> time, banks, particularly, services, value; EU scope not established. This is a provisional connection, not an outcome finding.</w:t>
      </w:r>
    </w:p>
    <w:p>
      <w:pPr>
        <w:pStyle w:val="SourceNote"/>
      </w:pPr>
      <w:r>
        <w:rPr>
          <w:b/>
        </w:rPr>
        <w:t>Available abstract (not full text):</w:t>
      </w:r>
      <w:r>
        <w:t xml:space="preserve"> Purpose Time banking is a form of alternative consumer market where members trade services, non-reciprocally creating a local marketplace for services. Time Banks facilitate dyadic exchanges, meeting members’ practical needs and building diverse skills. The purpose of this research was to determine the broad capabilities developed in the Time Bank economy, and to demonstrate how these capabilities were mobilised following a series of earthquakes, contributing to the larger community’s resiliency. Design/methodology/approach Taking an ethnographic approach, data were collected using a variety of methods including interviews, focus groups, participant observation and secondary research. Findings Over time, this alternative consumer market developed a significant communication and social network that members activated to solve diverse practical problems facing the community. Similar to other exchange communities, the Time Bank also fostered a strong sense of community based on reciprocity and egalitarian values. Although the Time Bank was created as a marketplace to exchange local services, during a series of devastating earthquakes, it galvanised adaptive capacities, increasing the resiliency of the local community during disaster relief and reconstruction. Research limitations/implications The data were drawn from one alternative exchange system in New Zealand. Practical implica</w:t>
      </w:r>
    </w:p>
    <w:p>
      <w:pPr>
        <w:pStyle w:val="Heading2"/>
      </w:pPr>
      <w:r>
        <w:t>843.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Institutional and organisational change in the German rail transport sector. Working paper 3 of the study LowCarb-RFC - European Rail Freight Corridors going Carbon Neutral — https://doi.org/10.24406/publica-fhg-299027</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pPr/>
      <w:r>
        <w:rPr>
          <w:b/>
        </w:rPr>
        <w:t>POSSIBLE 2022:</w:t>
      </w:r>
      <w:r>
        <w:t xml:space="preserve"> A review on Rail Transport in Europe and Italy — https://doi.org/10.1109/eeeic/icpseurope54979.2022.9854799</w:t>
      </w:r>
    </w:p>
    <w:p>
      <w:pPr/>
      <w:r>
        <w:rPr>
          <w:b/>
        </w:rPr>
        <w:t>Shared claim-specific concepts:</w:t>
      </w:r>
      <w:r>
        <w:t xml:space="preserve"> transport, sector, evolution; EU scope visible. This is a provisional connection, not an outcome finding.</w:t>
      </w:r>
    </w:p>
    <w:p>
      <w:pPr>
        <w:pStyle w:val="SourceNote"/>
      </w:pPr>
      <w:r>
        <w:rPr>
          <w:b/>
        </w:rPr>
        <w:t>Available abstract (not full text):</w:t>
      </w:r>
      <w:r>
        <w:t xml:space="preserve">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pPr/>
      <w:r>
        <w:rPr>
          <w:b/>
        </w:rPr>
        <w:t>POSSIBLE 2020:</w:t>
      </w:r>
      <w:r>
        <w:t xml:space="preserve"> Consuption and development of biofules in the European transport sector — https://doi.org/10.34726/hss.2020.73182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With the new European Union (EU) Renewable Energy Directive RED II adopted in 2018, the EU strives to increase consumption of renewable energy by 32 percent and to take a leading position in this regard by further reducing dependency on imported fossil fuels. Biofuels, such as bioethanol, biodiesel or biogas, play a significant role as the Directive fosters the consumption of them, as well as the further development of advanced biofuels, which is crucial for reducing greenhouse gas emissions and the decarbonisation of the transport sector in the EU. The future of biofuel development depends to a large extent on political support and decisions, as well as technological development and more intensive use of new raw materials such as lignocellulosic biomass or waste feedstock. In addition the reduction of feedstocks with a high risk of land use change are also discussed. This thesis describes biofuels currently available on the European market, as well as the development of advanced biofuels. Subsequently, the impact of this new Directive on the availability of biofuels in the transport sector are summarized</w:t>
      </w:r>
    </w:p>
    <w:p>
      <w:pPr/>
      <w:r>
        <w:rPr>
          <w:b/>
        </w:rPr>
        <w:t>POSSIBLE 2017:</w:t>
      </w:r>
      <w:r>
        <w:t xml:space="preserve"> Escalating impacts of climate extremes on critical infrastructures in Europe — https://doi.org/10.1016/j.gloenvcha.2017.11.007</w:t>
      </w:r>
    </w:p>
    <w:p>
      <w:pPr/>
      <w:r>
        <w:rPr>
          <w:b/>
        </w:rPr>
        <w:t>Shared claim-specific concepts:</w:t>
      </w:r>
      <w:r>
        <w:t xml:space="preserve"> transport, investments, industrial; EU scope visible. This is a provisional connection, not an outcome finding.</w:t>
      </w:r>
    </w:p>
    <w:p>
      <w:pPr>
        <w:pStyle w:val="SourceNote"/>
      </w:pPr>
      <w:r>
        <w:rPr>
          <w:b/>
        </w:rPr>
        <w:t>Available abstract (not full text):</w:t>
      </w:r>
      <w:r>
        <w:t xml:space="preserve">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r>
        <w:rPr>
          <w:b/>
        </w:rPr>
        <w:t>POSSIBLE 2017:</w:t>
      </w:r>
      <w:r>
        <w:t xml:space="preserve"> Policy preferences and the diversity of instrument choice for mitigating climate change impacts in the transport sector — https://doi.org/10.1080/09640568.2017.1397505</w:t>
      </w:r>
    </w:p>
    <w:p>
      <w:pPr/>
      <w:r>
        <w:rPr>
          <w:b/>
        </w:rPr>
        <w:t>Shared claim-specific concepts:</w:t>
      </w:r>
      <w:r>
        <w:t xml:space="preserve"> transport, sector, challenges; EU scope visible. This is a provisional connection, not an outcome finding.</w:t>
      </w:r>
    </w:p>
    <w:p>
      <w:pPr>
        <w:pStyle w:val="SourceNote"/>
      </w:pPr>
      <w:r>
        <w:rPr>
          <w:b/>
        </w:rPr>
        <w:t>Available abstract (not full text):</w:t>
      </w:r>
      <w:r>
        <w:t xml:space="preserve"> Different policy approaches and responses to common environmental challenges, such as climate change, exist between countries, and sometimes even within countries. This situation arises because public policy-makers are not only driven by concerns of theoretical purity but are also influenced by a range of social, political, economic, cultural and administrative matters when selecting techniques or instruments to achieve specific policy goals. This article examines whether the diversity of stated policy instruments to tackle climate change mitigation in the transport sector can be explained according to national policy preferences in a European context. It also investigates whether the mix of national climate change policy instruments for transport exhibits temporal stability, even after national changes in political power. To do so, the article reviews a series of national policy documents that address climate change in the transport sector in four European countries with contrasting administrative traditions – France, Germany, Sweden and the United Kingdom.</w:t>
      </w:r>
    </w:p>
    <w:p>
      <w:pPr/>
      <w:r>
        <w:rPr>
          <w:b/>
        </w:rPr>
        <w:t>POSSIBLE 2017:</w:t>
      </w:r>
      <w:r>
        <w:t xml:space="preserve"> The European Union Strategy On Reducing Greenhouse Gases Emissions From The Transport Sector — https://openalex.org/W2955496990</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The pace of the transition to a low carbon economy has been sped up lately while the European Union wants to become a world leader in combating climate change. In this context, reducing emissions from the transport sector represents an essential element in the strategy for the sustainable development of the society.The following paper aims to assess and analyze the main elements of the European Union's policy concerning the transition to a transport with low carbon emissions, including the increase of the efficiency of the transport system, accelerating the use of low-emission alternative energy or switching to zero-emission vehicles. Also, in this paper there will be assessed the degree of achievement of the objective of the share of energy from renewable sources in transport by the Member States of the European Union.</w:t>
      </w:r>
    </w:p>
    <w:p>
      <w:pPr/>
      <w:r>
        <w:rPr>
          <w:b/>
        </w:rPr>
        <w:t>POSSIBLE 2017:</w:t>
      </w:r>
      <w:r>
        <w:t xml:space="preserve"> Sectoral use of climate information in Europe: A synoptic overview — https://doi.org/10.1016/j.cliser.2017.06.001</w:t>
      </w:r>
    </w:p>
    <w:p>
      <w:pPr/>
      <w:r>
        <w:rPr>
          <w:b/>
        </w:rPr>
        <w:t>Shared claim-specific concepts:</w:t>
      </w:r>
      <w:r>
        <w:t xml:space="preserve"> transport, need; EU scope visible. This is a provisional connection, not an outcome finding.</w:t>
      </w:r>
    </w:p>
    <w:p>
      <w:pPr>
        <w:pStyle w:val="SourceNote"/>
      </w:pPr>
      <w:r>
        <w:rPr>
          <w:b/>
        </w:rPr>
        <w:t>Available abstract (not full text):</w:t>
      </w:r>
      <w:r>
        <w:t xml:space="preserve"> Society can benefit from usable climate information to better prepare and adapt to the risks and opportunities posed by climate variability and change. An adequate and effective provision of climate information – from historical observations through to seasonal forecasts, and multi-decadal climate change projections – is critical to inform planning and decision-making in climate-sensitive sectors. Central to this are the end-users of climate information and a growing emphasis on tailored climate information and services shaped by user needs. However, knowledge about the use of climate information across European economic sectors is limited. This paper identifies the spectrum of sectoral information requirements across a number of sectors including agriculture, forestry, energy, water, tourism, insurance, health, emergency services and transport sectors, drawing from an online survey (n = 462) and interviews with (potential) users of climate information (n = 80). This analysis reveals shared opportunities across sectors including the potential application of decadal climate predictions. In addition, common barriers and enablers to the uptake of climate information were also noted including the format of the information provided, the need for compatibility with existing in-house systems, and the perceived credibility and trust of information providers. This analysis also points t</w:t>
      </w:r>
    </w:p>
    <w:p>
      <w:pPr/>
      <w:r>
        <w:rPr>
          <w:b/>
        </w:rPr>
        <w:t>POSSIBLE 2017:</w:t>
      </w:r>
      <w:r>
        <w:t xml:space="preserve"> The European Railway Sectors: Understanding and Assessing Change — https://openalex.org/W2590852891</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This paper aims at explaining and assessing the process of change that European railway sectors have experienced over the last decades. It has been organized in two parts: the first part (section 2) explains change and the second part (section 3) empirically assesses change. In the first part we argue that the roots of this change process date back to the 1950s when, because of competitiveness reasons, the market share of most European railways began to decrease compared to other transport modes. Since national reformers ascribed these performance shortcomings to the traditional organization of the railway sector which was that of vertically-integrated state- owned monopoly. Therefore, between the 1970s and 1980s many governments in Europe adopted reforms that tried to inject competition in national railway sectors by supporting liberalization policies. Then, since early-1990s the European Commission has released a number of regulatory instruments aimed at pursuing three main goals: 1) liberalization of the rail services; 2) unbundling of infrastructure and service level, and 3) creation of the common transport market. The empirical analysis conducted in the second part of this paper suggests that state-controlled structures still play a crucial role in the management and performance of national railway industries as lower service prices are associated with greater presence of </w:t>
      </w:r>
    </w:p>
    <w:p>
      <w:pPr>
        <w:pStyle w:val="Heading2"/>
      </w:pPr>
      <w:r>
        <w:t>844.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r>
        <w:rPr>
          <w:b/>
        </w:rPr>
        <w:t>POSSIBLE 2020:</w:t>
      </w:r>
      <w:r>
        <w:t xml:space="preserve"> The supreme audit institutions readiness to uncertainty — https://doi.org/10.9770/jesi.2020.8.1(36)</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inefficient fight against the COVID-19 pandemic and earlier insufficient readiness to counteract terrorist attacks raise the question about the role of the supreme audit institutions (SAIs) in the situation, in which decision-makers take decisions in uncertainty conditions.The states did not prove themselves in conditions of uncertainty.In all countries, the situation is the same, too late decisions regarding anti-epidemic quarantine, lack of necessary measures to protect doctors and patients, too few respirators.Based on the analysis of several randomly selected SAIs from different parts of the Globe, this study found that the audit methodology tailored to a predictable environment became inappropriate in uncertainty conditions.Most of analysed SAIs did not find weak signals and wild cards related to pandemic.Those who found such signals did not use them in foresight, which results that parliaments, governments and the public are not ready for global threats.It creates risks for entrepreneurs.</w:t>
      </w:r>
    </w:p>
    <w:p>
      <w:pPr/>
      <w:r>
        <w:rPr>
          <w:b/>
        </w:rPr>
        <w:t>POSSIBLE 2019:</w:t>
      </w:r>
      <w:r>
        <w:t xml:space="preserve"> OP02 Sweacp: a structured conversation-based advanced care planning approach in the ACP-naïve swedish context — https://doi.org/10.1136/spcare-2019-acpicongressabs.2</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Background Sweden has no systematic advance care planning (ACP), nor judicial means of recognizing proxies in end-of-life (EoL) situations. In the SweACP project in the DöBra research program, we focus on engaging stakeholders in active conversations about preferences for future EoL care, rather than using a document-driven approach to ACP. We describe results of feasibility testing a structured conversation-based ACP approach among older adults in the general public as well as exploring their strategies for reasoning about their EoL preferences. Methods After initial testing in pilot focus groups, a Swedish version of GoWish cards, DöBra cards, and Eco-mapping were used to catalyze discussions on what and who matters at the EoL. The 65 participants from across Sweden actively contacted the researchers volunteering to participate, after receiving information through national patient-or retiree organizations. Both quantitative and qualitative data were analyzed, using descriptive statistics and inductive analysis. Results DöBra cards were positively received by participants; there was great individual variation in card prioritization and formulation of wild cards. Eco-mapping was met with less enthusiasm but was useful in depicting a social context often taken-for-granted. Qualitative analysis revealed several strategies for reasoning about future EoL care. Conclusions Having a </w:t>
      </w:r>
    </w:p>
    <w:p>
      <w:pPr/>
      <w:r>
        <w:rPr>
          <w:b/>
        </w:rPr>
        <w:t>POSSIBLE 2016:</w:t>
      </w:r>
      <w:r>
        <w:t xml:space="preserve"> Short Communication: Georeferencing orchids specimen history cards in Bogor Botanic Gardens to increase their use for conservation efforts — https://doi.org/10.13057/biodiv/d170220</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Rahayu EMD, Yusri S. 2016. Georeferencing orchids specimen history cards in Bogor Botanic Gardens to increase their use for conservation efforts. Biodiversitas 17: 510-514. Orchids are considered valuable plant resource but overharvesting and habitat conversion have threatened their population. Bogor Botanic Gardens (Kebun Raya Bogor; BBG) stores millions of plant specimens, including orchids, taken from the wild or captivity. Origin of specimens is recorded in specimen tags and cards, where each of these can be converted to species occurrence datum for investigations of biodiversity, its relationship with the environment, evaluating conservation efforts and anthropogenic disturbances along spatial or temporal scales. However, data from tags and cards available are often insufficient because localities are typically being recorded as textual descriptions, without geographic coordinates, thus making analysis using Geographical Information System (GIS) tools difficult. In this paper, we reviewed the use of online resources (i.e. GoogleMaps™, ProtectedPlanet.net) for georeferencing specimen cards and Quantum GIS as a GIS tool to store and display the data. Specimen cards from the chosen genera of orchid in BBG were reviewed. The georeferencing process encountered several obstacles, includes: geographically biased locations, changes in spatial-administrative borders, unregistered l</w:t>
      </w:r>
    </w:p>
    <w:p>
      <w:pPr/>
      <w:r>
        <w:rPr>
          <w:b/>
        </w:rPr>
        <w:t>POSSIBLE 2016:</w:t>
      </w:r>
      <w:r>
        <w:t xml:space="preserve"> Locating the Best Available Research — https://doi.org/10.1093/med:psych/9780190621933.003.0003</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This chapter discusses the steps EBP clinicians should take in finding evidence that addresses their clinical questions: searching background information resources, which provide overviews of topics, and then moving to filtered information resources, which provide access to timesaving, synthesized information. To help clinicians navigate these resources, the chapter summarizes basic search concepts that are applicable across the resources, such as Boolean operators, truncation, wild cards, and limits. The chapter describes key background information sources, such as eMedicine, textbooks, and Wikipedia. It then discusses key filtered information sources, including the Cochrane Database of Systematic Reviews, BMJ Clinical Evidence, and several evidence-based journals. The chapter provides tailored tips for optimal searching within each resource introduced.</w:t>
      </w:r>
    </w:p>
    <w:p>
      <w:pPr>
        <w:pStyle w:val="Heading2"/>
      </w:pPr>
      <w:r>
        <w:t>845.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2020:</w:t>
      </w:r>
      <w:r>
        <w:t xml:space="preserve"> E-learning design and entrepreneurship in three European universities — https://doi.org/10.1108/ijebr-06-2019-0407</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The 100 best European universities in the Quacquarelli Symonds Rankings all use e-learning methods. The case study universities were selected from this list. The semistructured interviews with managers of e-learning services highlighted the importance of the design of e-learning courses. However, most focused on the professional figures involved, rather than the process for e-learning and the overall design of the course. Originality/value The article provides a detailed study of e-learning design in an educational context. The analysis of multiple case studies allowed the authors to iden</w:t>
      </w:r>
    </w:p>
    <w:p>
      <w:pPr/>
      <w:r>
        <w:rPr>
          <w:b/>
        </w:rPr>
        <w:t>POSSIBLE 2020:</w:t>
      </w:r>
      <w:r>
        <w:t xml:space="preserve"> E-learning design and entrepreneurship in three European universities — https://openalex.org/W7223193736</w:t>
      </w:r>
    </w:p>
    <w:p>
      <w:pPr/>
      <w:r>
        <w:rPr>
          <w:b/>
        </w:rPr>
        <w:t>Shared claim-specific concepts:</w:t>
      </w:r>
      <w:r>
        <w:t xml:space="preserve"> design, three, all, services; EU scope visible. This is a provisional connection, not an outcome finding.</w:t>
      </w:r>
    </w:p>
    <w:p>
      <w:pPr>
        <w:pStyle w:val="SourceNote"/>
      </w:pPr>
      <w:r>
        <w:rPr>
          <w:b/>
        </w:rPr>
        <w:t>Available abstract (not full text):</w:t>
      </w:r>
      <w:r>
        <w:t xml:space="preserve"> Purpose –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 The 100 best European universities in the Quacquarelli Symonds Rankings all use e-learning methods. The case study universitieswere selected fromthis list.The semistructured interviews withmanagers of e-learning services highlighted the importance of the design of e-learning courses. However, most focused on the professional figures involved, rather than the process for e-learning and the overall design of the course. Originality/value – The article provides a detailed study of e-learning design in an educational context. The analysis of multiple case studies allowed the authors to </w:t>
      </w:r>
    </w:p>
    <w:p>
      <w:pPr/>
      <w:r>
        <w:rPr>
          <w:b/>
        </w:rPr>
        <w:t>POSSIBLE 2019:</w:t>
      </w:r>
      <w:r>
        <w:t xml:space="preserve"> Urban design empowerment through ICT-based platforms in Europe — https://doi.org/10.1080/12265934.2019.1604250</w:t>
      </w:r>
    </w:p>
    <w:p>
      <w:pPr/>
      <w:r>
        <w:rPr>
          <w:b/>
        </w:rPr>
        <w:t>Shared claim-specific concepts:</w:t>
      </w:r>
      <w:r>
        <w:t xml:space="preserve"> aims, design, three, beyond; EU scope visible. This is a provisional connection, not an outcome finding.</w:t>
      </w:r>
    </w:p>
    <w:p>
      <w:pPr>
        <w:pStyle w:val="SourceNote"/>
      </w:pPr>
      <w:r>
        <w:rPr>
          <w:b/>
        </w:rPr>
        <w:t>Available abstract (not full text):</w:t>
      </w:r>
      <w:r>
        <w:t xml:space="preserve"> The use of ICT-based participation tools in urban design has come into prominence in the last decade. A plethora of technology-enabled participatory tools, techniques, and applications have been developed to facilitate the participation of citizens as well as other stakeholders. This study specifically focuses on ICT-based participation platforms that aim to serve as forums to respond to social and spatial needs. Many studies have reported that the use of these participatory platforms has led to positive outcomes. However, their potentials and limits for facilitating different levels of design empowerment (Senbel and Church, 2011. Design Empowerment. Journal of Planning Education and Research, 31(4), 423–437.) remain unknown. In this context, the aims of this study are: (1) to determine how these platforms empower and restrict citizens’ engagement by analysing a variety of ICT-based participation platforms in Europe, and (2) to determine the factors that can facilitate better participation practices. This research analyses 25 ICT-based participation platforms that go beyond one-sided information exchange. They were chosen out of a database of 106 platforms. These were evaluated according to their objectives, the design action phases in which they are designated to be used, their desired levels of design empowerment and their functionalities. The findings indicate that a majorit</w:t>
      </w:r>
    </w:p>
    <w:p>
      <w:pPr/>
      <w:r>
        <w:rPr>
          <w:b/>
        </w:rPr>
        <w:t>POSSIBLE 2019:</w:t>
      </w:r>
      <w:r>
        <w:t xml:space="preserve"> European Men-Who-Have-Sex-With-Men Internet Survey (EMIS-2017): Design and Methods — https://doi.org/10.1007/s13178-019-00413-0</w:t>
      </w:r>
    </w:p>
    <w:p>
      <w:pPr/>
      <w:r>
        <w:rPr>
          <w:b/>
        </w:rPr>
        <w:t>Shared claim-specific concepts:</w:t>
      </w:r>
      <w:r>
        <w:t xml:space="preserve"> design, three, community, health; EU scope visible. This is a provisional connection, not an outcome finding.</w:t>
      </w:r>
    </w:p>
    <w:p>
      <w:pPr>
        <w:pStyle w:val="SourceNote"/>
      </w:pPr>
      <w:r>
        <w:rPr>
          <w:b/>
        </w:rPr>
        <w:t>Available abstract (not full text):</w:t>
      </w:r>
      <w:r>
        <w:t xml:space="preserve"> Abstract Men-who-have-sex-with-men (MSM) carry a disproportionate burden of sexually transmitted infections across Europe. Health planners require sexual health needs assessment data to respond appropriately. In addition, surveillance of risk and precaution behaviours in this population enables evaluative judgements of policy responses. The European MSM Internet Survey (EMIS-2017) aimed to repeat the pan-European online survey on male homosexual behaviour conducted in 2010, both to update information required to plan and monitor health promotion interventions and consolidate harmonisation of existing behavioural surveillance approaches. Our study team collaborated with more than 200 partners from academia, public health and civil society across 50 countries. Starting from our previous EMIS-2010 questionnaire, partners engaged in three rounds of iterative survey development and piloting until the final content was agreed. Transfer to an online survey application was followed by further pre-testing before translation into 32 additional languages, final testing and sign-off. The survey was available to complete online in 33 languages simultaneously from 18 October 2017 to 31 January 2018. Ten international MSM dating mobile apps were paid to send short promotional messages, and national partners promoted the survey via at least another 272 websites and social media accounts. Real-</w:t>
      </w:r>
    </w:p>
    <w:p>
      <w:pPr/>
      <w:r>
        <w:rPr>
          <w:b/>
        </w:rPr>
        <w:t>POSSIBLE 2019:</w:t>
      </w:r>
      <w:r>
        <w:t xml:space="preserve"> Overview of the DEMO staged design approach in Europe — https://doi.org/10.1088/1741-4326/ab1178</w:t>
      </w:r>
    </w:p>
    <w:p>
      <w:pPr/>
      <w:r>
        <w:rPr>
          <w:b/>
        </w:rPr>
        <w:t>Shared claim-specific concepts:</w:t>
      </w:r>
      <w:r>
        <w:t xml:space="preserve"> aims, design, system, clear, advance;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r>
        <w:rPr>
          <w:b/>
        </w:rPr>
        <w:t>POSSIBLE 2019:</w:t>
      </w:r>
      <w:r>
        <w:t xml:space="preserve"> The European Campaigns of Three Socialist Parties — https://doi.org/10.4324/9780429310904-5</w:t>
      </w:r>
    </w:p>
    <w:p>
      <w:pPr/>
      <w:r>
        <w:rPr>
          <w:b/>
        </w:rPr>
        <w:t>Shared claim-specific concepts:</w:t>
      </w:r>
      <w:r>
        <w:t xml:space="preserve"> design, three, community; EU scope visible. This is a provisional connection, not an outcome finding.</w:t>
      </w:r>
    </w:p>
    <w:p>
      <w:pPr>
        <w:pStyle w:val="SourceNote"/>
      </w:pPr>
      <w:r>
        <w:rPr>
          <w:b/>
        </w:rPr>
        <w:t>Available abstract (not full text):</w:t>
      </w:r>
      <w:r>
        <w:t xml:space="preserve"> This chapter explores the pragmatic aspects of the campaign, with the aim of completing the description of what happened in the historic European event. It examines the campaign plans and activities of the Confederation of Socialist Parties of the European Community. The chapter considers whether national politics or European socialism was the primary reference point for each party. It provides some assessments about differences and similarities in the three campaigns, and about the place of transnational socialist efforts in each party&amp;s;s electoral activities. The Labour three campaigns are: Party, SPD, and Parti Socialiste. The staff of the Socialist Group and the Confederation undertook four types of activities during the campaign: the design and use of common visual symbols, publication of materials for distribution to the voters, organization of special conferences for the candidates, and acting as a clearing house for speakers and information.</w:t>
      </w:r>
    </w:p>
    <w:p>
      <w:pPr/>
      <w:r>
        <w:rPr>
          <w:b/>
        </w:rPr>
        <w:t>POSSIBLE 2018:</w:t>
      </w:r>
      <w:r>
        <w:t xml:space="preserve"> DEMO design activity in Europe: Progress and updates — https://doi.org/10.1016/j.fusengdes.2018.04.001</w:t>
      </w:r>
    </w:p>
    <w:p>
      <w:pPr/>
      <w:r>
        <w:rPr>
          <w:b/>
        </w:rPr>
        <w:t>Shared claim-specific concepts:</w:t>
      </w:r>
      <w:r>
        <w:t xml:space="preserve"> design, system, all; EU scope visible. This is a provisional connection, not an outcome finding.</w:t>
      </w:r>
    </w:p>
    <w:p>
      <w:pPr>
        <w:pStyle w:val="SourceNote"/>
      </w:pPr>
      <w:r>
        <w:rPr>
          <w:b/>
        </w:rPr>
        <w:t>Available abstract (not full text):</w:t>
      </w:r>
      <w:r>
        <w:t xml:space="preserve"> This paper describes the progress of the DEMO Design Activities in Europe and particularly the work done to address critical design integration issues that affect the machine configuration and performance, the plant concept layout and the selection of system design and technologies. Work continues to be primarily focused on the design integration of a pulsed baseline DEMO reactor concept, but a number of alternative configurations (e.g., a double-null divertor and a snowflake divertor as well as a ‘flexi’ DEMO that operates initially in an inductively driven pulsed regime, with the possibility to be upgraded to a long-pulse or steady-state machine with a greater reliance on auxiliary current drive, etc.) are under preliminary study, especially to evaluate their DEMO reactor relevance. Some initial considerations are given on the strategy to implement a structured design and technology down-selection, that progressively reviews and narrows options to arrive at the DEMO plant concept that addresses major system integration risks and offers the best probability to satisfy all stakeholder mission requirements. Finally, some recent technical achievements are highlighted.</w:t>
      </w:r>
    </w:p>
    <w:p>
      <w:pPr/>
      <w:r>
        <w:rPr>
          <w:b/>
        </w:rPr>
        <w:t>POSSIBLE 2017:</w:t>
      </w:r>
      <w:r>
        <w:t xml:space="preserve"> Design, assessment and feasibility of legume-based cropping systems in three European regions — https://doi.org/10.1071/cp17064</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Grain legumes in cropping systems result in agronomic and environmental benefits. Nevertheless, their areas in Europe have strongly decreased over the past decades. Our aim was to design locally adapted innovative cropping systems including grain legumes for three European local pedoclimatic contexts, to assess their sustainability, and to discuss their feasibility with stakeholders. The methodology included an initial diagnosis of the most frequent cropping systems and local improvement targets in each local context (e.g. improve legume profitability, limit diseases of legumes, reduce intensive use of chemical inputs in cropping systems), the design of innovative legume-based cropping systems during a common workshop, focusing on three aims ((i) decrease pesticide use, (ii) reduce mineral N fertiliser dependency, and (iii) increase yield stability of grain legume crops and other crops of the crop sequence), and their multicriteria sustainability assessment. Stakeholders meetings were organised in each local context to discuss the feasibility of implementing the innovative cropping systems in farmers’ fields (technical implementation of cropping systems and possibility of development of legume sectors). Four to five cropping systems were designed in each local context, with crop sequences longer than references. They included at least two grain legumes (pea, faba bean, chickpea</w:t>
      </w:r>
    </w:p>
    <w:p>
      <w:pPr/>
      <w:r>
        <w:rPr>
          <w:b/>
        </w:rPr>
        <w:t>POSSIBLE 2017:</w:t>
      </w:r>
      <w:r>
        <w:t xml:space="preserve"> European DEMO design strategy and consequences for materials — https://doi.org/10.1088/1741-4326/57/9/092002</w:t>
      </w:r>
    </w:p>
    <w:p>
      <w:pPr/>
      <w:r>
        <w:rPr>
          <w:b/>
        </w:rPr>
        <w:t>Shared claim-specific concepts:</w:t>
      </w:r>
      <w:r>
        <w:t xml:space="preserve"> aims, design, system; EU scope visible. This is a provisional connection, not an outcome finding.</w:t>
      </w:r>
    </w:p>
    <w:p>
      <w:pPr>
        <w:pStyle w:val="SourceNote"/>
      </w:pPr>
      <w:r>
        <w:rPr>
          <w:b/>
        </w:rPr>
        <w:t>Available abstract (not full text):</w:t>
      </w:r>
      <w:r>
        <w:t xml:space="preserve"> Demonstrating the production of net electricity and operating with a closed fuel-cycle remain unarguably the crucial steps towards the exploitation of fusion power. These are the aims of a demonstration fusion reactor (DEMO) proposed to be built after ITER. This paper briefly describes the DEMO design options that are being considered in Europe for the current conceptual design studies as part of the Roadmap to Fusion Electricity Horizon 2020. These are not intended to represent fixed and exclusive design choices but rather 'proxies' of possible plant design options to be used to identify generic design/material issues that need to be resolved in future fusion reactor systems. The materials nuclear design requirements and the effects of radiation damage are briefly analysed with emphasis on a pulsed 'low extrapolation' system, which is being used for the initial design integration studies, based as far as possible on mature technologies and reliable regimes of operation (to be extrapolated from the ITER experience), and on the use of materials suitable for the expected level of neutron fluence. The main technical issues arising from the plasma and nuclear loads and the effects of radiation damage particularly on the structural and heat sink materials of the vessel and in-vessel components are critically discussed. The need to establish realistic target performance and a develop</w:t>
      </w:r>
    </w:p>
    <w:p>
      <w:pPr/>
      <w:r>
        <w:rPr>
          <w:b/>
        </w:rPr>
        <w:t>POSSIBLE 2017:</w:t>
      </w:r>
      <w:r>
        <w:t xml:space="preserve"> Use of complementary and alternative medicine in Europe: Health-related and sociodemographic determinants — https://doi.org/10.1177/1403494817733869</w:t>
      </w:r>
    </w:p>
    <w:p>
      <w:pPr/>
      <w:r>
        <w:rPr>
          <w:b/>
        </w:rPr>
        <w:t>Shared claim-specific concepts:</w:t>
      </w:r>
      <w:r>
        <w:t xml:space="preserve"> aims, three, health, conclusions, all, medicine; EU scope visible. This is a provisional connection, not an outcome finding.</w:t>
      </w:r>
    </w:p>
    <w:p>
      <w:pPr>
        <w:pStyle w:val="SourceNote"/>
      </w:pPr>
      <w:r>
        <w:rPr>
          <w:b/>
        </w:rPr>
        <w:t>Available abstract (not full text):</w:t>
      </w:r>
      <w:r>
        <w:t xml:space="preserve">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pPr/>
      <w:r>
        <w:rPr>
          <w:b/>
        </w:rPr>
        <w:t>POSSIBLE 2017:</w:t>
      </w:r>
      <w:r>
        <w:t xml:space="preserve"> The EU-AIMS Longitudinal European Autism Project (LEAP): design and methodologies to identify and validate stratification biomarkers for autism spectrum disorders — https://doi.org/10.1186/s13229-017-0146-8</w:t>
      </w:r>
    </w:p>
    <w:p>
      <w:pPr/>
      <w:r>
        <w:rPr>
          <w:b/>
        </w:rPr>
        <w:t>Shared claim-specific concepts:</w:t>
      </w:r>
      <w:r>
        <w:t xml:space="preserve"> aims, design, all, medicine; EU scope visible. This is a provisional connection, not an outcome finding.</w:t>
      </w:r>
    </w:p>
    <w:p>
      <w:pPr>
        <w:pStyle w:val="SourceNote"/>
      </w:pPr>
      <w:r>
        <w:rPr>
          <w:b/>
        </w:rPr>
        <w:t>Available abstract (not full text):</w:t>
      </w:r>
      <w:r>
        <w:t xml:space="preserve"> BACKGROUND: The tremendous clinical and aetiological diversity among individuals with autism spectrum disorder (ASD) has been a major obstacle to the development of new treatments, as many may only be effective in particular subgroups. Precision medicine approaches aim to overcome this challenge by combining pathophysiologically based treatments with stratification biomarkers that predict which treatment may be most beneficial for particular individuals. However, so far, we have no single validated stratification biomarker for ASD. This may be due to the fact that most research studies primarily have focused on the identification of mean case-control differences, rather than within-group variability, and included small samples that were underpowered for stratification approaches. The EU-AIMS Longitudinal European Autism Project (LEAP) is to date the largest multi-centre, multi-disciplinary observational study worldwide that aims to identify and validate stratification biomarkers for ASD. METHODS: LEAP includes 437 children and adults with ASD and 300 individuals with typical development or mild intellectual disability. Using an accelerated longitudinal design, each participant is comprehensively characterised in terms of clinical symptoms, comorbidities, functional outcomes, neurocognitive profile, brain structure and function, biochemical markers and genomics. In addition, 51 </w:t>
      </w:r>
    </w:p>
    <w:p>
      <w:pPr>
        <w:pStyle w:val="Heading2"/>
      </w:pPr>
      <w:r>
        <w:t>846.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2018:</w:t>
      </w:r>
      <w:r>
        <w:t xml:space="preserve"> A Perceptual Theory of Hope — https://doi.org/10.3998/ergo.12405314.0005.008</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in.We argue that shortcomings in recent theories of hope have methodological roots in that they proceed with little regard for the rich body of literature on the emotions.Taking insights from work in the philosophy of emotions, we argue that hope involves a kind of normative perception.We then develop a strategy for determining the content of this perception, arguing that hope is a perception of practical reasons.Our proposal stands in contrast with familiar views on which hope is fundamentally about the good.We conclude by considering the increasingly popular idea that some hopes are non-intentional and thus, by implication, non-perceptual.We reply by arguing that our perceptual theory plausibly generalizes to these instances of hope.</w:t>
      </w:r>
    </w:p>
    <w:p>
      <w:pPr/>
      <w:r>
        <w:rPr>
          <w:b/>
        </w:rPr>
        <w:t>POSSIBLE 2016:</w:t>
      </w:r>
      <w:r>
        <w:t xml:space="preserve"> A Monetary Hope for Europe — https://openalex.org/W7137600050</w:t>
      </w:r>
    </w:p>
    <w:p>
      <w:pPr/>
      <w:r>
        <w:rPr>
          <w:b/>
        </w:rPr>
        <w:t>Shared claim-specific concepts:</w:t>
      </w:r>
      <w:r>
        <w:t xml:space="preserve"> hope, union, also; EU scope visible. This is a provisional connection, not an outcome finding.</w:t>
      </w:r>
    </w:p>
    <w:p>
      <w:pPr>
        <w:pStyle w:val="SourceNote"/>
      </w:pPr>
      <w:r>
        <w:rPr>
          <w:b/>
        </w:rPr>
        <w:t>Available abstract (not full text):</w:t>
      </w:r>
      <w:r>
        <w:t xml:space="preserve"> A Monetary Hope for Europe. This book studies the euro in a global perspective and opens a new series edited by the Jean Monnet European Centre of Excellence of the University of Florence, Verso l’unificazione europea. Most of the chapters have been written by economists who met and discussed their diverse views at a multi-disciplinary conference organized by the Centre in May 2013 under the title The euro and the struggle for the creation of a new global currency: Problems and perspectives in the building of the political, financial and economic foundations of the European federal government. The list of contributors also includes historians as well as European and international law academics. Their essays have been revised on the basis and against the backdrop of an ongoing crisis of both the euro and the whole European project in the last years and months. The volume aims to provide useful data and interpretations to improve knowledge on the euro and the European Union in their economic, historical, juridical and political perspectives.</w:t>
      </w:r>
    </w:p>
    <w:p>
      <w:pPr/>
      <w:r>
        <w:rPr>
          <w:b/>
        </w:rPr>
        <w:t>POSSIBLE 2016:</w:t>
      </w:r>
      <w:r>
        <w:t xml:space="preserve"> A doubtful hope: resource affect in a future oil economy — https://doi.org/10.1111/1467-9655.12397</w:t>
      </w:r>
    </w:p>
    <w:p>
      <w:pPr/>
      <w:r>
        <w:rPr>
          <w:b/>
        </w:rPr>
        <w:t>Shared claim-specific concepts:</w:t>
      </w:r>
      <w:r>
        <w:t xml:space="preserve"> hope, affect, about, also, role; EU scope not established. This is a provisional connection, not an outcome finding.</w:t>
      </w:r>
    </w:p>
    <w:p>
      <w:pPr>
        <w:pStyle w:val="SourceNote"/>
      </w:pPr>
      <w:r>
        <w:rPr>
          <w:b/>
        </w:rPr>
        <w:t>Available abstract (not full text):</w:t>
      </w:r>
      <w:r>
        <w:t xml:space="preserve"> In global debates about natural resource extraction, affect has played an increasingly prominent, if somewhat nameless, role. This paper proposes a theorization of resource affect both as an intrinsic element of capitalist dynamics and as an object problematized by corporate, government, and third‐sector practice. Drawing on ethnographic research in São Tomé and Príncipe (STP), I explore the affective horizons generated by the prospect of hydrocarbon exploration: a doubtful hope comprised of visions of material betterment, personal and collective transformation, as well as anticipations of failure, friction, and discontent. I also examine the multitude of oil‐related campaigns, activities, and programmes initiated by non‐governmental organizations and global governance institutions in STP, animated by the specific conundrums presented by oil's futurity. In light of this, I argue that what we see emerging is a new resource politics that revolves around not simply the democratic and technical aspects of resource exploitation but increasingly their associated affective dissonances and inconsistencies.</w:t>
      </w:r>
    </w:p>
    <w:p>
      <w:pPr/>
      <w:r>
        <w:rPr>
          <w:b/>
        </w:rPr>
        <w:t>POSSIBLE 2015:</w:t>
      </w:r>
      <w:r>
        <w:t xml:space="preserve"> Austerity, the European Council, and the Institutional Future of the European Union: A Proposal to Strengthen the Presidency of the European Council — https://doi.org/10.2979/indjglolegstu.22.2.269</w:t>
      </w:r>
    </w:p>
    <w:p>
      <w:pPr/>
      <w:r>
        <w:rPr>
          <w:b/>
        </w:rPr>
        <w:t>Shared claim-specific concepts:</w:t>
      </w:r>
      <w:r>
        <w:t xml:space="preserve"> debate, union, commission; EU scope visible. This is a provisional connection, not an outcome finding.</w:t>
      </w:r>
    </w:p>
    <w:p>
      <w:pPr>
        <w:pStyle w:val="SourceNote"/>
      </w:pPr>
      <w:r>
        <w:rPr>
          <w:b/>
        </w:rPr>
        <w:t>Available abstract (not full text):</w:t>
      </w:r>
      <w:r>
        <w:t xml:space="preserve"> This article contextualizes the resilience of austerity in Europe, explaining it in light of the transformations in the EU system of governance. As the article maintains, since the eruption of the Euro-crisis, the European Council—the body congressing the heads of state and government of the EU member states together with its President and the President of the European Commission—has risen to the center of EU governance. In an intergovernmental institution such as the European Council, however, larger and wealthier states have been able to impose their preferences on other states—a development that is at odds with the anti-hegemonic nature of the EU integration project. To address this problematic state of affairs, this article proposes a targeted institutional reform: strengthening the President of the European Council. As this article claims, a President of the European Council endowed with its own executive powers and legitimated by a popular election could restore a balance between the member states and, at the same time, create a forum for democratic contestation of the policies of the European Union. The proposal to strengthen the presidency of the European Council builds on recent calls to redefine this institution as the presidency of the European Union as a whole. However, it faces several challenges. This article considers the following questions: 1) What are the adva</w:t>
      </w:r>
    </w:p>
    <w:p>
      <w:pPr>
        <w:pStyle w:val="Heading2"/>
      </w:pPr>
      <w:r>
        <w:t>847.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2023:</w:t>
      </w:r>
      <w:r>
        <w:t xml:space="preserve"> Reduced grazing and changes in the area of agroforestry in Europe — https://doi.org/10.3389/fenvs.2023.1258697</w:t>
      </w:r>
    </w:p>
    <w:p>
      <w:pPr/>
      <w:r>
        <w:rPr>
          <w:b/>
        </w:rPr>
        <w:t>Shared claim-specific concepts:</w:t>
      </w:r>
      <w:r>
        <w:t xml:space="preserve"> show, area, but, land, use;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Pasture Quality Monitoring Based on Proximal and Remote Optical Sensors: A Case Study in the Montado Mediterranean Ecosystem — https://doi.org/10.3390/agriengineering5010025</w:t>
      </w:r>
    </w:p>
    <w:p>
      <w:pPr/>
      <w:r>
        <w:rPr>
          <w:b/>
        </w:rPr>
        <w:t>Shared claim-specific concepts:</w:t>
      </w:r>
      <w:r>
        <w:t xml:space="preserve"> show, montado, case; EU scope visible. This is a provisional connection, not an outcome finding.</w:t>
      </w:r>
    </w:p>
    <w:p>
      <w:pPr>
        <w:pStyle w:val="SourceNote"/>
      </w:pPr>
      <w:r>
        <w:rPr>
          <w:b/>
        </w:rPr>
        <w:t>Available abstract (not full text):</w:t>
      </w:r>
      <w:r>
        <w:t xml:space="preserve"> Permanent dryland pastures are the basis of animal feed in extensive grazing systems. Seasonality and inter-annual climatic variability, associated with shallow, acidic, and not very fertile soils, result in low productivity and rapid degradation of pasture quality, which requires the supplementation of animal feed. In this study, carried out in a biodiverse pasture field in the Mediterranean region of southern Portugal, the vegetation index (NDVI, Normalized Difference Vegetation Index) obtained from measurements performed by a proximal optical sensor (PS) and satellite images (RS) was used to assess pasture quality parameters (pasture moisture content, PMC, crude protein, CP, and neutral detergent fiber, NDF). The monitoring was carried out throughout the 2021/2022 pasture growing season. Significant correlations were obtained between the NDVI obtained by PS and RS (R2 of 0.84) and the reference values of pasture parameters obtained in laboratory protocols: PMC (R2 of 0.88 and 0.78, respectively), CP (R2 of 0.67 and 0.63, respectively), and NDF (R2 of 0.50 and 0.46, respectively). This case study also demonstrated the spatial and temporal variability of vegetative vigour and, consequently, of pasture quality in the Montado, the characteristic Mediterranean ecosystem. These results show the pertinence of these technologies in supporting the decision-making process of the farm </w:t>
      </w:r>
    </w:p>
    <w:p>
      <w:pPr/>
      <w:r>
        <w:rPr>
          <w:b/>
        </w:rPr>
        <w:t>POSSIBLE 2022:</w:t>
      </w:r>
      <w:r>
        <w:t xml:space="preserve"> A Technological Approach to Support Extensive Livestock Management in the Portuguese Montado Ecosystem — https://doi.org/10.3390/agronomy12051212</w:t>
      </w:r>
    </w:p>
    <w:p>
      <w:pPr/>
      <w:r>
        <w:rPr>
          <w:b/>
        </w:rPr>
        <w:t>Shared claim-specific concepts:</w:t>
      </w:r>
      <w:r>
        <w:t xml:space="preserve"> area, montado, use; EU scope visible. This is a provisional connection, not an outcome finding.</w:t>
      </w:r>
    </w:p>
    <w:p>
      <w:pPr>
        <w:pStyle w:val="SourceNote"/>
      </w:pPr>
      <w:r>
        <w:rPr>
          <w:b/>
        </w:rPr>
        <w:t>Available abstract (not full text):</w:t>
      </w:r>
      <w:r>
        <w:t xml:space="preserve"> Extensive livestock production systems based on improved pastures under Montado of Holm oaks represent an approach in line with the challenges of sustainability and biodiversity. The increasing incorporation of technologies in the monitoring of this ecosystem allows for a better knowledge of the spatial and temporal variability and, consequently, a more economically profitable management. In this study, between July 2020 and June 2021, soil and pastures were monitored in a 20 ha Montado area located in Alentejo (Southern Portugal) and used for extensive grazing of cattle. The survey of soil apparent electrical conductivity (ECa), the application of algorithms for definition of homogeneous management zones (HMZ), the use of indices obtained from satellite imagery time series to characterize the evolution of pasture quality and the soil and pasture sampling, including the identification of bio-indicator botanical species, were the basis of this exploratory study, allowing a holistic approach to this complex soil-pasture-trees and animals ecosystem. In the near future, this knowledge could represent an important milestone in providing decision-making support systems to farm managers in terms of smart sampling, differential application of fertilizers, amendments or seeds, choosing the best spacing and density of trees in this ecosystem, promoting dynamic grazing, or identifying the</w:t>
      </w:r>
    </w:p>
    <w:p>
      <w:pPr/>
      <w:r>
        <w:rPr>
          <w:b/>
        </w:rPr>
        <w:t>POSSIBLE 2021:</w:t>
      </w:r>
      <w:r>
        <w:t xml:space="preserve"> Silvopasture policy promotion in European Mediterranean areas — https://doi.org/10.1371/journal.pone.0245846</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Silvopasture is the deliberate integration of a woody component with grazed pastures as understorey. It is one of the most extended agroforestry practices all over the world. Silvopasture use is key to increase the sustainability of livestock farming systems as silvopasture reduces the use of concentrates since the woody component provides feed for animals. However, it is not an extensively used practice in Europe. This paper aims at evaluating, from Eurostat, LUCAS database and the 118 rural development programs, the current situation of permanent grasslands in the Mediterranean area of Europe as well as the rural development programmes fostering silvopasture to better understand how sustainable land use systems are promoted and provide insights to foster silvopasture across Europe. The results of this study show that most of the policy measures related to silvopasture are adapted to the local necessity. The already existing agroforestry managed land (dehesas/montado) are related to measures supporting regeneration and maintenance while in those areas where agroforestry does not exist the measures are related to forest fire prevention.</w:t>
      </w:r>
    </w:p>
    <w:p>
      <w:pPr/>
      <w:r>
        <w:rPr>
          <w:b/>
        </w:rPr>
        <w:t>POSSIBLE 2020:</w:t>
      </w:r>
      <w:r>
        <w:t xml:space="preserve"> Competitiveness of Portuguese Montado Ewe Production Systems among the European Ewe Production Systems — https://doi.org/10.3390/agriculture10050184</w:t>
      </w:r>
    </w:p>
    <w:p>
      <w:pPr/>
      <w:r>
        <w:rPr>
          <w:b/>
        </w:rPr>
        <w:t>Shared claim-specific concepts:</w:t>
      </w:r>
      <w:r>
        <w:t xml:space="preserve"> montado, but, land; EU scope visible. This is a provisional connection, not an outcome finding.</w:t>
      </w:r>
    </w:p>
    <w:p>
      <w:pPr>
        <w:pStyle w:val="SourceNote"/>
      </w:pPr>
      <w:r>
        <w:rPr>
          <w:b/>
        </w:rPr>
        <w:t>Available abstract (not full text):</w:t>
      </w:r>
      <w:r>
        <w:t xml:space="preserve"> The number of ewes in Portugal registers a decrease since 1998. This decrease is felt particularly in the south of the country, which concentrates almost half of the existing ewes, mainly for meat production. One of the most important ewe production systems is the Montado, a High Nature Value ecosystem, occupying ca. 1.2 million ha in Portugal. The competitiveness of this system among the European ewe production systems is an important issue for the future of the Montado ecosystem. So, the objective of this paper is to analyze the ewe production systems in the Montado, using the agri benchmark database, and compare these systems with other European countries’ systems, ranking their competitiveness and efficiency among other systems in the European Union. We concluded that this methodology facilitated an in-depth understanding not only of the competitiveness and efficiency of ewe production systems in Portugal but also of their positioning regarding other systems in the European Union. The pattern of returns assures that these farms are competitive in the sense that they depend on the market on their decisions, and thus it is important that market values sheep products. Nevertheless, the diversification to other income sources would be a good option for the future sustainability of these farms and the opportunities and risks that these systems will deal with in a new green econo</w:t>
      </w:r>
    </w:p>
    <w:p>
      <w:pPr/>
      <w:r>
        <w:rPr>
          <w:b/>
        </w:rPr>
        <w:t>POSSIBLE 2020:</w:t>
      </w:r>
      <w:r>
        <w:t xml:space="preserve"> The Montado/Dehesa Cow-Calf Production Systems in Portugal and Spain: An Economic and Resources’ Use Approach — https://doi.org/10.3390/land9050148</w:t>
      </w:r>
    </w:p>
    <w:p>
      <w:pPr/>
      <w:r>
        <w:rPr>
          <w:b/>
        </w:rPr>
        <w:t>Shared claim-specific concepts:</w:t>
      </w:r>
      <w:r>
        <w:t xml:space="preserve"> montado, land, use; EU scope visible. This is a provisional connection, not an outcome finding.</w:t>
      </w:r>
    </w:p>
    <w:p>
      <w:pPr>
        <w:pStyle w:val="SourceNote"/>
      </w:pPr>
      <w:r>
        <w:rPr>
          <w:b/>
        </w:rPr>
        <w:t>Available abstract (not full text):</w:t>
      </w:r>
      <w:r>
        <w:t xml:space="preserve"> The Montado in Portugal and Dehesa in Spain is a unique agro-silvo-pastoral system designed to overcome food needs in a scarce resource’s environment. The system competitiveness is not clear and it is now under severe threats, caused by extensification or abandonment of less fertile areas and by intensification in more fertile ones. The aim of the undertaken research is to compare the cow-calf production within these systems in Portugal and Spain, identifying their strengths and weaknesses and the main drivers of their evolution, and to compare these systems with other European countries’ systems, ranking their competitiveness and efficiency among other systems in the EU. The research indicates that Montado/Dehesa farms systems are dependent on the type of farming system, its context and management, i.e., on the decision and its context; so, in a context of Mediterranean land system changes, the future of the Montado/Dehesa ecosystem depends on the ability of the cow-calf production systems to face the future and to perceive the modifications needed to overcome new challenges and take advantage of new opportunities.</w:t>
      </w:r>
    </w:p>
    <w:p>
      <w:pPr/>
      <w:r>
        <w:rPr>
          <w:b/>
        </w:rPr>
        <w:t>POSSIBLE 2019:</w:t>
      </w:r>
      <w:r>
        <w:t xml:space="preserve"> Valuing and mapping cork and carbon across land use scenarios in a Portuguese montado landscape — https://doi.org/10.1371/journal.pone.0212174</w:t>
      </w:r>
    </w:p>
    <w:p>
      <w:pPr/>
      <w:r>
        <w:rPr>
          <w:b/>
        </w:rPr>
        <w:t>Shared claim-specific concepts:</w:t>
      </w:r>
      <w:r>
        <w:t xml:space="preserve"> show, area, montado, land, use; EU scope visible. This is a provisional connection, not an outcome finding.</w:t>
      </w:r>
    </w:p>
    <w:p>
      <w:pPr>
        <w:pStyle w:val="SourceNote"/>
      </w:pPr>
      <w:r>
        <w:rPr>
          <w:b/>
        </w:rPr>
        <w:t>Available abstract (not full text):</w:t>
      </w:r>
      <w:r>
        <w:t xml:space="preserve"> The ecosystem services approach can inform decision-making by accounting for both short- and long-term benefits from different land use options. Here we used the InVEST toolkit to quantify and map key ecosystem services at the largest publicly-owned agro-silvo-pastoral farmstead in Portugal-a site representative for the montado landscape. We analyzed how Provisioning (cork production) and Regulating &amp; Maintenance (carbon storage and sequestration) services would be affected under three land use change scenarios, which were developed in collaboration with the forest manager of the study area: Cattle Intensification, Forest Improvement, and Residential Development. Results show that increasing cattle or residential development would deliver substantially lower levels of services. We find that extensive management, improvements to forest quality, and promotion of traditional livestock grazing would provide the highest levels of assessed ecosystem services, resulting in 13.5% more carbon storage (worth between $0.34-$7.79 million USD depending on carbon price) and 62.7% more cork production (total value of USD $3.5 million) than the current land use. However, a shift in economic incentives to make sustainable cork harvesting and traditional low-density grazing of smaller ruminants like sheep and goats profitable are likely needed to reward traditional land stewardship and help supp</w:t>
      </w:r>
    </w:p>
    <w:p>
      <w:pPr/>
      <w:r>
        <w:rPr>
          <w:b/>
        </w:rPr>
        <w:t>POSSIBLE 2018:</w:t>
      </w:r>
      <w:r>
        <w:t xml:space="preserve"> Modelling biodiversity trends in the montado (wood pasture) landscapes of the Alentejo, Portugal — https://doi.org/10.1007/s10980-018-0627-y</w:t>
      </w:r>
    </w:p>
    <w:p>
      <w:pPr/>
      <w:r>
        <w:rPr>
          <w:b/>
        </w:rPr>
        <w:t>Shared claim-specific concepts:</w:t>
      </w:r>
      <w:r>
        <w:t xml:space="preserve"> area, montado, land, use, case; EU scope visible. This is a provisional connection, not an outcome finding.</w:t>
      </w:r>
    </w:p>
    <w:p>
      <w:pPr>
        <w:pStyle w:val="SourceNote"/>
      </w:pPr>
      <w:r>
        <w:rPr>
          <w:b/>
        </w:rPr>
        <w:t>Available abstract (not full text):</w:t>
      </w:r>
      <w:r>
        <w:t xml:space="preserve"> Montados are dynamic agroforestry systems of southern Portugal, with high economic and ecological values. Changes in land use and cover have important implications for landscape-level biodiversity and its conservation. Our objectives were to evaluate the biodiversity values and trends in a montado system in the Alentejo, Portugal so as to inform landscape level conservation approaches. In doing so, we aimed to develop a replicable and robust approach drawing together field observation, expert opinion, and remote sensing to produce predictions relevant to land management planning. Field sampling and subsequent analysis of data on the birds, butterflies and plants in eight distinct land covers allowed the identification of two principal habitat groupings of importance: ‘montado mosaic’ and ‘shrubland’. Morphological spatial pattern analysis was performed on Landsat-derived GIS habitat layers for 1984 and 2009, generating maps and statistics for change in the different landscape functional classes. In addition, we demonstrated how the modelling of ecotones between open and closed biomes can identify the preferred hunting grounds of the threatened Iberian lynx and black vulture, flagship species whose conservation provides benefits to the area’s wider biodiversity values. Total and core area of montado mosaics and shrubland increased over the 25 year period, whilst the amount of ha</w:t>
      </w:r>
    </w:p>
    <w:p>
      <w:pPr/>
      <w:r>
        <w:rPr>
          <w:b/>
        </w:rPr>
        <w:t>POSSIBLE 2018:</w:t>
      </w:r>
      <w:r>
        <w:t xml:space="preserve"> Monitoring Seasonal Pasture Quality Degradation in the Mediterranean Montado Ecosystem: Proximal versus Remote Sensing — https://doi.org/10.3390/w10101422</w:t>
      </w:r>
    </w:p>
    <w:p>
      <w:pPr/>
      <w:r>
        <w:rPr>
          <w:b/>
        </w:rPr>
        <w:t>Shared claim-specific concepts:</w:t>
      </w:r>
      <w:r>
        <w:t xml:space="preserve"> show, montado, use; EU scope not established. This is a provisional connection, not an outcome finding.</w:t>
      </w:r>
    </w:p>
    <w:p>
      <w:pPr>
        <w:pStyle w:val="SourceNote"/>
      </w:pPr>
      <w:r>
        <w:rPr>
          <w:b/>
        </w:rPr>
        <w:t>Available abstract (not full text):</w:t>
      </w:r>
      <w:r>
        <w:t xml:space="preserve"> Montado is an agro-forestry system occupying a large surface in countries of the Mediterranean region. In this system, the natural dryland pasture is the principal source for animal feed in extensive grazing. The climatic seasonality associated with the inter-annual irregularity of precipitation greatly influences the development of pasture and its vegetative cycle. The end of spring is a critical period in terms of animal feed due to the notable reduction in the nutritive value of the plants. The objective of this work was to evaluate, through the correlation between pasture quality indexes (Pasture Quality Degradation Index, PQDI and Normalized Difference Vegetation Index, NDVI), two technological approaches for monitoring the evolution of the quality of a biodiverse pasture in the period of greatest vegetative development (between February and June). The technological approaches consisted of (i) proximal sensing (PS), with the use of an active optical sensor; and (ii) remote sensing (RS), using images captured by a Sentinel-2 satellite. The results of this study show strong and significant correlations between PQDI and NDVI (obtained by PS or RS). These two techniques (PS or RS) can, therefore, be used in a complementary way to identify and anticipate the food supplementation needs for animals and support farmers in decision making.</w:t>
      </w:r>
    </w:p>
    <w:p>
      <w:pPr>
        <w:pStyle w:val="Heading2"/>
      </w:pPr>
      <w:r>
        <w:t>848.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2023:</w:t>
      </w:r>
      <w:r>
        <w:t xml:space="preserve"> EGS development in Europe based on operational geothermal projects — https://doi.org/10.1201/9781003271475-2</w:t>
      </w:r>
    </w:p>
    <w:p>
      <w:pPr/>
      <w:r>
        <w:rPr>
          <w:b/>
        </w:rPr>
        <w:t>Shared claim-specific concepts:</w:t>
      </w:r>
      <w:r>
        <w:t xml:space="preserve"> resource, egs, enhanced, geothermal, systems; EU scope visible. This is a provisional connection, not an outcome finding.</w:t>
      </w:r>
    </w:p>
    <w:p>
      <w:pPr>
        <w:pStyle w:val="SourceNote"/>
      </w:pPr>
      <w:r>
        <w:rPr>
          <w:b/>
        </w:rPr>
        <w:t>Available abstract (not full text):</w:t>
      </w:r>
      <w:r>
        <w:t xml:space="preserve">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pPr/>
      <w:r>
        <w:rPr>
          <w:b/>
        </w:rPr>
        <w:t>POSSIBLE 2022:</w:t>
      </w:r>
      <w:r>
        <w:t xml:space="preserve"> Hydraulic stimulation strategies in enhanced geothermal systems (EGS): a review — https://doi.org/10.1007/s40948-022-00516-w</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In enhanced geothermal systems (EGS), the natural permeability of deep rocks is normally not high enough and needs to be increased. Permeability increase can be achieved through various stimulation methods, such as hydraulic, chemical, and thermal stimulation. Among these, hydraulic stimulation is the most commonly used technique to increase both reservoir permeability and the specific area for heat exchange. A comprehensive understanding of the underlying processes towards an optimization of hydraulic stimulation performance while minimizing the potential of unwanted induced seismicity is a critical prerequisite for a successful development of any EGS site. In this paper, we review the hydraulic stimulation strategies that have been developed and implemented for EGS. We begin with a description of the underlying mechanisms through which the permeability and heat exchange area increases are achieved. We then discuss the mechanisms of fluid injection-induced seismicity during and after a hydraulic stimulation operation. After that, alternative hydraulic stimulation strategies, namely conventional hydraulic stimulation, multi-stage fracturing, and cyclic soft stimulation, are reviewed based on current research in theoretical studies as well as, laboratory, and in-situ field experiments. Finally, some representative EGS projects are reviewed, focusing on fluid injection s</w:t>
      </w:r>
    </w:p>
    <w:p>
      <w:pPr/>
      <w:r>
        <w:rPr>
          <w:b/>
        </w:rPr>
        <w:t>POSSIBLE 2021:</w:t>
      </w:r>
      <w:r>
        <w:t xml:space="preserve"> The importance of tectonic inheritance and reactivation in geothermal energy exploration for EGS resources in SW England — https://openalex.org/W3092617703</w:t>
      </w:r>
    </w:p>
    <w:p>
      <w:pPr/>
      <w:r>
        <w:rPr>
          <w:b/>
        </w:rPr>
        <w:t>Shared claim-specific concepts:</w:t>
      </w:r>
      <w:r>
        <w:t xml:space="preserve"> egs, enhanced, geothermal, different; EU scope not established. This is a provisional connection, not an outcome finding.</w:t>
      </w:r>
    </w:p>
    <w:p>
      <w:pPr>
        <w:pStyle w:val="SourceNote"/>
      </w:pPr>
      <w:r>
        <w:rPr>
          <w:b/>
        </w:rPr>
        <w:t>Available abstract (not full text):</w:t>
      </w:r>
      <w:r>
        <w:t xml:space="preserve"> Exploration for Enhanced Geothermal System (EGS) resources has long sought natural deep fractured reservoirs. The Upper Rhine Graben is the most studied area for these targets including the successful geothermal plants at Soultz-sous-Forêts, Bruchsal, Insheim, Landau and Rittershoffen (Genter et al., 2010; Vidal et al., 2017). Previous geothermal projects, such as the Hot Dry Rock project at Rosemanowes (1977-1991) in Cornwall (SW England), targeted areas that lacked major faults and fractures (Barker et al., 2000). The Upper Rhine Graben was incepted during Eocene-Oligocene rifting in a NNE-SSW orientation that underwent Miocene sinistral reactivation (Schumacher, 2002). However, structural inheritance from dextrally reactivated Variscan ENE-WSW faults during the Miocene may also contribute to the reservoir (Bertrand et al., 2017). Geothermal energy exploration is currently experiencing a revival in SW England, targeting EGS resources within deep granitehosted fault zones. Two deep wells have been drilled at the United Downs Deep Geothermal Power Project to depths of approximately 5.0 and 2.5 km near Redruth and Eden-EGS Energy have advanced plans for deep geothermal wells near St Austell. The geology of SW England comprises several E-W-trending Devonian-Carboniferous sedimentary basins that were deformed during the Variscan orogeny (Carboniferous) and intruded by the Cornubia</w:t>
      </w:r>
    </w:p>
    <w:p>
      <w:pPr/>
      <w:r>
        <w:rPr>
          <w:b/>
        </w:rPr>
        <w:t>POSSIBLE 2020:</w:t>
      </w:r>
      <w:r>
        <w:t xml:space="preserve"> Stochastic workflows for the evaluation of Enhanced Geothermal System (EGS) potential in geothermal greenfields with sparse data: the case study of Acoculco, Mexico — https://doi.org/10.1016/j.geothermics.2020.101879</w:t>
      </w:r>
    </w:p>
    <w:p>
      <w:pPr/>
      <w:r>
        <w:rPr>
          <w:b/>
        </w:rPr>
        <w:t>Shared claim-specific concepts:</w:t>
      </w:r>
      <w:r>
        <w:t xml:space="preserve"> resource, egs, enhanced, geothermal, systems, different; EU scope not established. This is a provisional connection, not an outcome finding.</w:t>
      </w:r>
    </w:p>
    <w:p>
      <w:pPr>
        <w:pStyle w:val="SourceNote"/>
      </w:pPr>
      <w:r>
        <w:rPr>
          <w:b/>
        </w:rPr>
        <w:t>Available abstract (not full text):</w:t>
      </w:r>
      <w:r>
        <w:t xml:space="preserve"> This paper presents a workflow for resource characterization and assessment of exploration geothermal fields with minimum data. Our approach utilizes stochastic methods to estimate the temperature distribution at potential target depths by focusing on the impact of uncertain input parameters such as thermal conductivity and porosity. We first perform stochastic forward simulations to determine the initial steady-state thermal field and subsequently quantify the uncertainty via a Monte Carlo approach known as Sequential Gaussian Simulation (SGSim). Next, we analyze the in-field likelihood of success for Enhanced Geothermal Systems by simulating hypothetical energy production scenarios based on existing geothermal installations. This approach is applied to the case study of a Hot Dry Rock geothermal field with two exploration wells, located in Acoculco, Mexico. Data scarcity in this field necessitates the use of stochastic methods for plausible prediction of reservoir temperature used to determine the accessible thermal power. Once reliable temperature estimates are obtained at potential target depths, we simulate production scenarios by assuming a prior successful stimulation process in the existing wells. In addition to providing preliminary estimates of thermal power for different injection/production rates, stimulated volumes and created permeability, we present the long-term</w:t>
      </w:r>
    </w:p>
    <w:p>
      <w:pPr/>
      <w:r>
        <w:rPr>
          <w:b/>
        </w:rPr>
        <w:t>POSSIBLE 2019:</w:t>
      </w:r>
      <w:r>
        <w:t xml:space="preserve"> Enhanced geothermal system (EGS) well stimulation design and simulation using DFN-based model: Newberry EGS case study — https://openalex.org/W2964883730</w:t>
      </w:r>
    </w:p>
    <w:p>
      <w:pPr/>
      <w:r>
        <w:rPr>
          <w:b/>
        </w:rPr>
        <w:t>Shared claim-specific concepts:</w:t>
      </w:r>
      <w:r>
        <w:t xml:space="preserve"> egs, enhanced, geothermal, different; EU scope visible. This is a provisional connection, not an outcome finding.</w:t>
      </w:r>
    </w:p>
    <w:p>
      <w:pPr>
        <w:pStyle w:val="SourceNote"/>
      </w:pPr>
      <w:r>
        <w:rPr>
          <w:b/>
        </w:rPr>
        <w:t>Available abstract (not full text):</w:t>
      </w:r>
      <w:r>
        <w:t xml:space="preserve"> A conceptual model of the Newberry EGS (Enhanced Geothermal System) project stimulation program for well NWG 55-29 has been developed.A discrete fracture network (DFN) model is embedded in the simulation to investigate effect of in situ stress state and natural fractures or faults properties.The local in situ stress information has been revisited and a new interpretation is proposed.Simulation results using the conceptual model are compared to a case of previously published stress information.To revisit the stress determination, compressive failure around a wellbore has been analyzed and different modes of breakouts were distinguished.Incorporating temperature change, a simple compressive failure model based on Mohr-Coulomb failure criterion for inclined wellbores has been developed.The model has been first used to perceive compressive failure profile when breakouts and tensile wall fractures simultaneously occurred at a wellbore from a well at Visund Field in the North Sea.The model illustrates distinct profiles at the direction of breakouts and tensile wall fractures.Further, it is also applied to well GPK2 at the Soultz geothermal field in France, where thermally induced or mode-X breakout has been observed.Different modes of compressive wellbore failure are observed, B-mode for conventional breakout and X-mode for breakout at the opposite side as compressive failure happeni</w:t>
      </w:r>
    </w:p>
    <w:p>
      <w:pPr/>
      <w:r>
        <w:rPr>
          <w:b/>
        </w:rPr>
        <w:t>POSSIBLE 2019:</w:t>
      </w:r>
      <w:r>
        <w:t xml:space="preserve"> An In‐Depth Seismological Analysis Revealing a Causal Link Between the 2017 MW 5.5 Pohang Earthquake and EGS Project — https://doi.org/10.1029/2019jb018368</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Abstract Hydraulic injection by the Pohang enhanced geothermal systems (EGSs) has been suspected to trigger the 2017 moment magnitude (MW) 5.5 Pohang earthquake in South Korea. The last stimulation experiment in the EGS was conducted only 2 months before the disaster, which has led to this suspicion. In this study, we conducted a seismic analysis on the earthquakes that have occurred around the EGS site in the past 10 years. The study included the construction of a velocity model, earthquake detection, the determination of hypocenters, magnitudes, focal mechanisms, and stress inversion, and a clustering analysis. No seismic activity was detected near the study area until November 2015 when there was a loss of a large quantity of heavy drilling mud. For three stimulations of a geothermal well, earthquakes sequentially migrated to the southwest along a fault plane, leading to the location of the mainshock. The delineated fault plane crossed the injection well at approximately 3,800 m, which corresponds to the borehole interval of not only the mud loss but also the breakage of the well's casing due to the mainshock rupture. These findings can be treated as empirical evidence for the hypothesis that the 2017 MW 5.5 Pohang earthquake was initiated on a critically stressed fault zone by the anthropogenic activity of fluid injection, consequentially releasing accumulated strain energy</w:t>
      </w:r>
    </w:p>
    <w:p>
      <w:pPr/>
      <w:r>
        <w:rPr>
          <w:b/>
        </w:rPr>
        <w:t>POSSIBLE 2019:</w:t>
      </w:r>
      <w:r>
        <w:t xml:space="preserve"> APPLIED GEOSTATISTICS TO THE ASSESSMENT OF ENHANCED GEOTHERMAL SYSTEM (EGS) IN CENTRAL SUMATERA BASIN — https://doi.org/10.47599/bsdg.v14i2.284</w:t>
      </w:r>
    </w:p>
    <w:p>
      <w:pPr/>
      <w:r>
        <w:rPr>
          <w:b/>
        </w:rPr>
        <w:t>Shared claim-specific concepts:</w:t>
      </w:r>
      <w:r>
        <w:t xml:space="preserve"> egs, enhanced, geothermal; EU scope not established. This is a provisional connection, not an outcome finding.</w:t>
      </w:r>
    </w:p>
    <w:p>
      <w:pPr>
        <w:pStyle w:val="SourceNote"/>
      </w:pPr>
      <w:r>
        <w:rPr>
          <w:b/>
        </w:rPr>
        <w:t>Available abstract (not full text):</w:t>
      </w:r>
      <w:r>
        <w:t xml:space="preserve"> Thick sediment (over 2,500 m), fractured basement and high thermal gradient (up to 19.10 C/100 m) of Central Sumatra Basin are suitable factors to have the Enhanced Geothermal System (EGS) potential. A number of 130 wells data were used to evaluate the EGS of the basin. The assessment is divided into the number of estimation within the grid cell (1x1 km) of sediment thickness, heat flow, thermal conductivity and technical potential calculated starting from basement-sediment layer interface. The distribution of heat flow and gradient thermal values correspond to the sediment layer. The autocorrelation test indicates the data is stationary. The variance of data gets bigger after a depth over 5.5 km. According to the Beardsmore protocol, the technical potential value ranged from 0.5 MW up to 4.7 MW at a depth of 3.5 km. In addition, the lowest technical potential is 0.66 MW and the highest is 5.76 MW at a depth of 4.5 km. The ordinary kriging, using the number of lags 10 in variogram modeling, estimated the technical potential distribution is higher to the southwest.</w:t>
      </w:r>
    </w:p>
    <w:p>
      <w:pPr/>
      <w:r>
        <w:rPr>
          <w:b/>
        </w:rPr>
        <w:t>POSSIBLE 2018:</w:t>
      </w:r>
      <w:r>
        <w:t xml:space="preserve"> Seismic Analysis of Spatio-Temporal Fracture Generation During EGS Resource Development — https://doi.org/10.2172/1479656</w:t>
      </w:r>
    </w:p>
    <w:p>
      <w:pPr/>
      <w:r>
        <w:rPr>
          <w:b/>
        </w:rPr>
        <w:t>Shared claim-specific concepts:</w:t>
      </w:r>
      <w:r>
        <w:t xml:space="preserve"> resource, egs, enhanced, geothermal; EU scope not established. This is a provisional connection, not an outcome finding.</w:t>
      </w:r>
    </w:p>
    <w:p>
      <w:pPr>
        <w:pStyle w:val="SourceNote"/>
      </w:pPr>
      <w:r>
        <w:rPr>
          <w:b/>
        </w:rPr>
        <w:t>Available abstract (not full text):</w:t>
      </w:r>
      <w:r>
        <w:t xml:space="preserve"> This DOE GTO funded project was a collaborative effort between Array Information Technology and the University of California at Berkeley. The project goal is to improve technology to assess in-situ stress magnitude and orientation, kinematic fracture parameters, rupture size, rupture orientation as well as temporal changes and volumetric distribution of the injected fluid during Enhanced Geothermal System (EGS) resource development. The project leveraged high-frequency seismic data recorded by the LBNL 34-station permanent geophone network and seismic broadband data recorded by a temporary 33-station seismometer network that operated in The Geysers during the injection phase of the DOE GTO funded EGS demonstration project at the well Prati-32. The operation of the broadband network with high station density and good azimuthal coverage to monitor the injection phase produced an unprecedented dataset that is typically unavailable for EGS operations. The two datasets offer the advantages of studying the parameters under investigation over a broader frequency band and the higher sensitivity of the broadband seismometers resulted in a richer dataset with a lower magnitude of completeness. Moment tensor (MT) inversion have been employed to develop a catalog of earthquake source solutions including moment tensor and finite source rupture area. This resulted in a 168-event waveform-bas</w:t>
      </w:r>
    </w:p>
    <w:p>
      <w:pPr/>
      <w:r>
        <w:rPr>
          <w:b/>
        </w:rPr>
        <w:t>POSSIBLE 2017:</w:t>
      </w:r>
      <w:r>
        <w:t xml:space="preserve"> Assessment of the resource base for engineered geothermal systems in Great Britain — https://doi.org/10.1186/s40517-017-0066-z</w:t>
      </w:r>
    </w:p>
    <w:p>
      <w:pPr/>
      <w:r>
        <w:rPr>
          <w:b/>
        </w:rPr>
        <w:t>Shared claim-specific concepts:</w:t>
      </w:r>
      <w:r>
        <w:t xml:space="preserve"> resource, base, egs, geothermal, systems, different; EU scope not established. This is a provisional connection, not an outcome finding.</w:t>
      </w:r>
    </w:p>
    <w:p>
      <w:pPr>
        <w:pStyle w:val="SourceNote"/>
      </w:pPr>
      <w:r>
        <w:rPr>
          <w:b/>
        </w:rPr>
        <w:t>Available abstract (not full text):</w:t>
      </w:r>
      <w:r>
        <w:t xml:space="preserve"> An assessment of the engineered geothermal system (EGS) resource base that might be available for the generation of electricity for Great Britain has been undertaken by adopting a globally self-consistent protocol that if universally adopted, would allow estimates of EGS made for different countries and regions to be comparable. Maximum estimated temperatures at depths of 5 and 7 km are greater than 200 and 300 °C respectively, a considerable increase over previous estimates. The total heat in place in the basement, to a depth of 9.5 km that is theoretically available for EGS is 357,197 EJ. If it were possible to develop just 2% of this resource, this would be equivalent to 1242 times the final UK energy consumption in 2015. The theoretical and technical potential power has been calculated from the available heat in place. The total technical potential power, to a depth of 6.5 km, is 222,393 MW e and represents just 0.4% of the theoretical potential power. Current EGS exploitation is more likely to be restricted to a depths of around 4.5 km and reservoir temperatures greater than 175 °C. In which case technical potential power is mainly restricted to regions of high heat producing granites and represents a total technical potential power of 2280 MW e . However, improvements in drilling technology are expected to enable economic drilling to depths of 7 km or greater that will en</w:t>
      </w:r>
    </w:p>
    <w:p>
      <w:pPr/>
      <w:r>
        <w:rPr>
          <w:b/>
        </w:rPr>
        <w:t>POSSIBLE 2016:</w:t>
      </w:r>
      <w:r>
        <w:t xml:space="preserve"> A Selection Method for Power Generation Plants Used for Enhanced Geothermal Systems (EGS) — https://doi.org/10.3390/en9080597</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As a promising and advanced technology, enhanced geothermal systems (EGS) can be used to generate electricity using deep geothermal energy. In order to better utilize the EGS to produce electricity, power cycles’ selection maps are generated for people to choose the best system based on the geofluids’ temperature and dryness conditions. Optimizations on double-flash system (DF), flash-organic Rankine cycle system (FORC), and double-flash-organic Rankine cycle system (DFORC) are carried out, and the single-flash (SF) system is set as a reference system. The results indicate that each upgraded system (DF, FORC, and DFORC) can produce more net power output compared with the SF system and can reach a maximum net power output under a given geofluid condition. For an organic Rankine cycle (ORC) using R245fa as working fluid, the generated selection maps indicate that using the FORC system can produce more power than using other power cycles when the heat source temperature is below 170 °C. Either DF or DFORC systems could be an option if the heat source temperature is above 170 °C, but the DF system is more attractive under a relatively lower geofluid’s dryness and a higher temperature condition.</w:t>
      </w:r>
    </w:p>
    <w:p>
      <w:pPr>
        <w:pStyle w:val="Heading2"/>
      </w:pPr>
      <w:r>
        <w:t>849.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2021:</w:t>
      </w:r>
      <w:r>
        <w:t xml:space="preserve"> The first multi-model ensemble of regional climate simulations at kilometer-scale resolution, part I: evaluation of precipitation — https://doi.org/10.1007/s00382-021-05708-w</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pPr/>
      <w:r>
        <w:rPr>
          <w:b/>
        </w:rPr>
        <w:t>POSSIBLE 2021:</w:t>
      </w:r>
      <w:r>
        <w:t xml:space="preserve"> The first multi-model ensemble of regional climate simulations at kilometer-scale resolution part 2: historical and future simulations of precipitation — https://doi.org/10.1007/s00382-021-05657-4</w:t>
      </w:r>
    </w:p>
    <w:p>
      <w:pPr/>
      <w:r>
        <w:rPr>
          <w:b/>
        </w:rPr>
        <w:t>Shared claim-specific concepts:</w:t>
      </w:r>
      <w:r>
        <w:t xml:space="preserve"> multi-model, ensemble, regional, climate, precipitation;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Regional climate downscaling over Europe: perspectives from the EURO-CORDEX community — https://doi.org/10.1007/s10113-020-01606-9</w:t>
      </w:r>
    </w:p>
    <w:p>
      <w:pPr/>
      <w:r>
        <w:rPr>
          <w:b/>
        </w:rPr>
        <w:t>Shared claim-specific concepts:</w:t>
      </w:r>
      <w:r>
        <w:t xml:space="preserve"> multi-model, ensemble, regional, climate, projections; EU scope visible. This is a provisional connection, not an outcome finding.</w:t>
      </w:r>
    </w:p>
    <w:p>
      <w:pPr>
        <w:pStyle w:val="SourceNote"/>
      </w:pPr>
      <w:r>
        <w:rPr>
          <w:b/>
        </w:rPr>
        <w:t>Available abstract (not full text):</w:t>
      </w:r>
      <w:r>
        <w:t xml:space="preserve">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pPr/>
      <w:r>
        <w:rPr>
          <w:b/>
        </w:rPr>
        <w:t>POSSIBLE 2020:</w:t>
      </w:r>
      <w:r>
        <w:t xml:space="preserve"> An investigation of weighting schemes suitable for incorporating large ensembles into multi-model ensembles — https://doi.org/10.5194/esd-11-807-2020</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Multi-model ensembles can be used to estimate uncertainty in projections of regional climate, but this uncertainty often depends on the constituents of the ensemble. The dependence of uncertainty on ensemble composition is clear when single model initial condition large ensembles (SMILEs) are included within a multi-model ensemble. SMILEs introduce new information into a multi-model ensemble by representing region-scale internal variability, but also introduce redundant information, by virtue of a single model being represented by 50–100 outcomes. To preserve the contribution of internal variability and ensure redundancy does not overwhelm uncertainty estimates, a weighting approach is used to incorporate 50-members of the Community Earth System Model (CESM1.2.2), 50-members of the Canadian Earth System Model (CanESM2), and 100-members of the MPI Grand Ensemble (MPI-GE) into an 88-member Coupled Model Intercomparison Project Phase 5 (CMIP5) multi-model ensemble. The weight assigned to each multi-model ensemble member is based on the member's ability to reproduce observed climate (performance) and scaled by a measure of redundancy (dependence). Surface air temperature (SAT) and sea level pressure (SLP) diagnostics are used to determine the weights, and relationships between present and future diagnostic behavior are discussed. A new diagnostic, estimated forced trend, </w:t>
      </w:r>
    </w:p>
    <w:p>
      <w:pPr/>
      <w:r>
        <w:rPr>
          <w:b/>
        </w:rPr>
        <w:t>POSSIBLE 2020:</w:t>
      </w:r>
      <w:r>
        <w:t xml:space="preserve"> Evaluation of the Large EURO‐CORDEX Regional Climate Model Ensemble — https://doi.org/10.1029/2019jd032344</w:t>
      </w:r>
    </w:p>
    <w:p>
      <w:pPr/>
      <w:r>
        <w:rPr>
          <w:b/>
        </w:rPr>
        <w:t>Shared claim-specific concepts:</w:t>
      </w:r>
      <w:r>
        <w:t xml:space="preserve"> ensemble, regional, climate, projections, temperature, precipitation; EU scope visible. This is a provisional connection, not an outcome finding.</w:t>
      </w:r>
    </w:p>
    <w:p>
      <w:pPr>
        <w:pStyle w:val="SourceNote"/>
      </w:pPr>
      <w:r>
        <w:rPr>
          <w:b/>
        </w:rPr>
        <w:t>Available abstract (not full text):</w:t>
      </w:r>
      <w:r>
        <w:t xml:space="preserve"> Abstract The use of regional climate model (RCM)‐based projections for providing regional climate information in a research and climate service contexts is currently expanding very fast. This has been possible thanks to a considerable effort in developing comprehensive ensembles of RCM projections, especially for Europe, in the EURO‐CORDEX community (Jacob et al., 2014, 2020). As of end of 2019, EURO‐CORDEX has developed a set of 55 historical and scenario projections (RCP8.5) using 8 driving global climate models (GCMs) and 11 RCMs. This article presents the ensemble including its design. We target the analysis to better characterize the quality of the RCMs by providing an evaluation of these RCM simulations over a number of classical climate variables and extreme and impact‐oriented indices for the period 1981–2010. For the main variables, the model simulations generally agree with observations and reanalyses. However, several systematic biases are found as well, with shared responsibilities among RCMs and GCMs: Simulations are overall too cold, too wet, and too windy compared to available observations or reanalyses. Some simulations show strong systematic biases on temperature, others on precipitation or dynamical variables, but none of the models/simulations can be defined as the best or the worst on all criteria. The article aims at supporting a proper use of these simulat</w:t>
      </w:r>
    </w:p>
    <w:p>
      <w:pPr/>
      <w:r>
        <w:rPr>
          <w:b/>
        </w:rPr>
        <w:t>POSSIBLE 2020:</w:t>
      </w:r>
      <w:r>
        <w:t xml:space="preserve"> The first multi-model ensemble of regional climate simulations at kilometer-scale resolution, Part I: Evaluation of precipitation — https://doi.org/10.5194/egusphere-egu2020-22378</w:t>
      </w:r>
    </w:p>
    <w:p>
      <w:pPr/>
      <w:r>
        <w:rPr>
          <w:b/>
        </w:rPr>
        <w:t>Shared claim-specific concepts:</w:t>
      </w:r>
      <w:r>
        <w:t xml:space="preserve"> multi-model, ensemble, regional, climate, precipitation; EU scope visible. This is a provisional connection, not an outcome finding.</w:t>
      </w:r>
    </w:p>
    <w:p>
      <w:pPr>
        <w:pStyle w:val="SourceNote"/>
      </w:pPr>
      <w:r>
        <w:rPr>
          <w:b/>
        </w:rPr>
        <w:t>Available abstract (not full text):</w:t>
      </w:r>
      <w:r>
        <w:t xml:space="preserve"> Here we present the first multi-model ensemble of climate simulations at kilometer-scale horizontal resolution over a decade long period. A total of 22 simulations, performed by 21 European research groups are analyzed. Six different regional climate models (RCMs) are represented in the ensemble. The simulations are compared against available high-resolution precipitation observations and coarse resolution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Although differences between the model simulations at the kilometer-scale and observations exist, it is evident that they are superior to the coarse-resolution RCMs in the simulation of precipitation in the present-day climate, and thus offer a promising way forward for investigations of climate and climat</w:t>
      </w:r>
    </w:p>
    <w:p>
      <w:pPr/>
      <w:r>
        <w:rPr>
          <w:b/>
        </w:rPr>
        <w:t>POSSIBLE 2020:</w:t>
      </w:r>
      <w:r>
        <w:t xml:space="preserve"> Precipitation projections of the first multi-model ensemble of regional climate simulations at convection permitting scale — https://doi.org/10.5194/egusphere-egu2020-2687</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We present a multi-model ensemble of regional climate model scenario simulations run at scales allowing for explicit treatment of convective processes (2-3km) over historical and end of century time slices, providing an overview of future precipitation changes over the Alpine domain within the convection-permitting CORDEX-FPS initiative. The 12 simulations of the ensemble have been performed by different research groups around Europe. The simulations are compared with high resolution observations to assess the performance over the historical period and the ensemble of 12 to 25 km resolution driving models is used as a benchmark. An improvement of the representation of fine scale details of the analyzed fields on a seasonal scale is found, as well as of the onset and peak of the summer diurnal convection. An enhancement of the projected patterns of change and modifications of its sign for the daily precipitation intensity and heavy precipitation over some regions are found with respect to coarse resolution ensemble. A change of the amplitude of the diurnal cycle for precipitation intensity and frequency is also shown, as well also a larger positive change for high to extreme events for daily and hourly precipitation distributions. The results are challenging and promising for further assessment of the local impacts of climate change.</w:t>
      </w:r>
    </w:p>
    <w:p>
      <w:pPr/>
      <w:r>
        <w:rPr>
          <w:b/>
        </w:rPr>
        <w:t>POSSIBLE 2019:</w:t>
      </w:r>
      <w:r>
        <w:t xml:space="preserve"> Assessing natural variability in RCM signals: comparison of a multi model EURO-CORDEX ensemble with a 50-member single model large ensemble — https://doi.org/10.1007/s00382-019-04755-8</w:t>
      </w:r>
    </w:p>
    <w:p>
      <w:pPr/>
      <w:r>
        <w:rPr>
          <w:b/>
        </w:rPr>
        <w:t>Shared claim-specific concepts:</w:t>
      </w:r>
      <w:r>
        <w:t xml:space="preserve"> multi-model, ensemble, regional, climate, used, temperature; EU scope visible. This is a provisional connection, not an outcome finding.</w:t>
      </w:r>
    </w:p>
    <w:p>
      <w:pPr>
        <w:pStyle w:val="SourceNote"/>
      </w:pPr>
      <w:r>
        <w:rPr>
          <w:b/>
        </w:rPr>
        <w:t>Available abstract (not full text):</w:t>
      </w:r>
      <w:r>
        <w:t xml:space="preserve"> Uncertainties in climate model ensembles are still relatively large. Besides scenario and model response uncertainty, natural variability is another important source of uncertainty. To study regional natural variability on timescales of several decades and more, observations are often too sparse and short. Regional Climate Models (RCMs) can be used to overcome this lack of useful data at high spatial resolutions. In this study, we compare a new 50-member single RCM large ensemble (CRCM5-LE) with an ensemble of 22 EURO-CORDEX models for seasonal temperature and precipitation at 0.11° grid size over Europe—all driven by the RCP 8.5 scenario. This setup allows us to quantify the contribution of natural/model-internal variability on the total uncertainty of a multi-model ensemble. The variability of climate change signals within the two ensembles is compared for three future periods (2020–2049, 2040–069 and 2070–2099). Results show that the single model spread is usually smaller than the multi-model spread for temperature. Similar variabilities can mostly be found in the near future (and to a lesser extent in the mid future) during winter and spring, especially for northern and central parts of Europe. The contribution of internal variability is generally higher for precipitation. In the near future almost all seasons and regions show similar variabilities. In the mid and far futur</w:t>
      </w:r>
    </w:p>
    <w:p>
      <w:pPr/>
      <w:r>
        <w:rPr>
          <w:b/>
        </w:rPr>
        <w:t>POSSIBLE 2019:</w:t>
      </w:r>
      <w:r>
        <w:t xml:space="preserve"> A multi-model, multi-scenario, and multi-domain analysis of regional climate projections for the Mediterranean — https://doi.org/10.1007/s10113-019-01565-w</w:t>
      </w:r>
    </w:p>
    <w:p>
      <w:pPr/>
      <w:r>
        <w:rPr>
          <w:b/>
        </w:rPr>
        <w:t>Shared claim-specific concepts:</w:t>
      </w:r>
      <w:r>
        <w:t xml:space="preserve"> multi-model, ensemble, regional, climate, projections, used; EU scope visible. This is a provisional connection, not an outcome finding.</w:t>
      </w:r>
    </w:p>
    <w:p>
      <w:pPr>
        <w:pStyle w:val="SourceNote"/>
      </w:pPr>
      <w:r>
        <w:rPr>
          <w:b/>
        </w:rPr>
        <w:t>Available abstract (not full text):</w:t>
      </w:r>
      <w:r>
        <w:t xml:space="preserve"> Abstract Observation and model-based studies have identified the Mediterranean region as one of the most prominent climate change “hot-spots.” Parts of this distinctive region are included in several Coordinated Regional Downscaling Experiment (CORDEX) domains such as those for Europe, Africa, the Mediterranean, and the Middle East/North Africa. In this study, we compile and analyze monthly temperature and precipitation fields derived from regional climate model simulations performed over different CORDEX domains at a spatial resolution of 50 km. This unique multi-model, multi-scenario, and multi-domain “super-ensemble” is used to update projected changes for the Mediterranean region. The statistical robustness and significance of the climate change signal is assessed. By considering information from more than one CORDEX domains, our analysis addresses an additional type of uncertainty that is often neglected and is related to the positioning of the regional climate model domain. CORDEX simulations suggest a general warming by the end of the century (between 1 and 5 °C with respect to the 1986–2005 reference period), which is expected to be strongest during summer (up to 7 °C). A general drying (between 10 and 40%) is also inferred for the Mediterranean. However, the projected precipitation change signal is less significant and less robust. The CORDEX ensemble corroborates the </w:t>
      </w:r>
    </w:p>
    <w:p>
      <w:pPr/>
      <w:r>
        <w:rPr>
          <w:b/>
        </w:rPr>
        <w:t>POSSIBLE 2019:</w:t>
      </w:r>
      <w:r>
        <w:t xml:space="preserve"> A global evaluation of multi‐model ensemble tropical cyclone track probability forecasts — https://doi.org/10.1002/qj.3712</w:t>
      </w:r>
    </w:p>
    <w:p>
      <w:pPr/>
      <w:r>
        <w:rPr>
          <w:b/>
        </w:rPr>
        <w:t>Shared claim-specific concepts:</w:t>
      </w:r>
      <w:r>
        <w:t xml:space="preserve"> ensemble, regional, terms, high; EU scope visible. This is a provisional connection, not an outcome finding.</w:t>
      </w:r>
    </w:p>
    <w:p>
      <w:pPr>
        <w:pStyle w:val="SourceNote"/>
      </w:pPr>
      <w:r>
        <w:rPr>
          <w:b/>
        </w:rPr>
        <w:t>Available abstract (not full text):</w:t>
      </w:r>
      <w:r>
        <w:t xml:space="preserve"> Abstract At the Met Office, dynamic ensemble forecasts from the Met Office Global and Regional Ensemble Prediction System (MOGREPS‐G), the European Centre for Medium‐Range Weather Forecasts Ensemble (ECMWF ENS) and National Centers for Environmental Prediction Global Ensemble Forecast System (NCEP GEFS) global ensemble forecast models are post‐processed to identify and track tropical cyclones. The ensemble members from each model are also combined into a 108‐member multi‐model ensemble. Track probability forecasts are produced for named tropical cyclones showing the probability of a location being within 120 km of a named tropical cyclone at any point in the next 7 days, and also broken down into each 24‐hour forecast period. This study presents the verification of these named‐storm track probabilities over a two‐year period across all global tropical cyclone basins, and compares the results from basin to basin. The combined multi‐model ensemble is found to increase the skill and value of the track probability forecasts over the best‐performing individual ensemble (ECMWF ENS), for both overall 7‐day track probability forecasts and 24‐hour track probabilities. Basin‐based and storm‐based verification illustrates that the best performing individual ensemble can change from basin to basin and from storm to storm, but that the multi‐model ensemble adds skill in every basin, and is </w:t>
      </w:r>
    </w:p>
    <w:p>
      <w:pPr>
        <w:pStyle w:val="Heading2"/>
      </w:pPr>
      <w:r>
        <w:t>850.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partially, climate, trends, observed, over, central;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2019:</w:t>
      </w:r>
      <w:r>
        <w:t xml:space="preserve"> Social Innovation in Community Energy in Europe: A Review of the Evidence — https://doi.org/10.3389/fenrg.2019.00031</w:t>
      </w:r>
    </w:p>
    <w:p>
      <w:pPr/>
      <w:r>
        <w:rPr>
          <w:b/>
        </w:rPr>
        <w:t>Shared claim-specific concepts:</w:t>
      </w:r>
      <w:r>
        <w:t xml:space="preserve"> over, last, three;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2017:</w:t>
      </w:r>
      <w:r>
        <w:t xml:space="preserve"> Life cycle assessment of chitosan production in India and Europe — https://doi.org/10.1007/s11367-017-1290-2</w:t>
      </w:r>
    </w:p>
    <w:p>
      <w:pPr/>
      <w:r>
        <w:rPr>
          <w:b/>
        </w:rPr>
        <w:t>Shared claim-specific concepts:</w:t>
      </w:r>
      <w:r>
        <w:t xml:space="preserve"> three, use; EU scope visible. This is a provisional connection, not an outcome finding.</w:t>
      </w:r>
    </w:p>
    <w:p>
      <w:pPr>
        <w:pStyle w:val="SourceNote"/>
      </w:pPr>
      <w:r>
        <w:rPr>
          <w:b/>
        </w:rPr>
        <w:t>Available abstract (not full text):</w:t>
      </w:r>
      <w:r>
        <w:t xml:space="preserve">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pPr>
        <w:pStyle w:val="Heading2"/>
      </w:pPr>
      <w:r>
        <w:t>851.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2023:</w:t>
      </w:r>
      <w:r>
        <w:t xml:space="preserve"> Coupling hydrological, habitat and water supply indicators to improve the management of environmental flows — https://doi.org/10.1016/j.scitotenv.2023.165640</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Highly regulated basins have traditionally required management practices to mitigate the negative environmental impacts and ensure human well-being. This paper proposes and assesses environmental and water supply deficit indicators to assist in the management of environmental flows (e-flows). For that, a water allocation model is applied, and hydrological alteration, habitat alteration and water supply indicators are quantified, normalized and integrated into a general basin management indicator. This basin management indicator is analyzed for four management approaches and seven e-flow scenarios in the Júcar River Basin (eastern Spain). Hydrological alteration indicators show a less pronounced alteration in the river sections located upstream of the basin while a higher alteration in the downstream sections. As for the habitat indicators, they experience an improvement compared to the natural regime. Based on the values of the basin management indicator, the best e-flow scenario to adopt in the Júcar River Basin is selected. The indicators proposed in this work are useful for supporting decision-making regarding the planning and management of e-flows in regulated river basins worldwide.</w:t>
      </w:r>
    </w:p>
    <w:p>
      <w:pPr/>
      <w:r>
        <w:rPr>
          <w:b/>
        </w:rPr>
        <w:t>POSSIBLE 2022:</w:t>
      </w:r>
      <w:r>
        <w:t xml:space="preserve"> A hydrological model to estimate pollution from combined sewer overflows at the regional scale: Application to Europe — https://doi.org/10.1016/j.ejrh.2022.101080</w:t>
      </w:r>
    </w:p>
    <w:p>
      <w:pPr/>
      <w:r>
        <w:rPr>
          <w:b/>
        </w:rPr>
        <w:t>Shared claim-specific concepts:</w:t>
      </w:r>
      <w:r>
        <w:t xml:space="preserve"> hydrological, first, order; EU scope visible. This is a provisional connection, not an outcome finding.</w:t>
      </w:r>
    </w:p>
    <w:p>
      <w:pPr>
        <w:pStyle w:val="SourceNote"/>
      </w:pPr>
      <w:r>
        <w:rPr>
          <w:b/>
        </w:rPr>
        <w:t>Available abstract (not full text):</w:t>
      </w:r>
      <w:r>
        <w:t xml:space="preserve">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pPr/>
      <w:r>
        <w:rPr>
          <w:b/>
        </w:rPr>
        <w:t>POSSIBLE 2020:</w:t>
      </w:r>
      <w:r>
        <w:t xml:space="preserve"> Glacio‐hydrological model calibration and evaluation — https://doi.org/10.1002/wat2.1483</w:t>
      </w:r>
    </w:p>
    <w:p>
      <w:pPr/>
      <w:r>
        <w:rPr>
          <w:b/>
        </w:rPr>
        <w:t>Shared claim-specific concepts:</w:t>
      </w:r>
      <w:r>
        <w:t xml:space="preserve"> hydrological, climate, simulations, water, streamflow, account; EU scope not established. This is a provisional connection, not an outcome finding.</w:t>
      </w:r>
    </w:p>
    <w:p>
      <w:pPr>
        <w:pStyle w:val="SourceNote"/>
      </w:pPr>
      <w:r>
        <w:rPr>
          <w:b/>
        </w:rPr>
        <w:t>Available abstract (not full text):</w:t>
      </w:r>
      <w:r>
        <w:t xml:space="preserve"> Abstract Glaciers are essential for downstream water resources. Hydrological modeling is necessary for a better understanding and for future projections of the water resources in these rapidly changing systems, but modeling glacierized catchments is especially challenging. Here we review a wealth of glacio‐hydrological modeling studies (145 publications) in catchments around the world. Major model challenges include a high uncertainty in the input data, mainly precipitation, due to scarce observations. Consequently, the risk of wrongly compensating input with model errors in competing snow and ice accumulation and melt process parameterization is particularly high. Modelers have used a range of calibration and validation approaches to address this issue. The review revealed that while a large part (~35%) of the reviewed studies used only streamflow data to evaluate model performances, most studies (~50%) have used additional data related to snow and glaciers to constrain model parameters. These data were employed in a variety of calibration strategies, including stepwise and multi‐signal calibration. Although the primary aim of glacio‐hydrological modeling studies is to assess future climate change impacts, long‐term changes have rarely been taken into account in model performance evaluations. Overall, a more precise description of which data are used how for model evaluation w</w:t>
      </w:r>
    </w:p>
    <w:p>
      <w:pPr/>
      <w:r>
        <w:rPr>
          <w:b/>
        </w:rPr>
        <w:t>POSSIBLE 2020:</w:t>
      </w:r>
      <w:r>
        <w:t xml:space="preserve"> Review: Sources of Hydrological Model Uncertainties and Advances in Their Analysis — https://doi.org/10.3390/w13010028</w:t>
      </w:r>
    </w:p>
    <w:p>
      <w:pPr/>
      <w:r>
        <w:rPr>
          <w:b/>
        </w:rPr>
        <w:t>Shared claim-specific concepts:</w:t>
      </w:r>
      <w:r>
        <w:t xml:space="preserve"> hydrological, uncertainty; EU scope not established. This is a provisional connection, not an outcome finding.</w:t>
      </w:r>
    </w:p>
    <w:p>
      <w:pPr>
        <w:pStyle w:val="SourceNote"/>
      </w:pPr>
      <w:r>
        <w:rPr>
          <w:b/>
        </w:rPr>
        <w:t>Available abstract (not full text):</w:t>
      </w:r>
      <w:r>
        <w:t xml:space="preserve"> Despite progresses in representing different processes, hydrological models remain uncertain. Their uncertainty stems from input and calibration data, model structure, and parameters. In characterizing these sources, their causes, interactions and different uncertainty analysis (UA) methods are reviewed. The commonly used UA methods are categorized into six broad classes: (i) Monte Carlo analysis, (ii) Bayesian statistics, (iii) multi-objective analysis, (iv) least-squares-based inverse modeling, (v) response-surface-based techniques, and (vi) multi-modeling analysis. For each source of uncertainty, the status-quo and applications of these methods are critiqued in gauged catchments where UA is common and in ungauged catchments where both UA and its review are lacking. Compared to parameter uncertainty, UA application for structural uncertainty is limited while input and calibration data uncertainties are mostly unaccounted. Further research is needed to improve the computational efficiency of UA, disentangle and propagate the different sources of uncertainty, improve UA applications to environmental changes and coupled human–natural-hydrologic systems, and ease UA’s applications for practitioners.</w:t>
      </w:r>
    </w:p>
    <w:p>
      <w:pPr/>
      <w:r>
        <w:rPr>
          <w:b/>
        </w:rPr>
        <w:t>POSSIBLE 2019:</w:t>
      </w:r>
      <w:r>
        <w:t xml:space="preserve"> Improvement of surface run‐off in the hydrological model ParFlow by a scale‐consistent river parameterization — https://doi.org/10.1002/hyp.13448</w:t>
      </w:r>
    </w:p>
    <w:p>
      <w:pPr/>
      <w:r>
        <w:rPr>
          <w:b/>
        </w:rPr>
        <w:t>Shared claim-specific concepts:</w:t>
      </w:r>
      <w:r>
        <w:t xml:space="preserve"> hydrological, simulations, water; EU scope not established. This is a provisional connection, not an outcome finding.</w:t>
      </w:r>
    </w:p>
    <w:p>
      <w:pPr>
        <w:pStyle w:val="SourceNote"/>
      </w:pPr>
      <w:r>
        <w:rPr>
          <w:b/>
        </w:rPr>
        <w:t>Available abstract (not full text):</w:t>
      </w:r>
      <w:r>
        <w:t xml:space="preserve"> Abstract We propose an improvement of the overland‐flow parameterization in a distributed hydrological model, which uses a constant horizontal grid resolution and employs the kinematic wave approximation for both hillslope and river channel flow. The standard parameterization lacks any channel flow characteristics for rivers, which results in reduced river flow velocities for streams narrower than the horizontal grid resolution. Moreover, the surface areas, through which these wider model rivers may exchange water with the subsurface, are larger than the real river channels potentially leading to unrealistic vertical flows. We propose an approximation of the subscale channel flow by scaling Manning's roughness in the kinematic wave formulation via a relationship between river width and grid cell size, following a simplified version of the Barré de Saint‐Venant equations (Manning–Strickler equations). The too large exchange areas between model rivers and the subsurface are compensated by a grid resolution‐dependent scaling of the infiltration/exfiltration rate across river beds. We test both scaling approaches in the integrated hydrological model ParFlow. An empirical relation is used for estimating the true river width from the mean annual discharge. Our simulations show that the scaling of the roughness coefficient and the hydraulic conductivity effectively corrects overland f</w:t>
      </w:r>
    </w:p>
    <w:p>
      <w:pPr/>
      <w:r>
        <w:rPr>
          <w:b/>
        </w:rPr>
        <w:t>POSSIBLE 2018:</w:t>
      </w:r>
      <w:r>
        <w:t xml:space="preserve"> Coupling land-use change and hydrologic models for quantification of catchment ecosystem services — https://doi.org/10.1016/j.envsoft.2018.08.029</w:t>
      </w:r>
    </w:p>
    <w:p>
      <w:pPr/>
      <w:r>
        <w:rPr>
          <w:b/>
        </w:rPr>
        <w:t>Shared claim-specific concepts:</w:t>
      </w:r>
      <w:r>
        <w:t xml:space="preserve"> coupling, use, first; EU scope not established. This is a provisional connection, not an outcome finding.</w:t>
      </w:r>
    </w:p>
    <w:p>
      <w:pPr>
        <w:pStyle w:val="SourceNote"/>
      </w:pPr>
      <w:r>
        <w:rPr>
          <w:b/>
        </w:rPr>
        <w:t>Available abstract (not full text):</w:t>
      </w:r>
      <w:r>
        <w:t xml:space="preserve"> Representation of land-use and hydrologic interactions in respective models has traditionally been problematic. The use of static land-use in most hydrologic models or that of the use of simple hydrologic proxies in land-use change models call for more integrated approaches. The objective of this study is to assess whether dynamic feedback between land-use change and hydrology can (1) improve model performances, and/or (2) produce a more realistic quantification of ecosystem services. To test this, we coupled a land-use change model and a hydrologic mode. First, the land-use change and the hydrologic models were separately developed and calibrated. Then, the two models were dynamically coupled to exchange data at yearly time-steps. The approach is applied to a catchment in South Africa. Performance of coupled models when compared to the uncoupled models were marginal, but the coupled models excelled at the quantification of catchment ecosystem services more robustly.</w:t>
      </w:r>
    </w:p>
    <w:p>
      <w:pPr>
        <w:pStyle w:val="Heading2"/>
      </w:pPr>
      <w:r>
        <w:t>852.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2022:</w:t>
      </w:r>
      <w:r>
        <w:t xml:space="preserve"> Governing artificial intelligence in China and the European Union: Comparing aims and promoting ethical outcomes — https://doi.org/10.1080/01972243.2022.2124565</w:t>
      </w:r>
    </w:p>
    <w:p>
      <w:pPr/>
      <w:r>
        <w:rPr>
          <w:b/>
        </w:rPr>
        <w:t>Shared claim-specific concepts:</w:t>
      </w:r>
      <w:r>
        <w:t xml:space="preserve"> aim, article, use; EU scope visible. This is a provisional connection, not an outcome finding.</w:t>
      </w:r>
    </w:p>
    <w:p>
      <w:pPr>
        <w:pStyle w:val="SourceNote"/>
      </w:pPr>
      <w:r>
        <w:rPr>
          <w:b/>
        </w:rPr>
        <w:t>Available abstract (not full text):</w:t>
      </w:r>
      <w:r>
        <w:t xml:space="preserve">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pPr/>
      <w:r>
        <w:rPr>
          <w:b/>
        </w:rPr>
        <w:t>POSSIBLE 2022:</w:t>
      </w:r>
      <w:r>
        <w:t xml:space="preserve"> Assessing the Effectiveness of Selected European Innovation Systems — https://doi.org/10.18778/1508-2008.25.15</w:t>
      </w:r>
    </w:p>
    <w:p>
      <w:pPr/>
      <w:r>
        <w:rPr>
          <w:b/>
        </w:rPr>
        <w:t>Shared claim-specific concepts:</w:t>
      </w:r>
      <w:r>
        <w:t xml:space="preserve"> aim, article, assess, possible; EU scope visible. This is a provisional connection, not an outcome finding.</w:t>
      </w:r>
    </w:p>
    <w:p>
      <w:pPr>
        <w:pStyle w:val="SourceNote"/>
      </w:pPr>
      <w:r>
        <w:rPr>
          <w:b/>
        </w:rPr>
        <w:t>Available abstract (not full text):</w:t>
      </w:r>
      <w:r>
        <w:t xml:space="preserve"> The growing importance of innovation in the modern economy has revived the interest of economic sciences in studies on the mechanisms that govern innovation and its impact on economic development. This growth of interest induced the concept of the national system of innovation (NSI), which occupies an important place in the innovation policy of all developed market economies. The economic literature distinguishes various typologies of innovation systems. The aim of the article is to assess the effectiveness of the system of European integration, the socio‑democratic system, and the mutated system, measured by the level of innovation of the economies that belong to these systems, in 2014 and 2019. The article analyzes the literature on the subject of innovation systems. The method of linear ordering, which makes it possible to build a synthetic measure calculated using the Hellwig method, is used to assess the effectiveness of innovation systems. The article formulates a research hypothesis that the most effective innovation systems are the socio‑democratic system and the system of European integration. This hypothesis has been positively verified.</w:t>
      </w:r>
    </w:p>
    <w:p>
      <w:pPr/>
      <w:r>
        <w:rPr>
          <w:b/>
        </w:rPr>
        <w:t>POSSIBLE 2021:</w:t>
      </w:r>
      <w:r>
        <w:t xml:space="preserve"> Assessing the Level of Renewable Energy Development in the European Union Member States. A 10-Year Perspective — https://doi.org/10.3390/en14133765</w:t>
      </w:r>
    </w:p>
    <w:p>
      <w:pPr/>
      <w:r>
        <w:rPr>
          <w:b/>
        </w:rPr>
        <w:t>Shared claim-specific concepts:</w:t>
      </w:r>
      <w:r>
        <w:t xml:space="preserve"> article, assess, possible, set, indicators; EU scope visible. This is a provisional connection, not an outcome finding.</w:t>
      </w:r>
    </w:p>
    <w:p>
      <w:pPr>
        <w:pStyle w:val="SourceNote"/>
      </w:pPr>
      <w:r>
        <w:rPr>
          <w:b/>
        </w:rPr>
        <w:t>Available abstract (not full text):</w:t>
      </w:r>
      <w:r>
        <w:t xml:space="preserve"> The global economic development is, to a great extent, dependent on access to large amounts of cheap energy sources. The growing social awareness of ecology and the enormous damage to the Earth’s ecosystem due to the production of energy from conventional sources have forced fundamental changes in the energy sector. Renewable energy is considered to be an opportunity for such changes. The current state of the art allows such changes to be made without restricting economic development. Therefore, activities related to the energy transition are being taken all over the world. The European Union has definitely managed to achieve the most tangible effects in this regard. This article presents the findings of the research aimed at presenting the current state of renewable energy in the European Union and analyzing the changes reported in this sector in the last decade. The research was carried out using a selected set of 11 indicators characterizing renewable energy in individual countries. These indicators were selected on the basis of literature review and own studies of the state of renewable energy and its development prospects. Based on these indicators, changes in the energy structure of individual European Union countries between 2008–2018 were determined. The study is divided into two main stages. The principal components analysis (PCA) was used for the first analysis. In tu</w:t>
      </w:r>
    </w:p>
    <w:p>
      <w:pPr/>
      <w:r>
        <w:rPr>
          <w:b/>
        </w:rPr>
        <w:t>POSSIBLE 2021:</w:t>
      </w:r>
      <w:r>
        <w:t xml:space="preserve"> Assessing the level of digital maturity of enterprises in the Central and Eastern European countries using the MCDM and Shannon’s entropy methods — https://doi.org/10.1371/journal.pone.0253965</w:t>
      </w:r>
    </w:p>
    <w:p>
      <w:pPr/>
      <w:r>
        <w:rPr>
          <w:b/>
        </w:rPr>
        <w:t>Shared claim-specific concepts:</w:t>
      </w:r>
      <w:r>
        <w:t xml:space="preserve"> article, possible; EU scope visible. This is a provisional connection, not an outcome finding.</w:t>
      </w:r>
    </w:p>
    <w:p>
      <w:pPr>
        <w:pStyle w:val="SourceNote"/>
      </w:pPr>
      <w:r>
        <w:rPr>
          <w:b/>
        </w:rPr>
        <w:t>Available abstract (not full text):</w:t>
      </w:r>
      <w:r>
        <w:t xml:space="preserve"> The process of global economic digitalization is a natural stage of evolutionary changes resulting from a dynamic development of information and communication technologies. Having appreciated the importance and advantages of digital transformation, individual countries began to strive to introduce it as soon as possible. In this context, it is important to study the level of digital maturity in Central and Eastern Europe, where the level of digitization is relatively low. This article assesses the level of digital readiness of enterprises in these countries based on 14 determinants characterizing the most important areas of the digitalization process. The research was carried out for 11 countries from the region, both for all and manufacturing enterprises. Multi-criteria analysis aimed at assessing the digital maturity of countries were performed using the Multi-Criteria Decision-Making methods (the TOPSIS, MOORA, VIKOR), and entropy methods for delineating the weights of the determinants. In order to obtain an unambiguous assessment of the determined digital maturity, the mean-rank method was applied. The method of multidimensional scaling allowed for the analysis of similarities between the countries in question. The results showed that the level of digital maturity in the Central and Eastern Europe countries varies greatly and is lower than in other European Union countries.</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carbon,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The ‘political’ roles of the European Commission — https://doi.org/10.1080/07036337.2019.1572135</w:t>
      </w:r>
    </w:p>
    <w:p>
      <w:pPr/>
      <w:r>
        <w:rPr>
          <w:b/>
        </w:rPr>
        <w:t>Shared claim-specific concepts:</w:t>
      </w:r>
      <w:r>
        <w:t xml:space="preserve"> aim, article, assess;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2017:</w:t>
      </w:r>
      <w:r>
        <w:t xml:space="preserve"> Life cycle assessment of chitosan production in India and Europe — https://doi.org/10.1007/s11367-017-1290-2</w:t>
      </w:r>
    </w:p>
    <w:p>
      <w:pPr/>
      <w:r>
        <w:rPr>
          <w:b/>
        </w:rPr>
        <w:t>Shared claim-specific concepts:</w:t>
      </w:r>
      <w:r>
        <w:t xml:space="preserve"> aim, article, land, use, water, relevant; EU scope visible. This is a provisional connection, not an outcome finding.</w:t>
      </w:r>
    </w:p>
    <w:p>
      <w:pPr>
        <w:pStyle w:val="SourceNote"/>
      </w:pPr>
      <w:r>
        <w:rPr>
          <w:b/>
        </w:rPr>
        <w:t>Available abstract (not full text):</w:t>
      </w:r>
      <w:r>
        <w:t xml:space="preserve">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pPr/>
      <w:r>
        <w:rPr>
          <w:b/>
        </w:rPr>
        <w:t>POSSIBLE 2015:</w:t>
      </w:r>
      <w:r>
        <w:t xml:space="preserve"> Innovation and Competitiveness in European Context — https://doi.org/10.1016/s2212-5671(15)01455-0</w:t>
      </w:r>
    </w:p>
    <w:p>
      <w:pPr/>
      <w:r>
        <w:rPr>
          <w:b/>
        </w:rPr>
        <w:t>Shared claim-specific concepts:</w:t>
      </w:r>
      <w:r>
        <w:t xml:space="preserve"> article, assess, use, indicators; EU scope visible. This is a provisional connection, not an outcome finding.</w:t>
      </w:r>
    </w:p>
    <w:p>
      <w:pPr>
        <w:pStyle w:val="SourceNote"/>
      </w:pPr>
      <w:r>
        <w:rPr>
          <w:b/>
        </w:rPr>
        <w:t>Available abstract (not full text):</w:t>
      </w:r>
      <w:r>
        <w:t xml:space="preserve"> An almost unanimously accepted issue is that the path to competitiveness of economies, whose companies are exposed to international competition, goes through innovation. This enables companies to adapt quickly to the pace of the technological change, in order to increase competitiveness. This article aims to test the links between innovation and competitiveness having considered the results of the performance evaluation models in matters of innovation and competitiveness for different countries, such as the Innovation Union Scoreboard and IMD World Competitiveness Yearbook. Using these models we can evaluate the connection between the composite indicators calculated by using the methodologies mentioned above. To determine the connection we will use a panel-type econometric model. The econometric analysis aims to confirm a cause-effect relationship between innovation and competitiveness through which we will be able to assess the impact of innovation on competitiveness growth. In accordance with the European and national policies for stimulating innovation through increased R&amp;D funding intensity, raising the average level of spending in the EU of R&amp;D to 3% of GDP could significantly enhance the competitiveness of European economies compared to other states.</w:t>
      </w:r>
    </w:p>
    <w:p>
      <w:pPr>
        <w:pStyle w:val="Heading2"/>
      </w:pPr>
      <w:r>
        <w:t>853.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r>
        <w:rPr>
          <w:b/>
        </w:rPr>
        <w:t>POSSIBLE 2022:</w:t>
      </w:r>
      <w:r>
        <w:t xml:space="preserve"> An Overview of Packaging Waste Models in Some European Countries — https://doi.org/10.3390/recycling7030038</w:t>
      </w:r>
    </w:p>
    <w:p>
      <w:pPr/>
      <w:r>
        <w:rPr>
          <w:b/>
        </w:rPr>
        <w:t>Shared claim-specific concepts:</w:t>
      </w:r>
      <w:r>
        <w:t xml:space="preserve"> packaging, implications, provide, base; EU scope visible. This is a provisional connection, not an outcome finding.</w:t>
      </w:r>
    </w:p>
    <w:p>
      <w:pPr>
        <w:pStyle w:val="SourceNote"/>
      </w:pPr>
      <w:r>
        <w:rPr>
          <w:b/>
        </w:rPr>
        <w:t>Available abstract (not full text):</w:t>
      </w:r>
      <w:r>
        <w:t xml:space="preserve">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pPr/>
      <w:r>
        <w:rPr>
          <w:b/>
        </w:rPr>
        <w:t>POSSIBLE 2021:</w:t>
      </w:r>
      <w:r>
        <w:t xml:space="preserve"> Plastic packaging flows in Europe: A hybrid input‐output approach — https://doi.org/10.1111/jiec.13175</w:t>
      </w:r>
    </w:p>
    <w:p>
      <w:pPr/>
      <w:r>
        <w:rPr>
          <w:b/>
        </w:rPr>
        <w:t>Shared claim-specific concepts:</w:t>
      </w:r>
      <w:r>
        <w:t xml:space="preserve"> potential, packaging, then, work; EU scope visible. This is a provisional connection, not an outcome finding.</w:t>
      </w:r>
    </w:p>
    <w:p>
      <w:pPr>
        <w:pStyle w:val="SourceNote"/>
      </w:pPr>
      <w:r>
        <w:rPr>
          <w:b/>
        </w:rPr>
        <w:t>Available abstract (not full text):</w:t>
      </w:r>
      <w:r>
        <w:t xml:space="preserve"> Abstract The European Union (EU) set ambitious goals toward more sustainable use of plastics, but the basis for measuring performance and monitoring progress toward these goals remains inadequate due to a limited understanding of the complex systems behind plastic consumption. In this work, we study the region‐wide material flows of plastics related to packaging in 2014 using a hybrid approach that combines data on the production and end‐of‐life management of plastic packaging with a monetary input‐output model for the EU. The approach enables us to gain insight into interindustry flows and the connection between production and final demand. We map supply chains with a relatively high resolution, including polymer types, packaging forms and application categories. Results estimate the total packaging placed on the market (POM) and then discarded amounted to 18,000 kt., excluding a net increase in stocks of 500 kt. This means that waste generation could have been up to 15% higher than accounted in official statistics, reinforcing potential underreporting accounts as well as remaining data gaps. Thirty‐five percent of postconsumer packaging waste was directed toward recycling. However, only 5% contributed to new domestic packaging production, a reflection of the broad challenges to plastic circularity. Although first steps are taken in this work, we point to an acute lack of info</w:t>
      </w:r>
    </w:p>
    <w:p>
      <w:pPr/>
      <w:r>
        <w:rPr>
          <w:b/>
        </w:rPr>
        <w:t>POSSIBLE 2020:</w:t>
      </w:r>
      <w:r>
        <w:t xml:space="preserve"> The environmental benefits of improving packaging waste collection in Europe — https://doi.org/10.1016/j.wasman.2019.12.045</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Collecting more waste via source separation waste collection systems is an essential part of increasing resource efficiency, achieving European recycling targets and closing the loop in a circular economy. Huge variation in the capture rates of packaging waste (paper, plastic, metal, composite material and glass) exists in Europe, even between municipalities with similar characteristics, which suggests there is great potential to increase the amount of these materials that can be recovered. In order to assess the environmental impacts linked to higher collection rates, a Life Cycle Assessment model was built that considers the reduced need for virgin materials as the system's loops are closed. An extra 18 million tonnes of waste could be collected annually in Europe if best practice collection strategies were to be deployed, leading to a 13% reduction in greenhouse gas production associated with the packaging and packaging waste. Although high collection performance is crucial for efficient resource use, improving source separation waste collection systems alone will not be enough to achieve recycling targets; material losses must be reduced throughout the value chain, i.e. at the sorting and recycling stages. By evaluating the circularity and environmental implications of current waste management, it can be shown at which points in the system the most improvement needs to be m</w:t>
      </w:r>
    </w:p>
    <w:p>
      <w:pPr/>
      <w:r>
        <w:rPr>
          <w:b/>
        </w:rPr>
        <w:t>POSSIBLE 2020:</w:t>
      </w:r>
      <w:r>
        <w:t xml:space="preserve"> A review of silver nanoparticles in food packaging technologies: Regulation, methods, properties, migration, and future challenges — https://doi.org/10.1002/jccs.202000179</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Abstract The development of antimicrobial food packaging is needed for food preservation and quality maintenance. Silver nanoparticles (AgNPs) have been widely used as an antimicrobial agent in food packaging technologies. However, the risks associated with their potential migration into foods are a major concern. This paper comprehensively reviews the use of AgNPs in food packaging technologies. The application of AgNPs in food packaging technologies has been regulated by the United States Food and Drug Administration and the European Food Safety Authority. The addition of AgNPs into food packaging can improve their barrier, mechanical, and antibacterial properties, as well as maintain the quality of foods. Migration of AgNPs from food packaging into foods is still a concern as it has implications for human health associated with their toxicity properties. A study on the toxicological properties of AgNPs released from food packaging needs to be carried out intensively to ensure their safety before being widely implemented. Moreover, comprehensive economic evaluation to implement AgNPs in food packaging is needed as such a study is missing in the literature.</w:t>
      </w:r>
    </w:p>
    <w:p>
      <w:pPr/>
      <w:r>
        <w:rPr>
          <w:b/>
        </w:rPr>
        <w:t>POSSIBLE 2016:</w:t>
      </w:r>
      <w:r>
        <w:t xml:space="preserve"> Resource Efficiency: Potential and Economic Implications — https://openalex.org/W2547506595</w:t>
      </w:r>
    </w:p>
    <w:p>
      <w:pPr/>
      <w:r>
        <w:rPr>
          <w:b/>
        </w:rPr>
        <w:t>Shared claim-specific concepts:</w:t>
      </w:r>
      <w:r>
        <w:t xml:space="preserve"> potential, implications, provide; EU scope not established. This is a provisional connection, not an outcome finding.</w:t>
      </w:r>
    </w:p>
    <w:p>
      <w:pPr>
        <w:pStyle w:val="SourceNote"/>
      </w:pPr>
      <w:r>
        <w:rPr>
          <w:b/>
        </w:rPr>
        <w:t>Available abstract (not full text):</w:t>
      </w:r>
      <w:r>
        <w:t xml:space="preserve"> Despite enormous progress in the past decades towards improving human prosperity and well-being, this has come at the lasting cost of degradation of the natural environment and depletion of natural resources. Meeting the needs of a growing and increasingly affluent population, will require natural resource extraction to increase from 85 to 186 billion tonnes by 2050. This can cause irreversible environmental damage and endanger the capacity of Earth to continue to provide resources which are essential for human survival and development. \n \nAnalysis in the report shows that policies and initiatives to improve resource efficiency and tackle climate change can reduce global resource extraction by up to 28 per cent while also boosting the value of world economic activity by 1 per cent in 2050, against the baseline. Such policy actions can also cut global greenhouse gas emissions by around 60 per cent in 2050 relative to 2015 levels. \n \nThis report has been produced by the UNEP’s International Resource Panel in response to a request by leaders of the G7 nations in the context of efforts to promote resource efficiency as a core element of sustainable development. The report conducts a rigorous survey to assess and articulate the prospects and solutions for resource efficiency. It considers how more efficient use of resources can contribute to economic growth, employment and devel</w:t>
      </w:r>
    </w:p>
    <w:p>
      <w:pPr>
        <w:pStyle w:val="Heading2"/>
      </w:pPr>
      <w:r>
        <w:t>854.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2022:</w:t>
      </w:r>
      <w:r>
        <w:t xml:space="preserve"> Stakeholders of the Online Pharmaceutical Market — https://doi.org/10.5772/intechopen.108485</w:t>
      </w:r>
    </w:p>
    <w:p>
      <w:pPr/>
      <w:r>
        <w:rPr>
          <w:b/>
        </w:rPr>
        <w:t>Shared claim-specific concepts:</w:t>
      </w:r>
      <w:r>
        <w:t xml:space="preserve"> stakeholders, landscape, however; EU scope not established. This is a provisional connection, not an outcome finding.</w:t>
      </w:r>
    </w:p>
    <w:p>
      <w:pPr>
        <w:pStyle w:val="SourceNote"/>
      </w:pPr>
      <w:r>
        <w:rPr>
          <w:b/>
        </w:rPr>
        <w:t>Available abstract (not full text):</w:t>
      </w:r>
      <w:r>
        <w:t xml:space="preserve"> During the past two decades, the pharmacy supply chain has developed a new segment besides traditional “brick and mortar” pharmacies. The expansion of the internet, consumer experience in online purchases, the ease of mail order trade, and distance selling have facilitated the growth of the internet pharmacy landscape. Changes in health-seeking behavior, patient empowerment, and openness to self-diagnosis and self-treatment have also contributed to the phenomenon and were further facilitated by the pandemic. Various types of online medicinal product sellers have been published previously, however, authors have classified online pharmacies mainly according to legality and patient safety considerations. As online pharmacies show great diversity, no distinct categories can be specified, rather pharmacies on the web can be categorized by multiple aspects. Admittedly, consumer preferences, regulatory environment, and legitimacy of operation are key influencing factors. In this chapter, key aspects of categorization and nomenclature are discussed to profile different vendors on the internet.</w:t>
      </w:r>
    </w:p>
    <w:p>
      <w:pPr/>
      <w:r>
        <w:rPr>
          <w:b/>
        </w:rPr>
        <w:t>POSSIBLE 2022:</w:t>
      </w:r>
      <w:r>
        <w:t xml:space="preserve"> Interaction between market stakeholders in the process of business development in an innovative economy — https://doi.org/10.5281/zenodo.5909762</w:t>
      </w:r>
    </w:p>
    <w:p>
      <w:pPr/>
      <w:r>
        <w:rPr>
          <w:b/>
        </w:rPr>
        <w:t>Shared claim-specific concepts:</w:t>
      </w:r>
      <w:r>
        <w:t xml:space="preserve"> stakeholders, based; EU scope not established. This is a provisional connection, not an outcome finding.</w:t>
      </w:r>
    </w:p>
    <w:p>
      <w:pPr>
        <w:pStyle w:val="SourceNote"/>
      </w:pPr>
      <w:r>
        <w:rPr>
          <w:b/>
        </w:rPr>
        <w:t>Available abstract (not full text):</w:t>
      </w:r>
      <w:r>
        <w:t xml:space="preserve"> Relevance of the research topic. The problem of interaction between market stakeholders in the development of entrepreneurship in an innovative economy is a prerequisite for the formation of a new type of economy based on knowledge. Transformational configurations in the institutional matrix require a systematic revision of these issues, taking into account the current state of development of the state economy. Formulation of the problem. There is a need to detail the directions of ensuring the interaction of market stakeholders in the process of developing entrepreneurship in an innovative economy. It is important to specify the infrastructural elements that will ensure continuous communication flows between individual market stakeholders. Setting the purpose and objectives of the study – to investigate the problems of interaction between market stakeholders in the development of entrepreneurship in an innovative economy and highlight the directions for improving communication between the scientific sector, production, infrastructure elements and government bodies. Research method or methodology. The article uses the methods of deduction, induction, systematization, analysis, synthesis and theoretical generalization. Presentation of the main material (research results). It is substantiated that the interaction of market stakeholders in the development of entrepreneurship in an</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stakeholders, data, presents;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Market research and stakeholder mapping — https://doi.org/10.5281/zenodo.7116931</w:t>
      </w:r>
    </w:p>
    <w:p>
      <w:pPr/>
      <w:r>
        <w:rPr>
          <w:b/>
        </w:rPr>
        <w:t>Shared claim-specific concepts:</w:t>
      </w:r>
      <w:r>
        <w:t xml:space="preserve"> stakeholders, evolve; EU scope not established. This is a provisional connection, not an outcome finding.</w:t>
      </w:r>
    </w:p>
    <w:p>
      <w:pPr>
        <w:pStyle w:val="SourceNote"/>
      </w:pPr>
      <w:r>
        <w:rPr>
          <w:b/>
        </w:rPr>
        <w:t>Available abstract (not full text):</w:t>
      </w:r>
      <w:r>
        <w:t xml:space="preserve"> As part of the 5GMETA project, WP6 (New Market Ecosystem) has the objective to support the strategy to create a new CCAM (Cooperative, Connected and Automated Mobility) market ecosystem. In particular, Task 6.1 (Market research and stakeholder mapping) aims to provide results after a market research and stakeholders analysis to understand which are the trends, segments and customers for the 5GMETA platform, and how the market will evolve in the CCAM market ecosystem. Moreover, a competitor analysis is performed which will be used as input for some deliverables to follow, such as D6.2 (New Business Model), thus creating a value proposition and a business model that better fits the customers and stakeholders needs. The work also identifies the key stakeholders that take part in use cases, which enriches the analysis by showing opportunities and barriers in such an innovative and technological context.</w:t>
      </w:r>
    </w:p>
    <w:p>
      <w:pPr/>
      <w:r>
        <w:rPr>
          <w:b/>
        </w:rPr>
        <w:t>POSSIBLE 2021:</w:t>
      </w:r>
      <w:r>
        <w:t xml:space="preserve"> D3.1 – Stakeholders and market analysis report — https://doi.org/10.5281/zenodo.5552478</w:t>
      </w:r>
    </w:p>
    <w:p>
      <w:pPr/>
      <w:r>
        <w:rPr>
          <w:b/>
        </w:rPr>
        <w:t>Shared claim-specific concepts:</w:t>
      </w:r>
      <w:r>
        <w:t xml:space="preserve"> stakeholders, data; EU scope not established. This is a provisional connection, not an outcome finding.</w:t>
      </w:r>
    </w:p>
    <w:p>
      <w:pPr>
        <w:pStyle w:val="SourceNote"/>
      </w:pPr>
      <w:r>
        <w:rPr>
          <w:b/>
        </w:rPr>
        <w:t>Available abstract (not full text):</w:t>
      </w:r>
      <w:r>
        <w:t xml:space="preserve"> State of the art review of the stakeholders and market analysis regarding PIXEL technologies and solutions. The aim of this deliverable is to provide an insight to the current and emerging situation of port related solutions focused on the interoperability between agents (cities, transportation companies, port agencies, etc.), the communication and storage of data of port activities, exploitation of this information and optimization of those operations from different points of view (namely environmentally).</w:t>
      </w:r>
    </w:p>
    <w:p>
      <w:pPr/>
      <w:r>
        <w:rPr>
          <w:b/>
        </w:rPr>
        <w:t>POSSIBLE 2021:</w:t>
      </w:r>
      <w:r>
        <w:t xml:space="preserve"> Stakeholder perspectives to improve risk management in European farming systems — https://doi.org/10.1016/j.jrurstud.2021.04.004</w:t>
      </w:r>
    </w:p>
    <w:p>
      <w:pPr/>
      <w:r>
        <w:rPr>
          <w:b/>
        </w:rPr>
        <w:t>Shared claim-specific concepts:</w:t>
      </w:r>
      <w:r>
        <w:t xml:space="preserve"> integrated, data, based; EU scope visible. This is a provisional connection, not an outcome finding.</w:t>
      </w:r>
    </w:p>
    <w:p>
      <w:pPr>
        <w:pStyle w:val="SourceNote"/>
      </w:pPr>
      <w:r>
        <w:rPr>
          <w:b/>
        </w:rPr>
        <w:t>Available abstract (not full text):</w:t>
      </w:r>
      <w:r>
        <w:t xml:space="preserve"> The challenges faced by agricultural systems call for an advance in risk management (RM) assessments. This research identifies and discusses potential improvements to RM across 11 European Union (EU) farming systems (FS). The paper proposes a comprehensive, participatory approach that accounts for multi-stakeholder perspectives relying on 11 focus groups for brainstorming and gathering suggestions to improve RM. Data analysis is based on content analysis and coding of suggested improvements, and their assessment through the lenses of main challenges faced, farms’ flexibility, and dependence on subsidies. First, the results show that necessary improvements differ depending on whether they have their origin in sudden shocks or long-term pressures. Second, farm dependence on direct payments determines a stronger need to improve financial instruments, whereas farm flexibility suggests a need for more accessible and tailored tools for low-flexibility FS, and increased know-what and know-how for high-flexibility FS. Third, our findings indicate a potential for extending stakeholder involvement in RM to new or unconventional roles. Underlying specific improvements, the paper suggests and discusses three main avenues to improve RM as a whole: i) a developed learning and knowledge network; ii) new forms of collaboration; and iii) integrated financial and policy instruments.</w:t>
      </w:r>
    </w:p>
    <w:p>
      <w:pPr/>
      <w:r>
        <w:rPr>
          <w:b/>
        </w:rPr>
        <w:t>POSSIBLE 2019:</w:t>
      </w:r>
      <w:r>
        <w:t xml:space="preserve"> Market Orientation in NGDOs: Construction of a Scale Focused on Their Stakeholders — https://doi.org/10.3390/socsci8080237</w:t>
      </w:r>
    </w:p>
    <w:p>
      <w:pPr/>
      <w:r>
        <w:rPr>
          <w:b/>
        </w:rPr>
        <w:t>Shared claim-specific concepts:</w:t>
      </w:r>
      <w:r>
        <w:t xml:space="preserve"> stakeholders, however, based; EU scope not established. This is a provisional connection, not an outcome finding.</w:t>
      </w:r>
    </w:p>
    <w:p>
      <w:pPr>
        <w:pStyle w:val="SourceNote"/>
      </w:pPr>
      <w:r>
        <w:rPr>
          <w:b/>
        </w:rPr>
        <w:t>Available abstract (not full text):</w:t>
      </w:r>
      <w:r>
        <w:t xml:space="preserve"> Nongovernmental development organizations (NGDOs) have traditionally enjoyed notable recognition and visibility within the field of nonprofit organizations. However, the situation of this sector is problematic in its need to respond to various threats whether programmatic, financial, or of social legitimacy. This study poses as a hypothesis that market orientation, as a management philosophy which many NGDOs could adopt, may be fundamental for them to deal successfully with the challenges they face. An analysis of the literature on market orientation in the nonprofit sector showed that the existing models of market orientation did not adequately capture NGDOs’ real working context, thus recommending a broader market approach based on proposals oriented to the stakeholder and to social aspects. For this reason, the objective of the study was to create a scale of market orientation adapted to the reality of the work of NGDOs. Analysis of a sample of 104 Spanish entities allowed an eight-factor market orientation scale for NGDOs to be created and validated, which reached optimal values of reliability and validity.</w:t>
      </w:r>
    </w:p>
    <w:p>
      <w:pPr/>
      <w:r>
        <w:rPr>
          <w:b/>
        </w:rPr>
        <w:t>POSSIBLE 2015:</w:t>
      </w:r>
      <w:r>
        <w:t xml:space="preserve"> Stakeholder mapping of CSR in Switzerland — https://doi.org/10.1108/srj-06-2014-0071</w:t>
      </w:r>
    </w:p>
    <w:p>
      <w:pPr/>
      <w:r>
        <w:rPr>
          <w:b/>
        </w:rPr>
        <w:t>Shared claim-specific concepts:</w:t>
      </w:r>
      <w:r>
        <w:t xml:space="preserve"> stakeholders, evolve, however, data, based; EU scope visible. This is a provisional connection, not an outcome finding.</w:t>
      </w:r>
    </w:p>
    <w:p>
      <w:pPr>
        <w:pStyle w:val="SourceNote"/>
      </w:pPr>
      <w:r>
        <w:rPr>
          <w:b/>
        </w:rPr>
        <w:t>Available abstract (not full text):</w:t>
      </w:r>
      <w:r>
        <w:t xml:space="preserve"> Purpose – This paper aims to investigate, using stakeholder map methodology, showing power, urgency, legitimacy and concerns of different actors, the current state of corporate social responsibility (CSR) in Switzerland. Previous research on CSR in Europe has made few attempts to identify stakeholders and their contribution to this topic. Design/methodology/approach – To derive this map, publicly available documents were explored, augmented by 27 interviews with key stakeholders (consumers, media, government, trade unions, non-profit organisations [NPOs], banks, certifiers and consultants) and management of different companies (multinational enterprises [MNEs], small- and medium-sized enterprises [SMEs] and large national companies). Using MAXQDA, the quantified codes given for power, legitimacy and urgency were triangulated between self-reporting, external assessments and statements from publicly available documents and subsequently transferred into stakeholder priorities or, in other words, into positions in the map. Further, the codes given in the interviews for different CSR interests and the results from the document analysis were linked between stakeholders. The identified concerns and priorities were quantitatively analysed in regard to centrality and salience using VennMaker. Findings – The paper identified SMEs, MNEs and cooperating NPOs as being the most significant s</w:t>
      </w:r>
    </w:p>
    <w:p>
      <w:pPr>
        <w:pStyle w:val="Heading2"/>
      </w:pPr>
      <w:r>
        <w:t>855.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2019:</w:t>
      </w:r>
      <w:r>
        <w:t xml:space="preserve"> Analysis of reporting completeness in exercise cancer trials: a systematic review — https://doi.org/10.1186/s12874-019-0871-0</w:t>
      </w:r>
    </w:p>
    <w:p>
      <w:pPr/>
      <w:r>
        <w:rPr>
          <w:b/>
        </w:rPr>
        <w:t>Shared claim-specific concepts:</w:t>
      </w:r>
      <w:r>
        <w:t xml:space="preserve"> reports, exercise, four, two, healthcare; EU scope not established. This is a provisional connection, not an outcome finding.</w:t>
      </w:r>
    </w:p>
    <w:p>
      <w:pPr>
        <w:pStyle w:val="SourceNote"/>
      </w:pPr>
      <w:r>
        <w:rPr>
          <w:b/>
        </w:rPr>
        <w:t>Available abstract (not full text):</w:t>
      </w:r>
      <w:r>
        <w:t xml:space="preserve"> BACKGROUND: Exercise is an effective therapeutic intervention for cancer survivors. Concerns about the completeness of reporting of exercise interventions have been raised in the literature, but without any formal analysis. This study aimed to evaluate the completeness of reporting of exercise interventions for cancer survivors in a large sample of randomized clinical trials (RCTs). METHODS: We developed a pre-defined protocol. We searched MEDLINE, EMBASE, and CENTRAL for exercise trials in oncology between 2010 and 2017. Pairs of independent researchers screened the records, extracted study characteristics, and assessed 16 items on the TIDieR checklist (i.e., the 12 items, with item 5 divided into two and item 8 divided into four). For each of these items, the percentage of interventions in the included studies that reported the item was calculated. RESULTS: We included 131 RCTs reporting 138 interventions in the analysis. Breast cancer was the most common type of cancer (69, 50%), and aerobic exercise was the most studied exercise modality (43, 30%) followed by combined aerobic and resistance training (40, 28%). Completeness of reporting ranged from 42 to 96% among the TIDieR items; none of the items was fully reported. 'Intervention length' was the most reported item across interventions (133, 96%), followed by 'rationale' (131, 95%), whereas 'provider' (58, 42%) and 'how we</w:t>
      </w:r>
    </w:p>
    <w:p>
      <w:pPr/>
      <w:r>
        <w:rPr>
          <w:b/>
        </w:rPr>
        <w:t>POSSIBLE 2019:</w:t>
      </w:r>
      <w:r>
        <w:t xml:space="preserve"> Adherence to Exercise Programs in Older Adults: Informative Report — https://doi.org/10.1177/2333721418823604</w:t>
      </w:r>
    </w:p>
    <w:p>
      <w:pPr/>
      <w:r>
        <w:rPr>
          <w:b/>
        </w:rPr>
        <w:t>Shared claim-specific concepts:</w:t>
      </w:r>
      <w:r>
        <w:t xml:space="preserve"> exercise, living, life, older, people, care; EU scope not established. This is a provisional connection, not an outcome finding.</w:t>
      </w:r>
    </w:p>
    <w:p>
      <w:pPr>
        <w:pStyle w:val="SourceNote"/>
      </w:pPr>
      <w:r>
        <w:rPr>
          <w:b/>
        </w:rPr>
        <w:t>Available abstract (not full text):</w:t>
      </w:r>
      <w:r>
        <w:t xml:space="preserve"> This informative report focuses on filling information gaps regarding adherence to physical activity and exercise in the health care spectrum of older adults (OA) and an overview of the benefits of physical activity for OA. Healthy People 2000, 2010, and 2020 are public health programs from the U.S. Department of Health and Human Services that set national goals and objectives for promoting health and preventing disease. The programs include 10 leading health indicators that reflect major health problems, which concern OA. Exercise and physical activity are among the most important factors affecting health and longevity, but exercise adherence is a significant hindrance in achieving health goals in the OA. Exercise adherence in OA is a multifactorial problem encompassing many biopsychosocial factors. Factors affecting adherence in the OA include socioeconomic status, education level, living arrangements, health status, pacemakers, physical fitness, and depression. Improving adherence could have a significant impact on longevity, quality of life, and health care costs.</w:t>
      </w:r>
    </w:p>
    <w:p>
      <w:pPr/>
      <w:r>
        <w:rPr>
          <w:b/>
        </w:rPr>
        <w:t>POSSIBLE 2018:</w:t>
      </w:r>
      <w:r>
        <w:t xml:space="preserve"> ARKANSAS GEOLOGICAL SURVEY PLANNING AND SUPPORT TO THE 2017 EARTHQUAKE EXERCISE — https://doi.org/10.1130/abs/2018sc-310158</w:t>
      </w:r>
    </w:p>
    <w:p>
      <w:pPr/>
      <w:r>
        <w:rPr>
          <w:b/>
        </w:rPr>
        <w:t>Shared claim-specific concepts:</w:t>
      </w:r>
      <w:r>
        <w:t xml:space="preserve"> planning, exercise, state; EU scope not established. This is a provisional connection, not an outcome finding.</w:t>
      </w:r>
    </w:p>
    <w:p>
      <w:pPr>
        <w:pStyle w:val="SourceNote"/>
      </w:pPr>
      <w:r>
        <w:rPr>
          <w:b/>
        </w:rPr>
        <w:t>Available abstract (not full text):</w:t>
      </w:r>
      <w:r>
        <w:t xml:space="preserve"> The Arkansas Geological Survey (AGS) participated in the 2017 Earthquake Exercise on a full scale level (FSE) with its local, state and federal partners. The planning component consisted of compliance with the state’s NIMS policy, development of the AGS Clearinghouse and Emergency Operations Plans, Ham Radio training/licensure, earthquake and GIS training. The Clearinghouse Plan was developed by input from multiple partners including CUSEC state geological surveys. The exercise was designed to establish a learning environment for players to exercise the new Clearinghouse Plans, policies, and procedures as they pertained to the M7.7 New Madrid Seismic Zone (NMSZ) catastrophic earthquake scenario. This is the first time an information clearinghouse plan has been developed and exercised in the central United States Select GS Clearinghouse steering committee and members were the principle entities responsible for the exercise development, oversight and selection of core capabilities, exercise objectives, targets, and tasks. Those capabilities included Operations Communications, Operations Coordination, Situational Awareness, and Logistics and Supply Chain Management. An After Action Report, designed to identify the strengths and potential areas for improvement was prepared after exercise completion. As this is the first exercise focused on the Clearinghouse for a major earthquake r</w:t>
      </w:r>
    </w:p>
    <w:p>
      <w:pPr/>
      <w:r>
        <w:rPr>
          <w:b/>
        </w:rPr>
        <w:t>POSSIBLE 2017:</w:t>
      </w:r>
      <w:r>
        <w:t xml:space="preserve"> Exercise interventions for cerebral palsy — https://doi.org/10.1002/14651858.cd011660.pub2</w:t>
      </w:r>
    </w:p>
    <w:p>
      <w:pPr/>
      <w:r>
        <w:rPr>
          <w:b/>
        </w:rPr>
        <w:t>Shared claim-specific concepts:</w:t>
      </w:r>
      <w:r>
        <w:t xml:space="preserve"> reports, exercise, four, life, defined, two; EU scope visible. This is a provisional connection, not an outcome finding.</w:t>
      </w:r>
    </w:p>
    <w:p>
      <w:pPr>
        <w:pStyle w:val="SourceNote"/>
      </w:pPr>
      <w:r>
        <w:rPr>
          <w:b/>
        </w:rPr>
        <w:t>Available abstract (not full text):</w:t>
      </w:r>
      <w:r>
        <w:t xml:space="preserve"> BACKGROUND: Cerebral palsy (CP) is a neurodevelopmental disorder resulting from an injury to the developing brain. It is the most common form of childhood disability with prevalence rates of between 1.5 and 3.8 per 1000 births reported worldwide. The primary impairments associated with CP include reduced muscle strength and reduced cardiorespiratory fitness, resulting in difficulties performing activities such as dressing, walking and negotiating stairs.Exercise is defined as a planned, structured and repetitive activity that aims to improve fitness, and it is a commonly used intervention for people with CP. Aerobic and resistance training may improve activity (i.e. the ability to execute a task) and participation (i.e. involvement in a life situation) through their impact on the primary impairments of CP. However, to date, there has been no comprehensive review of exercise interventions for people with CP. OBJECTIVES: To assess the effects of exercise interventions in people with CP, primarily in terms of activity, participation and quality of life. Secondary outcomes assessed body functions and body structures. Comparators of interest were no treatment, usual care or an alternative type of exercise intervention. SEARCH METHODS: In June 2016 we searched CENTRAL, MEDLINE, Embase, nine other databases and four trials registers. SELECTION CRITERIA: We included randomised controll</w:t>
      </w:r>
    </w:p>
    <w:p>
      <w:pPr/>
      <w:r>
        <w:rPr>
          <w:b/>
        </w:rPr>
        <w:t>POSSIBLE 2017:</w:t>
      </w:r>
      <w:r>
        <w:t xml:space="preserve"> Is a general or specific exercise recommendation more effective for promoting physical activity among postpartum mothers? — https://doi.org/10.1177/1359105316687627</w:t>
      </w:r>
    </w:p>
    <w:p>
      <w:pPr/>
      <w:r>
        <w:rPr>
          <w:b/>
        </w:rPr>
        <w:t>Shared claim-specific concepts:</w:t>
      </w:r>
      <w:r>
        <w:t xml:space="preserve"> planning, exercise, examined; EU scope not established. This is a provisional connection, not an outcome finding.</w:t>
      </w:r>
    </w:p>
    <w:p>
      <w:pPr>
        <w:pStyle w:val="SourceNote"/>
      </w:pPr>
      <w:r>
        <w:rPr>
          <w:b/>
        </w:rPr>
        <w:t>Available abstract (not full text):</w:t>
      </w:r>
      <w:r>
        <w:t xml:space="preserve"> This comparative effectiveness trial examined the effects of a behavior change intervention supplemented by a general or specific exercise recommendation on physical activity among postpartum mothers. Participants ( N = 49) attended three workshop sessions that provided the exercise recommendation and taught self-regulatory skills. Physical activity, self-efficacy, planning, and barriers were assessed at baseline, post-intervention, and 6-month follow-up. Self-reported physical activity increased significantly in both groups ( p &lt; .001), but the increase was larger in the general condition ( p = .03). Both groups reported increased planning and decreased barriers. Postpartum mothers may benefit from interventions that teach strategies for overcoming barriers while allowing them to choose preferred activities.</w:t>
      </w:r>
    </w:p>
    <w:p>
      <w:pPr/>
      <w:r>
        <w:rPr>
          <w:b/>
        </w:rPr>
        <w:t>POSSIBLE 2016:</w:t>
      </w:r>
      <w:r>
        <w:t xml:space="preserve"> Consensus on Exercise Reporting Template (CERT): Modified Delphi Study — https://doi.org/10.2522/ptj.20150668</w:t>
      </w:r>
    </w:p>
    <w:p>
      <w:pPr/>
      <w:r>
        <w:rPr>
          <w:b/>
        </w:rPr>
        <w:t>Shared claim-specific concepts:</w:t>
      </w:r>
      <w:r>
        <w:t xml:space="preserve"> reports, exercise, defined; EU scope not established. This is a provisional connection, not an outcome finding.</w:t>
      </w:r>
    </w:p>
    <w:p>
      <w:pPr>
        <w:pStyle w:val="SourceNote"/>
      </w:pPr>
      <w:r>
        <w:rPr>
          <w:b/>
        </w:rPr>
        <w:t>Available abstract (not full text):</w:t>
      </w:r>
      <w:r>
        <w:t xml:space="preserve"> BACKGROUND: Exercise interventions are often incompletely described in reports of clinical trials, hampering evaluation of results and replication and implementation into practice. OBJECTIVE: The aim of this study was to develop a standardized method for reporting exercise programs in clinical trials: the Consensus on Exercise Reporting Template (CERT). DESIGN AND METHODS: Using the EQUATOR Network's methodological framework, 137 exercise experts were invited to participate in a Delphi consensus study. A list of 41 items was identified from a meta-epidemiologic study of 73 systematic reviews of exercise. For each item, participants indicated agreement on an 11-point rating scale. Consensus for item inclusion was defined a priori as greater than 70% agreement of respondents rating an item 7 or above. Three sequential rounds of anonymous online questionnaires and a Delphi workshop were used. RESULTS: There were 57 (response rate=42%), 54 (response rate=95%), and 49 (response rate=91%) respondents to rounds 1 through 3, respectively, from 11 countries and a range of disciplines. In round 1, 2 items were excluded; 24 items reached consensus for inclusion (8 items accepted in original format), and 16 items were revised in response to participant suggestions. Of 14 items in round 2, 3 were excluded, 11 reached consensus for inclusion (4 items accepted in original format), and 7 were </w:t>
      </w:r>
    </w:p>
    <w:p>
      <w:pPr/>
      <w:r>
        <w:rPr>
          <w:b/>
        </w:rPr>
        <w:t>POSSIBLE 2015:</w:t>
      </w:r>
      <w:r>
        <w:t xml:space="preserve"> Exercise ASKARI SERPENT: enabling clinical data collection during exercises and operations to support future contingency planning and assurance of category-based reporting systems — https://doi.org/10.1136/jramc-2014-000369</w:t>
      </w:r>
    </w:p>
    <w:p>
      <w:pPr/>
      <w:r>
        <w:rPr>
          <w:b/>
        </w:rPr>
        <w:t>Shared claim-specific concepts:</w:t>
      </w:r>
      <w:r>
        <w:t xml:space="preserve"> reports, planning, exercise, critical, healthcare, provides; EU scope not established. This is a provisional connection, not an outcome finding.</w:t>
      </w:r>
    </w:p>
    <w:p>
      <w:pPr>
        <w:pStyle w:val="SourceNote"/>
      </w:pPr>
      <w:r>
        <w:rPr>
          <w:b/>
        </w:rPr>
        <w:t>Available abstract (not full text):</w:t>
      </w:r>
      <w:r>
        <w:t xml:space="preserve"> INTRODUCTION: Exercise ASKARI SERPENT (Ex AS) is a British Army exercise that provides primary healthcare (PHC) to Kenyan civilians in support of local health authorities. It is conducted in partnership with the Kenya Defence Force Medical Services (KDFMS). Accurate epidemiological data is critical in planning the exercise and for any future short-notice contingency operations in similar environments. This paper reports epidemiological data for Ex AS using a novel data collection system. METHODS: PHC on Ex AS was delivered by trained and validated combat medical technicians (CMTs) using a set of Read-coded protocols. The CMTs were also directly supported and supervised by medical officers and nurses. RESULTS: A total of 3093 consultations were conducted over a 16-day period. Of these, 2707 (87.5%) consultations fell within the remit of the CMT protocols, with only 386 consultations (12.5%) being conducted exclusively by the medical officers or nurses. DISCUSSION: A Read-coded matrix built on CMT protocols is a simple and useful tool, particularly in civilian populations, for collecting morbidity data with the vast majority of conditions accounted for in the protocols. It is anticipated that such a system can better inform training, manning, medical material and pharmaceutical procurement than current category-based morbidity surveillance systems such as EPINATO (NATO epidemiolo</w:t>
      </w:r>
    </w:p>
    <w:p>
      <w:pPr/>
      <w:r>
        <w:rPr>
          <w:b/>
        </w:rPr>
        <w:t>POSSIBLE 2015:</w:t>
      </w:r>
      <w:r>
        <w:t xml:space="preserve"> Exercise programs for people with dementia — https://doi.org/10.1002/14651858.cd006489.pub4</w:t>
      </w:r>
    </w:p>
    <w:p>
      <w:pPr/>
      <w:r>
        <w:rPr>
          <w:b/>
        </w:rPr>
        <w:t>Shared claim-specific concepts:</w:t>
      </w:r>
      <w:r>
        <w:t xml:space="preserve"> exercise, examined, living, life, two, older; EU scope not established. This is a provisional connection, not an outcome finding.</w:t>
      </w:r>
    </w:p>
    <w:p>
      <w:pPr>
        <w:pStyle w:val="SourceNote"/>
      </w:pPr>
      <w:r>
        <w:rPr>
          <w:b/>
        </w:rPr>
        <w:t>Available abstract (not full text):</w:t>
      </w:r>
      <w:r>
        <w:t xml:space="preserve"> BACKGROUND: This is an update of our previous 2013 review. Several recent trials and systematic reviews of the impact of exercise on people with dementia are reporting promising findings. OBJECTIVES: Primary objectiveDo exercise programs for older people with dementia improve their cognition, activities of daily living (ADLs), neuropsychiatric symptoms, depression, and mortality? Secondary objectivesDo exercise programs for older people with dementia have an indirect impact on family caregivers' burden, quality of life, and mortality?Do exercise programs for older people with dementia reduce the use of healthcare services (e.g. visits to the emergency department) by participants and their family caregivers? SEARCH METHODS: We identified trials for inclusion in the review by searching ALOIS (www.medicine.ox.ac.uk/alois), the Cochrane Dementia and Cognitive Improvement Group's Specialised Register, on 4 September 2011, on 13 August 2012, and again on 3 October 2013. SELECTION CRITERIA: In this review, we included randomized controlled trials in which older people, diagnosed with dementia, were allocated either to exercise programs or to control groups (usual care or social contact/activities) with the aim of improving cognition, ADLs, neuropsychiatric symptoms, depression, and mortality. Secondary outcomes related to the family caregiver(s) and included caregiver burden, quality </w:t>
      </w:r>
    </w:p>
    <w:p>
      <w:pPr>
        <w:pStyle w:val="Heading2"/>
      </w:pPr>
      <w:r>
        <w:t>856.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2022:</w:t>
      </w:r>
      <w:r>
        <w:t xml:space="preserve"> Time and Narrative in Augustine’s City of God and Confessions — https://openalex.org/W7217744295</w:t>
      </w:r>
    </w:p>
    <w:p>
      <w:pPr/>
      <w:r>
        <w:rPr>
          <w:b/>
        </w:rPr>
        <w:t>Shared claim-specific concepts:</w:t>
      </w:r>
      <w:r>
        <w:t xml:space="preserve"> time, narrative, out; EU scope not established. This is a provisional connection, not an outcome finding.</w:t>
      </w:r>
    </w:p>
    <w:p>
      <w:pPr>
        <w:pStyle w:val="SourceNote"/>
      </w:pPr>
      <w:r>
        <w:rPr>
          <w:b/>
        </w:rPr>
        <w:t>Available abstract (not full text):</w:t>
      </w:r>
      <w:r>
        <w:t xml:space="preserve">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pPr/>
      <w:r>
        <w:rPr>
          <w:b/>
        </w:rPr>
        <w:t>POSSIBLE 2021:</w:t>
      </w:r>
      <w:r>
        <w:t xml:space="preserve"> Time Machines: Artificial Intelligence, Process, and Narrative — https://doi.org/10.1007/s13347-021-00479-y</w:t>
      </w:r>
    </w:p>
    <w:p>
      <w:pPr/>
      <w:r>
        <w:rPr>
          <w:b/>
        </w:rPr>
        <w:t>Shared claim-specific concepts:</w:t>
      </w:r>
      <w:r>
        <w:t xml:space="preserve"> narratives, time, narrative; EU scope not established. This is a provisional connection, not an outcome finding.</w:t>
      </w:r>
    </w:p>
    <w:p>
      <w:pPr>
        <w:pStyle w:val="SourceNote"/>
      </w:pPr>
      <w:r>
        <w:rPr>
          <w:b/>
        </w:rPr>
        <w:t>Available abstract (not full text):</w:t>
      </w:r>
      <w:r>
        <w:t xml:space="preserve">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pPr/>
      <w:r>
        <w:rPr>
          <w:b/>
        </w:rPr>
        <w:t>POSSIBLE 2020:</w:t>
      </w:r>
      <w:r>
        <w:t xml:space="preserve"> Chapter Four. Narratives of Time — https://doi.org/10.3138/9781487536435-007</w:t>
      </w:r>
    </w:p>
    <w:p>
      <w:pPr/>
      <w:r>
        <w:rPr>
          <w:b/>
        </w:rPr>
        <w:t>Shared claim-specific concepts:</w:t>
      </w:r>
      <w:r>
        <w:t xml:space="preserve"> four, narratives, time;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Whose Narrative is it Anyway? Narratives of Social Innovation in Rural Areas – A Comparative Analysis of Community‐Led Initiatives in Scotland and Spain — https://doi.org/10.1111/soru.12321</w:t>
      </w:r>
    </w:p>
    <w:p>
      <w:pPr/>
      <w:r>
        <w:rPr>
          <w:b/>
        </w:rPr>
        <w:t>Shared claim-specific concepts:</w:t>
      </w:r>
      <w:r>
        <w:t xml:space="preserve"> four, narratives, time, narrative, key, themes; EU scope visible. This is a provisional connection, not an outcome finding.</w:t>
      </w:r>
    </w:p>
    <w:p>
      <w:pPr>
        <w:pStyle w:val="SourceNote"/>
      </w:pPr>
      <w:r>
        <w:rPr>
          <w:b/>
        </w:rPr>
        <w:t>Available abstract (not full text):</w:t>
      </w:r>
      <w:r>
        <w:t xml:space="preserve"> Abstract Social innovation is a process in which local communities build social and cultural capital to address challenges and social needs. The diffusion of social innovation requires compelling narratives that encourage people to join them. Using qualitative techniques and a multiple case study methodology, this article examines the content of narratives of social innovation in rural areas and how actors construct, spread and change them. We propose a narrative analytical framework comprising four key components: problematisation; solutions and goals; actors; and plot, which we apply to three initiatives in Scotland and Spain. Our findings suggest that marginalisation, the natural environment and community activation are central themes in the content of narratives. In addition, we explain how policies and public actors can support social innovation as well as how collective leadership of social innovations can reduce imbalances in power relations, and contribute to a consistent evolution of narratives over time, enhancing the sustainability of social innovation projects overall.</w:t>
      </w:r>
    </w:p>
    <w:p>
      <w:pPr/>
      <w:r>
        <w:rPr>
          <w:b/>
        </w:rPr>
        <w:t>POSSIBLE 2020:</w:t>
      </w:r>
      <w:r>
        <w:t xml:space="preserve"> To Be Black Women and Contingent Faculty: Four Scholarly Personal Narratives — https://doi.org/10.1080/00221546.2019.1700478</w:t>
      </w:r>
    </w:p>
    <w:p>
      <w:pPr/>
      <w:r>
        <w:rPr>
          <w:b/>
        </w:rPr>
        <w:t>Shared claim-specific concepts:</w:t>
      </w:r>
      <w:r>
        <w:t xml:space="preserve"> four, narratives, practice; EU scope not established. This is a provisional connection, not an outcome finding.</w:t>
      </w:r>
    </w:p>
    <w:p>
      <w:pPr>
        <w:pStyle w:val="SourceNote"/>
      </w:pPr>
      <w:r>
        <w:rPr>
          <w:b/>
        </w:rPr>
        <w:t>Available abstract (not full text):</w:t>
      </w:r>
      <w:r>
        <w:t xml:space="preserve"> This study utilized scholarly personal narratives to explore the experiences and perceptions of four Black women who served as full-time contingent faculty members in higher education and student affairs graduate preparation programs. Authors drew upon Black feminist thought and intersectionality to frame this study. Specifically, authors extended Collin’s outsider-within status to outsider-outsider-within status to describe the unique experiences of Black women in contingent faculty appointments. Specific findings included: (1) marginalization of contingent faculty, (2) intersections of identities inextricably linked to teaching, and (3) devaluation of scholarly pursuits. Implications for institutional policy and practice are discussed.</w:t>
      </w:r>
    </w:p>
    <w:p>
      <w:pPr/>
      <w:r>
        <w:rPr>
          <w:b/>
        </w:rPr>
        <w:t>POSSIBLE 2019:</w:t>
      </w:r>
      <w:r>
        <w:t xml:space="preserve"> Towards a Context-sensitive Theory of Nursing Ethics: Classification and Comparison of Nurses' Narratives from Four Time Periods (1934, 1979, 1989, and 1995) — https://openalex.org/W2977660801</w:t>
      </w:r>
    </w:p>
    <w:p>
      <w:pPr/>
      <w:r>
        <w:rPr>
          <w:b/>
        </w:rPr>
        <w:t>Shared claim-specific concepts:</w:t>
      </w:r>
      <w:r>
        <w:t xml:space="preserve"> four, narratives, time;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The Narrative of the Iliad: Time, Space, and Story — https://openalex.org/W2969998867</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Like its principal hero, the Iliad has a reputation for straightforwardness that it does not deserve and (unlike Achilles) does not pretend to. Contrary to Auerbach’s thesis that Homeric narrative “leave[s] nothing in obscurity” (1953: 4), this dissertation emphasizes how the Iliad’s narrative modulates the story that it represents—in ways that both helpfully guide and deceptively mislead the audience. In this dissertation, I offer a narratologically-informed study of how the narrator’s representation of the Iliad’s story in time and space meaningfully shapes the audience’s experience of it. Disentangling the time and space of the story from their representation in narrative, I argue that the narrator calls attention to the imperfect correspondence between the narrative and the story, and that the tension between the two—and the failure to recognize the distinction between them—lies at the heart of prominent Homeric problems, from antiquity to today. As I argue, the audience’s experience, as conditioned by the narrative, belies the narrator’s remarkably synoptic sense of both the story and the narrative that represents it. Though readers have long ascribed the difficulty of reading the Iliad to shortcomings of the narrator, I demonstrate that the narrator can see the forest for the trees, even when the audience is stuck in the weeds. Telling a story that is neither wholly new n</w:t>
      </w:r>
    </w:p>
    <w:p>
      <w:pPr/>
      <w:r>
        <w:rPr>
          <w:b/>
        </w:rPr>
        <w:t>POSSIBLE 2018:</w:t>
      </w:r>
      <w:r>
        <w:t xml:space="preserve"> “Community of Common Destiny”: An Analysis on The Marriages between Zones Three, Four and Five from Narrative Time — https://doi.org/10.12677/wls.2018.62009</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Four: Memory and Narrative: Materializing Past and Future in the Present — https://doi.org/10.37862/aaeportal.00203.006</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Four: Memory and Narrative: Materializing Past and Future in the PresentFredrika JacobsAgents of Faith: Votive Objects in Time and PlaceSeveral years had passed since Gian Giacopo Grandone so dramatically entered the Sanctuary of the Madonna dell'Arco just beyond the gates of Naples;...AuthorFredrika JacobsPublisherBard Graduate CenterCopyright© 2018 Bard Graduate Center: Decorative Arts, Design History, Material CultureRelated print edition pages: pp.87-107 https://doi.org/10.37862/aaeportal.00203.006 Stable URL: https://aaeportal.com/?id=-20150Copy Chapter subject tags:Votive offeringsMadonna dell'ArcoBodies--partsHealing in art</w:t>
      </w:r>
    </w:p>
    <w:p>
      <w:pPr/>
      <w:r>
        <w:rPr>
          <w:b/>
        </w:rPr>
        <w:t>POSSIBLE 2017:</w:t>
      </w:r>
      <w:r>
        <w:t xml:space="preserve"> Events in Time and the Rise of Narrative — https://doi.org/10.4324/9781315124520-6</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The idea of "the displacement of mimesis from its role in fictional representation" is simply going back to the antiquated view of fiction as a realm totally divorced from reality. But "collapse of fictionality into narrativity" holds promise. This chapter shows how works of painters, sculptors, and poets are susceptible to the touch of narrative and become subject to storytelling. It provides examples of a painter and four poets: van Gogh, Bidart, Blaga, Kelly, and Cardu. By representing in the medium of lines and color the dynamic relations of both space and time, the moment of the conjunction of the landscape and the celestial body, van Gogh creates a simple narrative within the heart of reality. In his long poem "The Third Hour of the Night," Bidart retells the story of Benvenuto Cellini&amp;s;s life and follows the narrative of the sculptor&amp;s;s own account in his autobiography, The Life of Benvenuto Cellini Written by Himself , and translated by John Addington Symonds.</w:t>
      </w:r>
    </w:p>
    <w:p>
      <w:pPr/>
      <w:r>
        <w:rPr>
          <w:b/>
        </w:rPr>
        <w:t>POSSIBLE 2017:</w:t>
      </w:r>
      <w:r>
        <w:t xml:space="preserve"> Quiet in time and narrative — https://doi.org/10.7765/9781526108883.00009</w:t>
      </w:r>
    </w:p>
    <w:p>
      <w:pPr/>
      <w:r>
        <w:rPr>
          <w:b/>
        </w:rPr>
        <w:t>Shared claim-specific concepts:</w:t>
      </w:r>
      <w:r>
        <w:t xml:space="preserve"> four, time, each, narrative; EU scope not established. This is a provisional connection, not an outcome finding.</w:t>
      </w:r>
    </w:p>
    <w:p>
      <w:pPr>
        <w:pStyle w:val="SourceNote"/>
      </w:pPr>
      <w:r>
        <w:rPr>
          <w:b/>
        </w:rPr>
        <w:t>Available abstract (not full text):</w:t>
      </w:r>
      <w:r>
        <w:t xml:space="preserve"> This chapter examines the discrepancy between the prize-winning success of quiet fiction and repeated critical surprise at the trend's existence. Through analysis of texts by Marilynne Robinson and Paul Harding, the chapter makes two propositions about what quiet fiction might be in its contemporary American form. First, it defines quiet as a narrative aesthetic through analysis of Robinson's Gilead and its partner novels, Home and Lila. Building on the aesthetic conditions, the author reads each text for four quiet criteria and argues that a quiet text privileges the depiction of quiet characters, locations and interior life. The second strand deals with time and temporality in Robinson's and Harding's quiet texts. A quiet novel where narrative duration is based on the movement of thought and the invocation of memory is liberated, the author argues from the linear representation of time and otherwise committed to the portrayal of subjective experience.</w:t>
      </w:r>
    </w:p>
    <w:p>
      <w:pPr>
        <w:pStyle w:val="Heading2"/>
      </w:pPr>
      <w:r>
        <w:t>857.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2022:</w:t>
      </w:r>
      <w:r>
        <w:t xml:space="preserve"> Climate Change Is Driving Shifts in Dragonfly Species Richness across Europe via Differential Dynamics of Taxonomic and Biogeographic Groups — https://doi.org/10.3390/d14121066</w:t>
      </w:r>
    </w:p>
    <w:p>
      <w:pPr/>
      <w:r>
        <w:rPr>
          <w:b/>
        </w:rPr>
        <w:t>Shared claim-specific concepts:</w:t>
      </w:r>
      <w:r>
        <w:t xml:space="preserve"> here, range, dynamics, climate, result, distribution; EU scope visible. This is a provisional connection, not an outcome finding.</w:t>
      </w:r>
    </w:p>
    <w:p>
      <w:pPr>
        <w:pStyle w:val="SourceNote"/>
      </w:pPr>
      <w:r>
        <w:rPr>
          <w:b/>
        </w:rPr>
        <w:t>Available abstract (not full text):</w:t>
      </w:r>
      <w:r>
        <w:t xml:space="preserve"> Understanding how changes in species richness pattern correlate with range changes in different taxonomic and biogeographic groups is important for conservation because it allows for generalizations about which species are at greatest risk. Here, we assessed whether changes in species richness patterns result from generalized range shifts across taxonomic and biogeographic groups or from changes in specific subsets of species. Using data from 1988 and from 2010, we studied changes in distributional range of European dragonfly species, using outline distribution maps for all dragonflies combined and separately for taxonomic suborders (Zygoptera and Anisoptera) and biogeographic groups (Boreo-alpine, Eurasian, Mediterranean, and Tropical). The results demonstrated differing range dynamics for Zygoptera and Anisoptera, with Anisoptera driving local turnover in species richness to a greater extent than Zygoptera. The distributional range of Tropical and Mediterranean species had expanded to a much greater extent than that of Eurasian and Boreo-alpine species. Large-scale changes in species richness arose from several divergent, group-specific processes. Overall, local diversity especially declined in parts of southern and south-eastern Europe, reflecting local losses in multiple species rather than major range contractions among Mediterranean or Eurasian species. In fact, among the</w:t>
      </w:r>
    </w:p>
    <w:p>
      <w:pPr/>
      <w:r>
        <w:rPr>
          <w:b/>
        </w:rPr>
        <w:t>POSSIBLE 2022:</w:t>
      </w:r>
      <w:r>
        <w:t xml:space="preserve"> Ticks on the move—climate change-induced range shifts of three tick species in Europe: current and future habitat suitability for Ixodes ricinus in comparison with Dermacentor reticulatus and Dermacentor marginatus — https://doi.org/10.1007/s00436-022-07556-x</w:t>
      </w:r>
    </w:p>
    <w:p>
      <w:pPr/>
      <w:r>
        <w:rPr>
          <w:b/>
        </w:rPr>
        <w:t>Shared claim-specific concepts:</w:t>
      </w:r>
      <w:r>
        <w:t xml:space="preserve"> range, climate, result, distribution; EU scope visible. This is a provisional connection, not an outcome finding.</w:t>
      </w:r>
    </w:p>
    <w:p>
      <w:pPr>
        <w:pStyle w:val="SourceNote"/>
      </w:pPr>
      <w:r>
        <w:rPr>
          <w:b/>
        </w:rPr>
        <w:t>Available abstract (not full text):</w:t>
      </w:r>
      <w:r>
        <w:t xml:space="preserve">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pPr/>
      <w:r>
        <w:rPr>
          <w:b/>
        </w:rPr>
        <w:t>POSSIBLE 2021:</w:t>
      </w:r>
      <w:r>
        <w:t xml:space="preserve"> Climate Connectivity of European Forests for Species Range Shifts — https://doi.org/10.3390/f12070940</w:t>
      </w:r>
    </w:p>
    <w:p>
      <w:pPr/>
      <w:r>
        <w:rPr>
          <w:b/>
        </w:rPr>
        <w:t>Shared claim-specific concepts:</w:t>
      </w:r>
      <w:r>
        <w:t xml:space="preserve"> here, range, climate; EU scope visible. This is a provisional connection, not an outcome finding.</w:t>
      </w:r>
    </w:p>
    <w:p>
      <w:pPr>
        <w:pStyle w:val="SourceNote"/>
      </w:pPr>
      <w:r>
        <w:rPr>
          <w:b/>
        </w:rPr>
        <w:t>Available abstract (not full text):</w:t>
      </w:r>
      <w:r>
        <w:t xml:space="preserve"> Forest connectivity is important for the range shifts and long-term persistence of forest-dependent species, especially in the context of climate change. This study assessed the climate connectivity of European forests for species to track suitable climate conditions as the climate warms. Here, climate connectivity was calculated as the temperature difference between each forest patch and the coolest patch that can be reached along temperature gradients. We found that, overall, about 36% of the total forested area in Europe has achieved successful climate connectivity under the moderate emission scenario (SSP245), whereby species range shifts could circumvent the impact of climate warming. The percentage is much lower under the highest emission scenario (SSP585), which is only 12%. To identify forest areas of high importance for climate connectivity, we further evaluated the potential of each forest patch to serve as a stepping stone for species range shifts. Our results showed that about 94% of the European forested area is expected to experience species range shifts. Our study identified sites of high conservation value for improving and sustaining forest connectivity to facilitate climate-driven range shifts and thus could provide information for climate-smart management of European forests.</w:t>
      </w:r>
    </w:p>
    <w:p>
      <w:pPr/>
      <w:r>
        <w:rPr>
          <w:b/>
        </w:rPr>
        <w:t>POSSIBLE 2020:</w:t>
      </w:r>
      <w:r>
        <w:t xml:space="preserve"> Black locust (Robinia pseudoacaciaL.) range contraction and expansion in Europe under changing climate — https://doi.org/10.1111/gcb.15486</w:t>
      </w:r>
    </w:p>
    <w:p>
      <w:pPr/>
      <w:r>
        <w:rPr>
          <w:b/>
        </w:rPr>
        <w:t>Shared claim-specific concepts:</w:t>
      </w:r>
      <w:r>
        <w:t xml:space="preserve"> here, range, shift, climate, one, distribution; EU scope visible. This is a provisional connection, not an outcome finding.</w:t>
      </w:r>
    </w:p>
    <w:p>
      <w:pPr>
        <w:pStyle w:val="SourceNote"/>
      </w:pPr>
      <w:r>
        <w:rPr>
          <w:b/>
        </w:rPr>
        <w:t>Available abstract (not full text):</w:t>
      </w:r>
      <w:r>
        <w:t xml:space="preserve">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pPr/>
      <w:r>
        <w:rPr>
          <w:b/>
        </w:rPr>
        <w:t>POSSIBLE 2020:</w:t>
      </w:r>
      <w:r>
        <w:t xml:space="preserve"> Consistent population declines but idiosyncratic range shifts in Alpine orchids under global change — https://doi.org/10.1038/s41467-020-19680-2</w:t>
      </w:r>
    </w:p>
    <w:p>
      <w:pPr/>
      <w:r>
        <w:rPr>
          <w:b/>
        </w:rPr>
        <w:t>Shared claim-specific concepts:</w:t>
      </w:r>
      <w:r>
        <w:t xml:space="preserve"> here, range, over, population, dynamics, climate; EU scope visible. This is a provisional connection, not an outcome finding.</w:t>
      </w:r>
    </w:p>
    <w:p>
      <w:pPr>
        <w:pStyle w:val="SourceNote"/>
      </w:pPr>
      <w:r>
        <w:rPr>
          <w:b/>
        </w:rPr>
        <w:t>Available abstract (not full text):</w:t>
      </w:r>
      <w:r>
        <w:t xml:space="preserve"> Mountains are plant biodiversity hotspots considered particularly vulnerable to multiple environmental changes. Here, we quantify population changes and range-shift dynamics along elevational gradients over the last three decades for c. two-thirds of the orchid species of the European Alps. Local extinctions were more likely for small populations, after habitat alteration, and predominated at the rear edge of species' ranges. Except for the most thermophilic species and wetland specialists, population density decreased over time. Declines were more pronounced for rear-edge populations, possibly due to multiple pressures such as climate warming, habitat alteration, and mismatched ecological interactions. Besides these demographic trends, different species exhibited idiosyncratic range shifts with more than 50% of the species lagging behind climate warming. Our study highlights the importance of long-term monitoring of populations and range distributions at fine spatial resolution to be able to fully understand the consequences of global change for orchids.</w:t>
      </w:r>
    </w:p>
    <w:p>
      <w:pPr/>
      <w:r>
        <w:rPr>
          <w:b/>
        </w:rPr>
        <w:t>POSSIBLE 2020:</w:t>
      </w:r>
      <w:r>
        <w:t xml:space="preserve"> Late Quaternary range shifts of marcescent oaks unveil the dynamics of a major biogeographic transition in southern Europe — https://doi.org/10.1038/s41598-020-78576-9</w:t>
      </w:r>
    </w:p>
    <w:p>
      <w:pPr/>
      <w:r>
        <w:rPr>
          <w:b/>
        </w:rPr>
        <w:t>Shared claim-specific concepts:</w:t>
      </w:r>
      <w:r>
        <w:t xml:space="preserve"> here, range, dynamics, two, climate, distribution; EU scope visible. This is a provisional connection, not an outcome finding.</w:t>
      </w:r>
    </w:p>
    <w:p>
      <w:pPr>
        <w:pStyle w:val="SourceNote"/>
      </w:pPr>
      <w:r>
        <w:rPr>
          <w:b/>
        </w:rPr>
        <w:t>Available abstract (not full text):</w:t>
      </w:r>
      <w:r>
        <w:t xml:space="preserve"> Marcescent forests are ecotones distributed across southern Europe that host increased levels of biodiversity but their persistence is threatened by global change. Here we study the range dynamics of these forests in the Iberian Peninsula (IP) during the Late Quaternary, a period of profound climate and anthropic changes. We modeled and compared the distribution of eight oak taxa for the present and two paleoclimatic environments, the Last Glacial Maximum (LGM, ~ 21 kya) and the Mid-Holocene (MH, ~ 6 kya). Presence records were combined with bioclimatic and topographic data in an ensemble modelling framework to obtain spatial projections for present and past conditions across taxa. Substantial distribution shifts were projected between the three studied periods, that were explained by precipitation, winter cold and terrain ruggedness. Results were congruent with paleoclimatic records of the IP and showed that range shifts of these contact zones concurred with range dynamics of both Submediterranean and Temperate oaks. Notably, the distribution ranges of hybrid oaks and marcescent forests matched throughout the late Quaternary. This study contributes to unveil the complex Late-Quaternary biogeography of the ecotone belt occupied by marcescent forests and, more broadly, of Mediterranean oaks. Improved knowledge of species' responses to climate dynamics will allow us to anticipate</w:t>
      </w:r>
    </w:p>
    <w:p>
      <w:pPr/>
      <w:r>
        <w:rPr>
          <w:b/>
        </w:rPr>
        <w:t>POSSIBLE 2019:</w:t>
      </w:r>
      <w:r>
        <w:t xml:space="preserve"> Climate change induced range shifts in seaweeds distributions in Europe — https://doi.org/10.1016/j.marenvres.2019.04.012</w:t>
      </w:r>
    </w:p>
    <w:p>
      <w:pPr/>
      <w:r>
        <w:rPr>
          <w:b/>
        </w:rPr>
        <w:t>Shared claim-specific concepts:</w:t>
      </w:r>
      <w:r>
        <w:t xml:space="preserve"> range, climate; EU scope visible. This is a provisional connection, not an outcome finding.</w:t>
      </w:r>
    </w:p>
    <w:p>
      <w:pPr>
        <w:pStyle w:val="SourceNote"/>
      </w:pPr>
      <w:r>
        <w:rPr>
          <w:b/>
        </w:rPr>
        <w:t>Available abstract (not full text):</w:t>
      </w:r>
      <w:r>
        <w:t xml:space="preserve"> Unavailable</w:t>
      </w:r>
    </w:p>
    <w:p>
      <w:pPr>
        <w:pStyle w:val="Heading2"/>
      </w:pPr>
      <w:r>
        <w:t>858.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2021:</w:t>
      </w:r>
      <w:r>
        <w:t xml:space="preserve"> Migration and invention in the Age of Mass Migration — https://doi.org/10.1093/jeg/lbab032</w:t>
      </w:r>
    </w:p>
    <w:p>
      <w:pPr/>
      <w:r>
        <w:rPr>
          <w:b/>
        </w:rPr>
        <w:t>Shared claim-specific concepts:</w:t>
      </w:r>
      <w:r>
        <w:t xml:space="preserve"> mass, migration, between, regions; EU scope not established. This is a provisional connection, not an outcome finding.</w:t>
      </w:r>
    </w:p>
    <w:p>
      <w:pPr>
        <w:pStyle w:val="SourceNote"/>
      </w:pPr>
      <w:r>
        <w:rPr>
          <w:b/>
        </w:rPr>
        <w:t>Available abstract (not full text):</w:t>
      </w:r>
      <w:r>
        <w:t xml:space="preserve"> Abstract More than 30 million people migrated to the USA between late-ninetieth and early-twentieth century, and thousands became inventors. Drawing on a novel dataset of immigrant inventors in the USA, we assess the city-level impact of immigrants’ patenting and their contribution to the technological specialization of the receiving US regions between 1870 and 1940. Our results show that native inventors benefited from the inventive activity of immigrants. In addition, we show that the knowledge transferred by immigrants gave rise to new and previously not exiting technological fields in the US regions where immigrants moved to.</w:t>
      </w:r>
    </w:p>
    <w:p>
      <w:pPr/>
      <w:r>
        <w:rPr>
          <w:b/>
        </w:rPr>
        <w:t>POSSIBLE 2021:</w:t>
      </w:r>
      <w:r>
        <w:t xml:space="preserve"> Migration Networks and Location Decisions: Evidence from US Mass Migration — https://doi.org/10.1257/app.20180294</w:t>
      </w:r>
    </w:p>
    <w:p>
      <w:pPr/>
      <w:r>
        <w:rPr>
          <w:b/>
        </w:rPr>
        <w:t>Shared claim-specific concepts:</w:t>
      </w:r>
      <w:r>
        <w:t xml:space="preserve"> mass, migration, estimate; EU scope not established. This is a provisional connection, not an outcome finding.</w:t>
      </w:r>
    </w:p>
    <w:p>
      <w:pPr>
        <w:pStyle w:val="SourceNote"/>
      </w:pPr>
      <w:r>
        <w:rPr>
          <w:b/>
        </w:rPr>
        <w:t>Available abstract (not full text):</w:t>
      </w:r>
      <w:r>
        <w:t xml:space="preserve"> This paper studies how birth town migration networks affected long-run location decisions during historical US migration episodes. We develop a new method to estimate the strength of migration networks for each receiving and sending location. Our estimates imply that when one randomly chosen African American moved from a Southern birth town to a destination county, then 1.9 additional Black migrants made the same move on average. For White migrants from the Great Plains, the average is only 0.4. Networks were particularly important in connecting Black migrants with attractive employment opportunities and played a larger role in less costly moves. (JEL J15, J61, N32, N92, R23, Z13)</w:t>
      </w:r>
    </w:p>
    <w:p>
      <w:pPr/>
      <w:r>
        <w:rPr>
          <w:b/>
        </w:rPr>
        <w:t>POSSIBLE 2021:</w:t>
      </w:r>
      <w:r>
        <w:t xml:space="preserve"> Is There 'Mass Migration' in Canada? — https://doi.org/10.32920/ryerson.14641026.v1</w:t>
      </w:r>
    </w:p>
    <w:p>
      <w:pPr/>
      <w:r>
        <w:rPr>
          <w:b/>
        </w:rPr>
        <w:t>Shared claim-specific concepts:</w:t>
      </w:r>
      <w:r>
        <w:t xml:space="preserve"> mass, migration, allows, world; EU scope not established. This is a provisional connection, not an outcome finding.</w:t>
      </w:r>
    </w:p>
    <w:p>
      <w:pPr>
        <w:pStyle w:val="SourceNote"/>
      </w:pPr>
      <w:r>
        <w:rPr>
          <w:b/>
        </w:rPr>
        <w:t>Available abstract (not full text):</w:t>
      </w:r>
      <w:r>
        <w:t xml:space="preserve"> Immigration in Canada has been a topic of great debate in recent years. Canadian public opinion polls have raised problematic issues around immigration and the increasing diversity of the Canadian population. Some feel that Canada accepts far too many immigrants from diverse backgrounds, too many refugees from crisis-ridden parts of the world and allows large numbers of asylum seekers from the United States.</w:t>
      </w:r>
    </w:p>
    <w:p>
      <w:pPr/>
      <w:r>
        <w:rPr>
          <w:b/>
        </w:rPr>
        <w:t>POSSIBLE 2021:</w:t>
      </w:r>
      <w:r>
        <w:t xml:space="preserve"> Mass Migration as a Hybrid Threat? – A Legal Perspective — https://doi.org/10.15804/ppsy202122</w:t>
      </w:r>
    </w:p>
    <w:p>
      <w:pPr/>
      <w:r>
        <w:rPr>
          <w:b/>
        </w:rPr>
        <w:t>Shared claim-specific concepts:</w:t>
      </w:r>
      <w:r>
        <w:t xml:space="preserve"> mass, migration, between, policies; EU scope visible. This is a provisional connection, not an outcome finding.</w:t>
      </w:r>
    </w:p>
    <w:p>
      <w:pPr>
        <w:pStyle w:val="SourceNote"/>
      </w:pPr>
      <w:r>
        <w:rPr>
          <w:b/>
        </w:rPr>
        <w:t>Available abstract (not full text):</w:t>
      </w:r>
      <w:r>
        <w:t xml:space="preserve"> Migration as a weapon sounds like a policy statement by resurgent nationalistic parties (and governments) in the West. However, politics and the human cost aside, what if an adversary (both state and non-state actor) does exploit the current global crisis of mass migration due to globalization, war, and political unrest? This article will look at the ongoing mass migration to the European Union within the wider security context of the so-called hybrid threats and/or ‘grey zone’ tactics. It looks at the various legal categories of migration as how the law can be weaponized as so-called ‘lawfare’ to undermine the existing legal frameworks distinguishing between legal and illegal migration. The authors recognize the possibility that this article will be used as an argument by the political actors involved for their nationalistic and anti-migration politics and policies. Yet, we believe that the potential of abusing the current vacuum for political gains along ideological party lines makes it necessary to provide a wider legal-security focused perspective on mass migration.</w:t>
      </w:r>
    </w:p>
    <w:p>
      <w:pPr/>
      <w:r>
        <w:rPr>
          <w:b/>
        </w:rPr>
        <w:t>POSSIBLE 2020:</w:t>
      </w:r>
      <w:r>
        <w:t xml:space="preserve"> The Age of Mass Migration, 1840–1937 — https://doi.org/10.1017/9781316841211.004</w:t>
      </w:r>
    </w:p>
    <w:p>
      <w:pPr/>
      <w:r>
        <w:rPr>
          <w:b/>
        </w:rPr>
        <w:t>Shared claim-specific concepts:</w:t>
      </w:r>
      <w:r>
        <w:t xml:space="preserve"> third, mass, migration; EU scope visible. This is a provisional connection, not an outcome finding.</w:t>
      </w:r>
    </w:p>
    <w:p>
      <w:pPr>
        <w:pStyle w:val="SourceNote"/>
      </w:pPr>
      <w:r>
        <w:rPr>
          <w:b/>
        </w:rPr>
        <w:t>Available abstract (not full text):</w:t>
      </w:r>
      <w:r>
        <w:t xml:space="preserve"> Chapter 3 surveys the vast expansion, both in the numbers of migrants and in the range of destinations, of Chinese migration during the age of mass migration, processes driven in part by industrialization and imperialism. The chapter both traces the expansion of existing diasporic trajectories, such as migration from Shandong to Manchuria and the Hokkien diaspora in Southeast Asia, and introduces new diasporic trajectories, such as the Teochiu migrants to Thailand, Cantonese migrants to Australasia and the Americas, and Zhejiang migrants to Europe. The chapter also draws attention to diasporic trajectories made up of female migrants, to Shanghai and Singapore, representing the beginnings of the feminization of migration. The chapter then introduces institutions unique to the age of mass migration: treaty ports, indentured servitude and the “coolie” trade. The chapter argues that while the age of migration was the heyday of such Chinese institutions as native-place associations and brotherhoods, it also witnessed the emergence of new types of migration services. The chapter concludes with a third example of a Chinese diasporic community, this one made up of Teochiu farmers in a village on the Malay Peninsula.</w:t>
      </w:r>
    </w:p>
    <w:p>
      <w:pPr/>
      <w:r>
        <w:rPr>
          <w:b/>
        </w:rPr>
        <w:t>POSSIBLE 2018:</w:t>
      </w:r>
      <w:r>
        <w:t xml:space="preserve"> The age of mass migration in Latin America — https://doi.org/10.1111/ehr.12787</w:t>
      </w:r>
    </w:p>
    <w:p>
      <w:pPr/>
      <w:r>
        <w:rPr>
          <w:b/>
        </w:rPr>
        <w:t>Shared claim-specific concepts:</w:t>
      </w:r>
      <w:r>
        <w:t xml:space="preserve"> mass, migration, between, different, policies; EU scope visible. This is a provisional connection, not an outcome finding.</w:t>
      </w:r>
    </w:p>
    <w:p>
      <w:pPr>
        <w:pStyle w:val="SourceNote"/>
      </w:pPr>
      <w:r>
        <w:rPr>
          <w:b/>
        </w:rPr>
        <w:t>Available abstract (not full text):</w:t>
      </w:r>
      <w:r>
        <w:t xml:space="preserve"> Abstract The experiences of Latin American countries are not fully incorporated into current debates concerning the age of mass migration, even though 13 million Europeans migrated to the region between 1870 and 1930. This survey draws together different aspects of the Latin America immigration experience. Its main objective is to rethink the role of European migration to the region, addressing several major questions in the economics of migration: whether immigrants were positively selected from their sending countries, how immigrants assimilated into the host economies, the role of immigration policies, and the long‐run effects of immigration. Immigrants came from the economically backward areas of southern and eastern Europe, yet their adjustment to the host labour markets in Latin America seems to have been successful. The possibility of rapid social upgrading made Latin America attractive for European immigrants. Migrants were positively selected from origin according to literacy. The most revealing aspect of new research is showing the positive long‐run effects that European immigrants had in Latin American countries. The political economy of immigration policies deserves new research, particularly for Brazil and Cuba. The case of Argentina shows a more complex scenario than the classic representation of landowners constantly supporting an open‐door policy.</w:t>
      </w:r>
    </w:p>
    <w:p>
      <w:pPr/>
      <w:r>
        <w:rPr>
          <w:b/>
        </w:rPr>
        <w:t>POSSIBLE 2018:</w:t>
      </w:r>
      <w:r>
        <w:t xml:space="preserve"> Migration — https://doi.org/10.1093/oxfordhb/9780199696826.013.14</w:t>
      </w:r>
    </w:p>
    <w:p>
      <w:pPr/>
      <w:r>
        <w:rPr>
          <w:b/>
        </w:rPr>
        <w:t>Shared claim-specific concepts:</w:t>
      </w:r>
      <w:r>
        <w:t xml:space="preserve"> third, mass, migration, dynamic; EU scope visible. This is a provisional connection, not an outcome finding.</w:t>
      </w:r>
    </w:p>
    <w:p>
      <w:pPr>
        <w:pStyle w:val="SourceNote"/>
      </w:pPr>
      <w:r>
        <w:rPr>
          <w:b/>
        </w:rPr>
        <w:t>Available abstract (not full text):</w:t>
      </w:r>
      <w:r>
        <w:t xml:space="preserve"> Abstract Migration has long been one of the defining themes of the pre-Roman Iron Age in Europe. Classical authors record migrations by Celtic peoples into Italy and Greece in the fourth and third centuries BC and their testimonies are corroborated by archaeological evidence. Much work has focused on these events and on mass migration in particular. As a result the archaeological study of migration and mobility is weakly theorized and the subject has been unfashionable in most recent western European scholarship. However, migration and mobility in the pre-Roman Iron Age took many forms, from individual marriages to the establishment of Greek colonies in western Europe and the mass migration of Germanic peoples in the second and first centuries BC. The reasons for mobility are varied, but the archaeological and historical sources are clear and consistent in showing that migration was a dynamic and important feature of the pre-Roman Iron Age.</w:t>
      </w:r>
    </w:p>
    <w:p>
      <w:pPr>
        <w:pStyle w:val="Heading2"/>
      </w:pPr>
      <w:r>
        <w:t>859.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2019:</w:t>
      </w:r>
      <w:r>
        <w:t xml:space="preserve"> Prediction of Compressive Strength of Concrete: Critical Comparison of Performance of a Hybrid Machine Learning Model with Standalone Models — https://doi.org/10.1061/(asce)mt.1943-5533.0002902</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pStyle w:val="Heading2"/>
      </w:pPr>
      <w:r>
        <w:t>860.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r>
        <w:rPr>
          <w:b/>
        </w:rPr>
        <w:t>POSSIBLE 2019:</w:t>
      </w:r>
      <w:r>
        <w:t xml:space="preserve"> HPV vaccination in a context of public mistrust and uncertainty: a systematic literature review of determinants of HPV vaccine hesitancy in Europe — https://doi.org/10.1080/21645515.2018.1564436</w:t>
      </w:r>
    </w:p>
    <w:p>
      <w:pPr/>
      <w:r>
        <w:rPr>
          <w:b/>
        </w:rPr>
        <w:t>Shared claim-specific concepts:</w:t>
      </w:r>
      <w:r>
        <w:t xml:space="preserve"> review, build, develop; EU scope visible. This is a provisional connection, not an outcome finding.</w:t>
      </w:r>
    </w:p>
    <w:p>
      <w:pPr>
        <w:pStyle w:val="SourceNote"/>
      </w:pPr>
      <w:r>
        <w:rPr>
          <w:b/>
        </w:rPr>
        <w:t>Available abstract (not full text):</w:t>
      </w:r>
      <w:r>
        <w:t xml:space="preserve">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pPr/>
      <w:r>
        <w:rPr>
          <w:b/>
        </w:rPr>
        <w:t>POSSIBLE 2018:</w:t>
      </w:r>
      <w:r>
        <w:t xml:space="preserve"> Farming for Life Quality and Sustainability: A Literature Review of Green Care Research Trends in Europe — https://doi.org/10.3390/ijerph15061282</w:t>
      </w:r>
    </w:p>
    <w:p>
      <w:pPr/>
      <w:r>
        <w:rPr>
          <w:b/>
        </w:rPr>
        <w:t>Shared claim-specific concepts:</w:t>
      </w:r>
      <w:r>
        <w:t xml:space="preserve"> review, sustainability, life; EU scope visible. This is a provisional connection, not an outcome finding.</w:t>
      </w:r>
    </w:p>
    <w:p>
      <w:pPr>
        <w:pStyle w:val="SourceNote"/>
      </w:pPr>
      <w:r>
        <w:rPr>
          <w:b/>
        </w:rPr>
        <w:t>Available abstract (not full text):</w:t>
      </w:r>
      <w:r>
        <w:t xml:space="preserve"> Green care is an innovative approach that combines simultaneously caring for people and caring for land through three elements that have not been previously connected: (1) multifunctional agriculture and recognition of the plurality of agricultural system values; (2) social services and health care; and (3) the possibility of strengthening the farming sector and local communities. The current research provides a comprehensive overview of green care in Europe as a scientific discipline through a literature review (n = 98 studies). According to our results, the Netherlands, the UK, Norway and Sweden followed by Italy have led the scientific studies published in English. Green care research comprises a wide range of perspectives and frameworks (social farming, care farming, nature-based solutions, etc.) with differences in their specificities. Green care studies have mainly focused on measuring the effectiveness of therapeutic interventions. Studies that evaluate its relevance in socio-economic and environmental terms are still limited. According to our results, the most common users studied were people suffering from psychological and mental ill health, while the most common activities were horticulture, animal husbandry and gardening. Finally, we discuss the potential of green care to reconnect people with nature and to diversify the farming sector providing new public services </w:t>
      </w:r>
    </w:p>
    <w:p>
      <w:pPr/>
      <w:r>
        <w:rPr>
          <w:b/>
        </w:rPr>
        <w:t>POSSIBLE 2017:</w:t>
      </w:r>
      <w:r>
        <w:t xml:space="preserve"> The bystander approach to violence prevention: Considerations for implementation in Europe. — https://doi.org/10.1037/vio0000104</w:t>
      </w:r>
    </w:p>
    <w:p>
      <w:pPr/>
      <w:r>
        <w:rPr>
          <w:b/>
        </w:rPr>
        <w:t>Shared claim-specific concepts:</w:t>
      </w:r>
      <w:r>
        <w:t xml:space="preserve"> review, build, recent, develop, needed, there; EU scope visible. This is a provisional connection, not an outcome finding.</w:t>
      </w:r>
    </w:p>
    <w:p>
      <w:pPr>
        <w:pStyle w:val="SourceNote"/>
      </w:pPr>
      <w:r>
        <w:rPr>
          <w:b/>
        </w:rPr>
        <w:t>Available abstract (not full text):</w:t>
      </w:r>
      <w:r>
        <w:t xml:space="preserve"> Abstract \nObjective: In recent years there has been a growing awareness of the prevalence of sexual violence in UK university student populations yet prevention efforts are in their infancy. Evidence from the US shows that empowering bystanders to intervene to prevent violence rather than focussing on perpetrators or victims is a promising strategy particularly suited to university settings. Public Health England commissioned a bystander program, The Intervention Initiative, for UK universities. This paper discusses the theoretical underpinnings of the bystander approach and the challenges for practical implementation in Europe. Method: We review findings from research relating to bystander theories, social norms theory and effective prevention programming which inform the development of maximally effective bystander programs. Results: Bystander programs are complex, multi-faceted interventions based on taking participants through the different stages required for an individual to move from inaction to action as described by Latané and Darley, 1969; 1970 in their organising framework for bystander intervention, and incorporating a social norms element. Programs which adhere to the principles for effective prevention as set out by Nation et al. (2003) are most likely to be effective. We demonstrate how these criteria informed the cultural specificity of The Intervention Initiat</w:t>
      </w:r>
    </w:p>
    <w:p>
      <w:pPr/>
      <w:r>
        <w:rPr>
          <w:b/>
        </w:rPr>
        <w:t>POSSIBLE 2016:</w:t>
      </w:r>
      <w:r>
        <w:t xml:space="preserve"> Review of the state of the art and future prospects of the ground-based GNSS meteorology in Europe — https://doi.org/10.5194/amt-9-5385-2016</w:t>
      </w:r>
    </w:p>
    <w:p>
      <w:pPr/>
      <w:r>
        <w:rPr>
          <w:b/>
        </w:rPr>
        <w:t>Shared claim-specific concepts:</w:t>
      </w:r>
      <w:r>
        <w:t xml:space="preserve"> review, develop, life; EU scope visible. This is a provisional connection, not an outcome finding.</w:t>
      </w:r>
    </w:p>
    <w:p>
      <w:pPr>
        <w:pStyle w:val="SourceNote"/>
      </w:pPr>
      <w:r>
        <w:rPr>
          <w:b/>
        </w:rPr>
        <w:t>Available abstract (not full text):</w:t>
      </w:r>
      <w:r>
        <w:t xml:space="preserve"> Abstract. Global Navigation Satellite Systems (GNSS) have revolutionised positioning, navigation, and timing, becoming a common part of our everyday life. Aside from these well-known civilian and commercial applications, GNSS is now an established atmospheric observing system, which can accurately sense water vapour, the most abundant greenhouse gas, accounting for 60–70 % of atmospheric warming. In Europe, the application of GNSS in meteorology started roughly two decades ago and today it is a well-established research field. This review covers the state-of-the-art in GNSS meteorology in Europe. Discussed are the advances in GNSS processing for derivation of tropospheric products, application of GNSS tropospheric products in operational weather prediction and application of GNSS tropospheric products for climate monitoring. Reviewed are the GNSS processing techniques and tropospheric products. Given is a summary of the use of the products for validation and impact studies with operational Numerical Weather Prediction (NWP) models as well as very short weather prediction (nowcasting) case studies. Climate research with GNSS is an emerging field of research, the studies so far have been limited to comparison with the climate models and derivation of trends. More than 15 years of GNSS meteorology in Europe has already achieved outstanding cooperation between the atmospheric and g</w:t>
      </w:r>
    </w:p>
    <w:p>
      <w:pPr>
        <w:pStyle w:val="Heading2"/>
      </w:pPr>
      <w:r>
        <w:t>861.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r>
        <w:rPr>
          <w:b/>
        </w:rPr>
        <w:t>POSSIBLE 2015:</w:t>
      </w:r>
      <w:r>
        <w:t xml:space="preserve"> Structure and Type Characteristics of the Winter Quasi-stationary Front in South China — https://openalex.org/W2384076123</w:t>
      </w:r>
    </w:p>
    <w:p>
      <w:pPr/>
      <w:r>
        <w:rPr>
          <w:b/>
        </w:rPr>
        <w:t>Shared claim-specific concepts:</w:t>
      </w:r>
      <w:r>
        <w:t xml:space="preserve"> addition, china, front, below; EU scope not established. This is a provisional connection, not an outcome finding.</w:t>
      </w:r>
    </w:p>
    <w:p>
      <w:pPr>
        <w:pStyle w:val="SourceNote"/>
      </w:pPr>
      <w:r>
        <w:rPr>
          <w:b/>
        </w:rPr>
        <w:t>Available abstract (not full text):</w:t>
      </w:r>
      <w:r>
        <w:t xml:space="preserve"> Using the daily National Centers for Environmental Prediction(NCEP) global final analysis(FNL) data and daily station rainfall data in China for the winters of 2000–2011, we first define an index to measure the strength of the South China quasi-stationary front(SCSF), and strong SCSF cases are then selected. The structure and characteristic circulation of strong SCSFs in relation to winter precipitation over South China are analyzed by composite analysis. The results show that strong SCSFs are nearly west–east oriented, are more common in January and February, and their frequency of occurrence shows a clear upward trend over the past 12 winters. The frontal zone of a strong SCSF is indicated by a dense band of potential pseudo-equivalent temperatures in the lower troposphere, slanting northward with altitude, with obvious differences across the band in temperature rather than in moisture. In addition, the frontal zone is often associated with a great temperature inversion, positive relative vorticity, and moisture flux convergence of north and south winds. Updrafts mainly appear above the slanted frontal zone, and disturbance zonal circulations with sub-frontal scale updrafts and downdrafts exist at about 850 h Pa below the upper–level westerlies. Strong SCSFs can be classified into three types according to their wind convergence patterns in the frontal zone at 850 h Pa. Among </w:t>
      </w:r>
    </w:p>
    <w:p>
      <w:pPr>
        <w:pStyle w:val="Heading2"/>
      </w:pPr>
      <w:r>
        <w:t>862.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2020:</w:t>
      </w:r>
      <w:r>
        <w:t xml:space="preserve"> Recycling of European plastic is a pathway for plastic debris in the ocean — https://doi.org/10.1016/j.envint.2020.105893</w:t>
      </w:r>
    </w:p>
    <w:p>
      <w:pPr/>
      <w:r>
        <w:rPr>
          <w:b/>
        </w:rPr>
        <w:t>Shared claim-specific concepts:</w:t>
      </w:r>
      <w:r>
        <w:t xml:space="preserve"> pathway, three; EU scope visible. This is a provisional connection, not an outcome finding.</w:t>
      </w:r>
    </w:p>
    <w:p>
      <w:pPr>
        <w:pStyle w:val="SourceNote"/>
      </w:pPr>
      <w:r>
        <w:rPr>
          <w:b/>
        </w:rPr>
        <w:t>Available abstract (not full text):</w:t>
      </w:r>
      <w:r>
        <w:t xml:space="preserve"> Polyethylene (PE) is one of the most common types of plastic. Whilst an increasing share of post-consumer plastic waste from Europe is collected for recycling, 46% of separated PE waste is exported outside of the source country (including intra-EU trade). The fate of this exported European plastic is not well known. This study integrated data on PE waste flows in 2017 from UN Comtrade, an open repository providing detailed international trade data, with best available information on waste management in destination countries, to model the fate of PE exported for recycling from Europe (EU-28, Norway and Switzerland) into: recycled high-density PE (HDPE) and low-density PE (LDPE) resins, "landfill", incineration and ocean debris. Data uncertainty was reflected in three scenarios representing high, low and average recovery efficiency factors in material recovery facilities and reprocessing facilities, and different ocean debris fate factors. The fates of exported PE were then linked back to the individual European countries of export. Our study estimated that 83,187 Mg (tonnes) (range: 32,115-180,558 Mg), or 3% (1-7%) of exported European PE in 2017 ended up in the ocean, indicating an important and hitherto undocumented pathway of plastic debris entering the oceans. The countries with the greatest percentage of exported PE ending up as recycled HDPE or LDPE were Luxembourg and Swi</w:t>
      </w:r>
    </w:p>
    <w:p>
      <w:pPr/>
      <w:r>
        <w:rPr>
          <w:b/>
        </w:rPr>
        <w:t>POSSIBLE 2019:</w:t>
      </w:r>
      <w:r>
        <w:t xml:space="preserve"> A protocol to develop Shared Socio-economic Pathways for European agriculture — https://doi.org/10.1016/j.jenvman.2019.109701</w:t>
      </w:r>
    </w:p>
    <w:p>
      <w:pPr/>
      <w:r>
        <w:rPr>
          <w:b/>
        </w:rPr>
        <w:t>Shared claim-specific concepts:</w:t>
      </w:r>
      <w:r>
        <w:t xml:space="preserve"> evaluation, pathways, develop, suitable, each, sectors; EU scope visible. This is a provisional connection, not an outcome finding.</w:t>
      </w:r>
    </w:p>
    <w:p>
      <w:pPr>
        <w:pStyle w:val="SourceNote"/>
      </w:pPr>
      <w:r>
        <w:rPr>
          <w:b/>
        </w:rPr>
        <w:t>Available abstract (not full text):</w:t>
      </w:r>
      <w:r>
        <w:t xml:space="preserve">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pPr/>
      <w:r>
        <w:rPr>
          <w:b/>
        </w:rPr>
        <w:t>POSSIBLE 2018:</w:t>
      </w:r>
      <w:r>
        <w:t xml:space="preserve"> Evaluating perceptions of risk in mosquito experts and identifying undocumented pathways for the introduction of invasive mosquito species into Europe — https://doi.org/10.1111/mve.12344</w:t>
      </w:r>
    </w:p>
    <w:p>
      <w:pPr/>
      <w:r>
        <w:rPr>
          <w:b/>
        </w:rPr>
        <w:t>Shared claim-specific concepts:</w:t>
      </w:r>
      <w:r>
        <w:t xml:space="preserve"> pathways, pathway, experts, specific; EU scope visible. This is a provisional connection, not an outcome finding.</w:t>
      </w:r>
    </w:p>
    <w:p>
      <w:pPr>
        <w:pStyle w:val="SourceNote"/>
      </w:pPr>
      <w:r>
        <w:rPr>
          <w:b/>
        </w:rPr>
        <w:t>Available abstract (not full text):</w:t>
      </w:r>
      <w:r>
        <w:t xml:space="preserve"> In several reported cases of the entry of invasive mosquito species (IMSs) into Europe, the introduction was associated with a specific pathway of introduction or dispersal. The identification of potential pathways for the introduction of IMSs and evaluations of the importance of the different pathways are key to designing proper surveillance strategies to promptly detect and control introductions in non-infested areas. The main goals of the present study were to identify other, previously undocumented, pathways of introduction into Europe, and to identify mosquito experts' perceptions regarding control measures against IMS introductions via different documented pathways. At the European Mosquito Control Association (EMCA) conference in Montenegro in March 2017, a questionnaire was distributed among meeting participants to collect expert data. Results showed that ground transportation (by cars, trucks, etc.), passive natural dispersal and the shipping of used tyres are perceived as the most likely pathways. Introduction via aircraft did not appear to be well known and was not perceived as probable. This study shows that there were no pathways unknown to European experts that could lead to cryptic introductions into the experts' countries. Furthermore, the findings demonstrated that the perceived efficacy of surveillance and control is key to overcoming the constraints experienc</w:t>
      </w:r>
    </w:p>
    <w:p>
      <w:pPr/>
      <w:r>
        <w:rPr>
          <w:b/>
        </w:rPr>
        <w:t>POSSIBLE 2017:</w:t>
      </w:r>
      <w:r>
        <w:t xml:space="preserve"> Integration of psycho-oncology through the whole care pathway for breast cancer patients in Europe — https://doi.org/10.1016/j.breast.2017.03.004</w:t>
      </w:r>
    </w:p>
    <w:p>
      <w:pPr/>
      <w:r>
        <w:rPr>
          <w:b/>
        </w:rPr>
        <w:t>Shared claim-specific concepts:</w:t>
      </w:r>
      <w:r>
        <w:t xml:space="preserve"> developed, pathway, specific; EU scope visible. This is a provisional connection, not an outcome finding.</w:t>
      </w:r>
    </w:p>
    <w:p>
      <w:pPr>
        <w:pStyle w:val="SourceNote"/>
      </w:pPr>
      <w:r>
        <w:rPr>
          <w:b/>
        </w:rPr>
        <w:t>Available abstract (not full text):</w:t>
      </w:r>
      <w:r>
        <w:t xml:space="preserve"> We are grateful to Drs Bahcivan and Altundag [ [1] Bahcivan O. Altundag K. Considerations to include while setting policy and standards for psycho oncological care in breast cancer services in Europe. Breast. 2017; https://doi.org/10.1016/j.breast.2017.02.007 Abstract Full Text Full Text PDF Scopus (1) Google Scholar ] for providing valuable complementary information to our paper [ [2] Neamtiu L. Deandrea S. Pylkkanen L. et al. Psycho-oncological support for breast cancer patients: a brief overview of breast cancer services certification schemes and national health policies in Europe. Breast. 2016; 29: 178-180 Abstract Full Text Full Text PDF PubMed Scopus (5) Google Scholar ]. We agree that there is a need for harmonisation as training in psycho-oncologyvaries greatly across Europe. However, we propose to look at psycho-oncology as part of comprehensive cancer care rather than merely as a sub-discipline of psychology [ [1] Bahcivan O. Altundag K. Considerations to include while setting policy and standards for psycho oncological care in breast cancer services in Europe. Breast. 2017; https://doi.org/10.1016/j.breast.2017.02.007 Abstract Full Text Full Text PDF Scopus (1) Google Scholar ]. Looking at the cancer care pathway, psycho-oncology addresses the psychological responses to cancer and the psychological, behavioural and social factors that may influence the disease proces</w:t>
      </w:r>
    </w:p>
    <w:p>
      <w:pPr/>
      <w:r>
        <w:rPr>
          <w:b/>
        </w:rPr>
        <w:t>POSSIBLE 2015:</w:t>
      </w:r>
      <w:r>
        <w:t xml:space="preserve"> Report of a European Society of Cardiology-European Association of Percutaneous Cardiovascular Interventions task force on the evaluation of coronary stents in Europe: executive summary — https://doi.org/10.1093/eurheartj/ehv203</w:t>
      </w:r>
    </w:p>
    <w:p>
      <w:pPr/>
      <w:r>
        <w:rPr>
          <w:b/>
        </w:rPr>
        <w:t>Shared claim-specific concepts:</w:t>
      </w:r>
      <w:r>
        <w:t xml:space="preserve"> evaluation, pathway, develop, specific; EU scope visible. This is a provisional connection, not an outcome finding.</w:t>
      </w:r>
    </w:p>
    <w:p>
      <w:pPr>
        <w:pStyle w:val="SourceNote"/>
      </w:pPr>
      <w:r>
        <w:rPr>
          <w:b/>
        </w:rPr>
        <w:t>Available abstract (not full text):</w:t>
      </w:r>
      <w:r>
        <w:t xml:space="preserve"> The evaluation for European Union market approval of coronary stents falls under the Medical Device Directive that was adopted in 1993. Specific requirements for the assessment of coronary stents are laid out in supplementary advisory documents. In response to a call by the European Commission to make recommendations for a revision of the advisory document on the evaluation of coronary stents (Appendix 1 of MEDDEV 2.7.1), the European Society of Cardiology (ESC) and the European Association of Percutaneous Cardiovascular Interventions (EAPCI) established a Task Force to develop an expert advisory report. As basis for its report, the ESC-EAPCI Task Force reviewed existing processes, established a comprehensive list of all coronary drug-eluting stents that have received a CE mark to date, and undertook a systematic review of the literature of all published randomized clinical trials evaluating clinical and angiographic outcomes of coronary artery stents between 2002 and 2013. Based on these data, the TF provided recommendations to inform a new regulatory process for coronary stents. The main recommendations of the task force include implementation of a standardized non-clinical assessment of stents and a novel clinical evaluation pathway for market approval. The two-stage clinical evaluation plan includes recommendation for an initial pre-market trial with objective performance c</w:t>
      </w:r>
    </w:p>
    <w:p>
      <w:pPr/>
      <w:r>
        <w:rPr>
          <w:b/>
        </w:rPr>
        <w:t>POSSIBLE 2015:</w:t>
      </w:r>
      <w:r>
        <w:t xml:space="preserve"> Transition Pathways to Sustainable Pastoral Systems in Europe — https://doi.org/10.2174/1874331501509010006</w:t>
      </w:r>
    </w:p>
    <w:p>
      <w:pPr/>
      <w:r>
        <w:rPr>
          <w:b/>
        </w:rPr>
        <w:t>Shared claim-specific concepts:</w:t>
      </w:r>
      <w:r>
        <w:t xml:space="preserve"> pathways, developed, transition, experts, specific; EU scope visible. This is a provisional connection, not an outcome finding.</w:t>
      </w:r>
    </w:p>
    <w:p>
      <w:pPr>
        <w:pStyle w:val="SourceNote"/>
      </w:pPr>
      <w:r>
        <w:rPr>
          <w:b/>
        </w:rPr>
        <w:t>Available abstract (not full text):</w:t>
      </w:r>
      <w:r>
        <w:t xml:space="preserve"> Large Scale Grazing Systems (LSGSs) in Europe are extensive systems of grassland management, which have developed from the interaction of historical background, human behaviour and natural resources, and are mainly located in the Less Favoured Areas (LFAs). LSGSs currently face competing threats towards intensification and/or abandonment but, at the same time, they harbour a significant part of European nature values. Socio-economic driving forces of land abandonment and intensification are poorly addressed. The current system assumes that these LSGSs are inherently uneconomic and only payments for the potential delivery of environmental services and side line activities are the source of continuity and justification of support. Our conceptual approach, however, is based on the assumptions that endogenous development and targeted policy schemes cannot be disregarded. A framework profile is provided for the identification and description of European LSGSs where regeneration plans can be more cost-effective. Under this conceptual approach, operational tools such as pastoral strategies for survival and system-specific management alternatives can be devised for interplay of environmental and socio-economic functions, facilitating interdisciplinary research within and across systems. From the empirical perspective, we show how the trend of abandonment of LSGS in the last 60 years is</w:t>
      </w:r>
    </w:p>
    <w:p>
      <w:pPr>
        <w:pStyle w:val="Heading2"/>
      </w:pPr>
      <w:r>
        <w:t>863.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2019:</w:t>
      </w:r>
      <w:r>
        <w:t xml:space="preserve"> The Human Cost of Anthropogenic Global Warming: Semi-Quantitative Prediction and the 1,000-Tonne Rule — https://doi.org/10.3389/fpsyg.2019.02323</w:t>
      </w:r>
    </w:p>
    <w:p>
      <w:pPr/>
      <w:r>
        <w:rPr>
          <w:b/>
        </w:rPr>
        <w:t>Shared claim-specific concepts:</w:t>
      </w:r>
      <w:r>
        <w:t xml:space="preserve"> every, tonne, predicted; EU scope not established. This is a provisional connection, not an outcome finding.</w:t>
      </w:r>
    </w:p>
    <w:p>
      <w:pPr>
        <w:pStyle w:val="SourceNote"/>
      </w:pPr>
      <w:r>
        <w:rPr>
          <w:b/>
        </w:rPr>
        <w:t>Available abstract (not full text):</w:t>
      </w:r>
      <w:r>
        <w:t xml:space="preserve">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pPr/>
      <w:r>
        <w:rPr>
          <w:b/>
        </w:rPr>
        <w:t>POSSIBLE 2016:</w:t>
      </w:r>
      <w:r>
        <w:t xml:space="preserve"> Health Impacts of Active Transportation in Europe — https://doi.org/10.1371/journal.pone.0149990</w:t>
      </w:r>
    </w:p>
    <w:p>
      <w:pPr/>
      <w:r>
        <w:rPr>
          <w:b/>
        </w:rPr>
        <w:t>Shared claim-specific concepts:</w:t>
      </w:r>
      <w:r>
        <w:t xml:space="preserve"> level, potential; EU scope visible. This is a provisional connection, not an outcome finding.</w:t>
      </w:r>
    </w:p>
    <w:p>
      <w:pPr>
        <w:pStyle w:val="SourceNote"/>
      </w:pPr>
      <w:r>
        <w:rPr>
          <w:b/>
        </w:rPr>
        <w:t>Available abstract (not full text):</w:t>
      </w:r>
      <w:r>
        <w:t xml:space="preserve">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r>
        <w:rPr>
          <w:b/>
        </w:rPr>
        <w:t>POSSIBLE 2016:</w:t>
      </w:r>
      <w:r>
        <w:t xml:space="preserve"> Big Data for Supporting Low-Carbon Road Transport Policies in Europe: Applications, Challenges and Opportunities — https://doi.org/10.1016/j.bdr.2016.04.003</w:t>
      </w:r>
    </w:p>
    <w:p>
      <w:pPr/>
      <w:r>
        <w:rPr>
          <w:b/>
        </w:rPr>
        <w:t>Shared claim-specific concepts:</w:t>
      </w:r>
      <w:r>
        <w:t xml:space="preserve"> every, developed, platform, potential; EU scope visible. This is a provisional connection, not an outcome finding.</w:t>
      </w:r>
    </w:p>
    <w:p>
      <w:pPr>
        <w:pStyle w:val="SourceNote"/>
      </w:pPr>
      <w:r>
        <w:rPr>
          <w:b/>
        </w:rPr>
        <w:t>Available abstract (not full text):</w:t>
      </w:r>
      <w:r>
        <w:t xml:space="preserve"> Big data is among the most promising research trends of the decade, drawing attention from every segment of the market and society. This paper provides the scientific community with a comprehensive overview of the applications of a data processing platform designed to harness the potential of big data in the field of road transport policies in Europe. This platform relies on datasets of driving and mobility patterns collected by means of navigation systems. Two datasets from conventional fuel vehicles collected with on-board GPS systems have been used to perform an initial pilot study and develop its core algorithms. They consist of 4.5 million trips and parking events recorded by monitoring 28,000 vehicles over one month. The presented analyses address: (1) large-scale mobility statistics, (2) potential of electric vehicles in replacing conventional fuel vehicles and related modal shift, (3) energy demand coming from electric vehicles, (4) smart design of the recharge infrastructure and Vehicle-to-Grid, and (5) real-world driving and evaporative emissions assessment and mapping. The developed methodology and the presented outcomes demonstrate the potential of big data for policy assessment and better governance, focusing on the challenges and on the huge opportunities offered for future developments. This paper ultimately aims to show how big data can inspire smart policies to</w:t>
      </w:r>
    </w:p>
    <w:p>
      <w:pPr>
        <w:pStyle w:val="Heading2"/>
      </w:pPr>
      <w:r>
        <w:t>864.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r>
        <w:rPr>
          <w:b/>
        </w:rPr>
        <w:t>POSSIBLE 2017:</w:t>
      </w:r>
      <w:r>
        <w:t xml:space="preserve"> The impact of the US retreat from the Paris Agreement: Kyoto revisited? — https://doi.org/10.1080/14693062.2017.1412934</w:t>
      </w:r>
    </w:p>
    <w:p>
      <w:pPr/>
      <w:r>
        <w:rPr>
          <w:b/>
        </w:rPr>
        <w:t>Shared claim-specific concepts:</w:t>
      </w:r>
      <w:r>
        <w:t xml:space="preserve"> kyoto, agreement, reduce, emissions, different, possible; EU scope not established. This is a provisional connection, not an outcome finding.</w:t>
      </w:r>
    </w:p>
    <w:p>
      <w:pPr>
        <w:pStyle w:val="SourceNote"/>
      </w:pPr>
      <w:r>
        <w:rPr>
          <w:b/>
        </w:rPr>
        <w:t>Available abstract (not full text):</w:t>
      </w:r>
      <w:r>
        <w:t xml:space="preserve"> The United States’ decision to withdraw from the Paris Agreement (pending possible re-engagement under different terms) may have significant ramifications for international climate policy, but the implications of this decision remain contested. This commentary illustrates how comparative analysis of US participation in multilateral environmental agreements can inform predictions and future assessments of the decision. We compare and contrast US non-participation in the Kyoto Protocol and the Paris Agreement, focusing on four key areas that may condition the influence of US treaty decisions on international climate policy: (i) global momentum on climate change mitigation; (ii) the possibility of US non-participation giving rise to alternative forms of international collaboration on climate policy; (iii) the timing and circumstances of the US decision to exit; and (iv) the influence of treaty design on countries’ incentives to participate and comply. We find that differences across the two treaties relating to the first three factors are more likely to reduce the negative ramifications of US withdrawal from the Paris Agreement compared to the Kyoto Protocol. However, the increased urgency of deep decarbonization renders US non-participation a major concern despite its declining share of global emissions. Moreover, key design features of the Paris Agreement suggest that other coun</w:t>
      </w:r>
    </w:p>
    <w:p>
      <w:pPr>
        <w:pStyle w:val="Heading2"/>
      </w:pPr>
      <w:r>
        <w:t>865.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Access to European Commission Guidance — https://doi.org/10.21552/estal/2023/3/2</w:t>
      </w:r>
    </w:p>
    <w:p>
      <w:pPr/>
      <w:r>
        <w:rPr>
          <w:b/>
        </w:rPr>
        <w:t>Shared claim-specific concepts:</w:t>
      </w:r>
      <w:r>
        <w:t xml:space="preserve"> commission, assess, between; EU scope visible. This is a provisional connection, not an outcome finding.</w:t>
      </w:r>
    </w:p>
    <w:p>
      <w:pPr>
        <w:pStyle w:val="SourceNote"/>
      </w:pPr>
      <w:r>
        <w:rPr>
          <w:b/>
        </w:rPr>
        <w:t>Available abstract (not full text):</w:t>
      </w:r>
      <w:r>
        <w:t xml:space="preserve">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pPr/>
      <w:r>
        <w:rPr>
          <w:b/>
        </w:rPr>
        <w:t>POSSIBLE 2023:</w:t>
      </w:r>
      <w:r>
        <w:t xml:space="preserve"> Assessing the role of the European Council and the European Commission during the migration and COVID-19 crises — https://doi.org/10.1080/01402382.2023.2225403</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pPr/>
      <w:r>
        <w:rPr>
          <w:b/>
        </w:rPr>
        <w:t>POSSIBLE 2023:</w:t>
      </w:r>
      <w:r>
        <w:t xml:space="preserve"> The European Commission: a climate policy entrepreneur — https://doi.org/10.4337/9781789906981.00013</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pPr/>
      <w:r>
        <w:rPr>
          <w:b/>
        </w:rPr>
        <w:t>POSSIBLE 2022:</w:t>
      </w:r>
      <w:r>
        <w:t xml:space="preserve"> Overseeing the European Commission in the European Semester — https://doi.org/10.1017/9781108886611.005</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This chapter depicts the accountability relationship between the European Parliament and the European Commission in the framework of the European Semester. During the euro crisis, the introduction of the European Semester gave the Commission a stronger implementing role in the coordination of Member States’ economic, fiscal, and social policies. Subsequently, the Parliament gained the right to question the Commission on the Semester not only via letters but also in committee meetings known as ‘Economic Dialogues.’ During the period 2010-2019, Members of the European Parliament have shown diverse interests in the activities of the Commission in the European Semester – with few follow-up questions pushing on specific topics. Given the relationship between the two institutions in the EU political system, oversight focused on requests for the justification of decisions and demands to make concrete changes to policy priorities. For its part, the Commission engaged with most questions openly, albeit there was a clear tendency to defend its conduct and maintain previous courses of action – regardless of requests from the European Parliament.</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commission, across;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2020:</w:t>
      </w:r>
      <w:r>
        <w:t xml:space="preserve"> The European climate law: too much power for the Commission? — https://openalex.org/W3015455640</w:t>
      </w:r>
    </w:p>
    <w:p>
      <w:pPr/>
      <w:r>
        <w:rPr>
          <w:b/>
        </w:rPr>
        <w:t>Shared claim-specific concepts:</w:t>
      </w:r>
      <w:r>
        <w:t xml:space="preserve"> established, commission, assess, climate; EU scope visible. This is a provisional connection, not an outcome finding.</w:t>
      </w:r>
    </w:p>
    <w:p>
      <w:pPr>
        <w:pStyle w:val="SourceNote"/>
      </w:pPr>
      <w:r>
        <w:rPr>
          <w:b/>
        </w:rPr>
        <w:t>Available abstract (not full text):</w:t>
      </w:r>
      <w:r>
        <w:t xml:space="preserve"> On March 4 2020, the European Commission presented its proposal for a European Climate Law in which a framework for achieving the objective of climate neutrality by 2050 would be legally established. At a political level, this goal has already been endorsed by the European Parliament in its resolution of 14 March 2019 and by the European Council in its conclusions of 12 December 2019. The Commission had hardly tabled its proposal before it was bombarded with critique, including that the Climate Law would constitute a power grab by the Commission, in particular by giving it the power to decide on the appropriate 'trajectory' to 2050. In addition, the Commission intends to follow up on and assess the efforts of the Member States. The present contribution will address these two points in the light of EU primary law.</w:t>
      </w:r>
    </w:p>
    <w:p>
      <w:pPr/>
      <w:r>
        <w:rPr>
          <w:b/>
        </w:rPr>
        <w:t>POSSIBLE 2019:</w:t>
      </w:r>
      <w:r>
        <w:t xml:space="preserve"> Uses and perceptions of Machine Translation at the European Commission — https://doi.org/10.26034/cm.jostrans.2019.182</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Current research on translation technology seeks to integrate physical, cognitive and organisational ergonomics, and uses insights from the situated cognition paradigm to bring together social and technical perspectives on fast-evolving human-computer interactions. Even though these trends imply that a wider variety of professional contexts should be considered, studies of institutional translation are still scarce. This paper reports on a three-week research stay in the French language department of the European Commission (DGT-Fr2), aimed at understanding current uses and perceptions of machine translation (MT) and post-editing within Europe's biggest translation institution. Based on ethnographic data, we established a survey that we tested among French translators before translating it into English and submitting it to all DGT translators. Our quantitative data include 89 respondents from 15 language departments. We perform multiple linear regressions to assess technology acceptance, before focusing on the variance that the model leaves unexplained. Our findings show that perceptions of control, subjective norm and image, as well as insecurity (fear of MT) have an impact on professional MT acceptance.</w:t>
      </w:r>
    </w:p>
    <w:p>
      <w:pPr/>
      <w:r>
        <w:rPr>
          <w:b/>
        </w:rPr>
        <w:t>POSSIBLE 2016:</w:t>
      </w:r>
      <w:r>
        <w:t xml:space="preserve"> A STEP IN THE DEMOCRACY IN THE EUROPEAN UNION: ANEXAMINATION ON THE CHOICE OF COMMISSION PRESIDENCY — https://openalex.org/W4299311940</w:t>
      </w:r>
    </w:p>
    <w:p>
      <w:pPr/>
      <w:r>
        <w:rPr>
          <w:b/>
        </w:rPr>
        <w:t>Shared claim-specific concepts:</w:t>
      </w:r>
      <w:r>
        <w:t xml:space="preserve"> established, commission, energy, between; EU scope visible. This is a provisional connection, not an outcome finding.</w:t>
      </w:r>
    </w:p>
    <w:p>
      <w:pPr>
        <w:pStyle w:val="SourceNote"/>
      </w:pPr>
      <w:r>
        <w:rPr>
          <w:b/>
        </w:rPr>
        <w:t>Available abstract (not full text):</w:t>
      </w:r>
      <w:r>
        <w:t xml:space="preserve"> The European Commission, which was first established as a "High Authority" by the European Coal and Steel Community (ECSC), by the ECSC Treaty signed in Paris in 1951, has become the executive organ of the European Union today with its ever increasing powers. The status of the commission, which has a very important place in terms of its powers, stems from the model difference between the ECSC Treaty and the European Economic Community and the European Atomic Energy Community treaties. However, the most important point here is that the position of the presidency of the Commission, which is the leader of this is the driving force, has become a very important position. In this study, the change caused by the election of the commission president, elected in 2014 after the parliamentary elections, which was an assigned position previously, will be discussed. In this discussion, the change in methods of taking charge in the European Commission will be assessed in consideration of the Founding Treaties and other official documents/fundamental reports. Consequently, before and after the May 2014 Parliamentary Elections, this study attempts to shed a light on the present status of the election system for the European Commission Presidency, after the Lisbon Treaty</w:t>
      </w:r>
    </w:p>
    <w:p>
      <w:pPr>
        <w:pStyle w:val="Heading2"/>
      </w:pPr>
      <w:r>
        <w:t>866.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2017:</w:t>
      </w:r>
      <w:r>
        <w:t xml:space="preserve"> Summer drought predictability over Europe: empirical versus dynamical forecasts — https://doi.org/10.1088/1748-9326/aa7859</w:t>
      </w:r>
    </w:p>
    <w:p>
      <w:pPr/>
      <w:r>
        <w:rPr>
          <w:b/>
        </w:rPr>
        <w:t>Shared claim-specific concepts:</w:t>
      </w:r>
      <w:r>
        <w:t xml:space="preserve"> forecasts, important, system; EU scope visible. This is a provisional connection, not an outcome finding.</w:t>
      </w:r>
    </w:p>
    <w:p>
      <w:pPr>
        <w:pStyle w:val="SourceNote"/>
      </w:pPr>
      <w:r>
        <w:rPr>
          <w:b/>
        </w:rPr>
        <w:t>Available abstract (not full text):</w:t>
      </w:r>
      <w:r>
        <w:t xml:space="preserve">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867.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2021:</w:t>
      </w:r>
      <w:r>
        <w:t xml:space="preserve"> New Strategic Foresight in EU — https://doi.org/10.15211/soveurope720215060</w:t>
      </w:r>
    </w:p>
    <w:p>
      <w:pPr/>
      <w:r>
        <w:rPr>
          <w:b/>
        </w:rPr>
        <w:t>Shared claim-specific concepts:</w:t>
      </w:r>
      <w:r>
        <w:t xml:space="preserve"> based, general, foresight, four; EU scope visible. This is a provisional connection, not an outcome finding.</w:t>
      </w:r>
    </w:p>
    <w:p>
      <w:pPr>
        <w:pStyle w:val="SourceNote"/>
      </w:pPr>
      <w:r>
        <w:rPr>
          <w:b/>
        </w:rPr>
        <w:t>Available abstract (not full text):</w:t>
      </w:r>
      <w:r>
        <w:t xml:space="preserve"> The article deals with the consideration of the concept and practice of the new strategic foresight being developed in the European Union. It summarizes the EU's experience in clarifying the conceptual framework, in the conceptual apparatus, methodology and expected practice of using strategic foresight for the development and implementation of policies to achieve the declared goals of long-term development. The main attention is paid to the analysis of four interrelated factors assessed by the European Commission as determining its target setting for sustainable development: socio-economic, geopolitical, green and digital, as well as issues of political decisions monitoring. Based on the results of the work, conclusions were made that are of fundamental importance for the formation of the prognostic component of domestic policy, with a focus on the general socio-economic and political conditions necessary to create a strategic forecasting system that is not yet available in Russia, adequate to the requirements of modern development.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out, different;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r>
        <w:rPr>
          <w:b/>
        </w:rPr>
        <w:t>POSSIBLE 2019:</w:t>
      </w:r>
      <w:r>
        <w:t xml:space="preserve"> Foresight workshop summary: The future of Europe depends on how it manages the risks of climate extremes : Foresight: December 2018 Workshop summary — https://openalex.org/W3082533459</w:t>
      </w:r>
    </w:p>
    <w:p>
      <w:pPr/>
      <w:r>
        <w:rPr>
          <w:b/>
        </w:rPr>
        <w:t>Shared claim-specific concepts:</w:t>
      </w:r>
      <w:r>
        <w:t xml:space="preserve"> based, foresight, out, working; EU scope visible. This is a provisional connection, not an outcome finding.</w:t>
      </w:r>
    </w:p>
    <w:p>
      <w:pPr>
        <w:pStyle w:val="SourceNote"/>
      </w:pPr>
      <w:r>
        <w:rPr>
          <w:b/>
        </w:rPr>
        <w:t>Available abstract (not full text):</w:t>
      </w:r>
      <w:r>
        <w:t xml:space="preserve"> This report is partly based on the The future of Europe and the future of climate action: reflections and scenarios for the EU27 by Jonathan Gaventa and Manon Dufour, E3G; Martin Nesbit and Kamila Paquel, IEEP and Radostina Primova, HBS EU and mostly on the PLACARD Foresight workshop: facing the future of Europe’s climate – EU governance and climate risks at a crossroads One of the working streams of PLACARD is to promote foresight. Foresight is a method to try out a set of forward-looking approaches that help decision-makers explore and anticipate what might happen. This allows decision-makers to prepare for a range of possible futures, and influence and shape those futures.</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different, horizon;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2018:</w:t>
      </w:r>
      <w:r>
        <w:t xml:space="preserve"> Accompanying technology development in the Human Brain Project: From foresight to ethics management — https://doi.org/10.1016/j.futures.2018.01.005</w:t>
      </w:r>
    </w:p>
    <w:p>
      <w:pPr/>
      <w:r>
        <w:rPr>
          <w:b/>
        </w:rPr>
        <w:t>Shared claim-specific concepts:</w:t>
      </w:r>
      <w:r>
        <w:t xml:space="preserve"> general, foresight, who; EU scope visible. This is a provisional connection, not an outcome finding.</w:t>
      </w:r>
    </w:p>
    <w:p>
      <w:pPr>
        <w:pStyle w:val="SourceNote"/>
      </w:pPr>
      <w:r>
        <w:rPr>
          <w:b/>
        </w:rPr>
        <w:t>Available abstract (not full text):</w:t>
      </w:r>
      <w:r>
        <w:t xml:space="preserve"> This paper addresses the question of managing the existential risk potential of general Artificial Intelligence (AI), as well as the more near-term yet hazardous and disruptive implications of specialised AI, from the perspective of a particular research project that could make a significant contribution to the development of Artificial Intelligence (AI): the Human Brain Project (HBP), a ten-year Future and Emerging Technologies Flagship of the European Commission. The HBP aims to create a digital research infrastructure for brain science, cognitive neuroscience, and brain-inspired computing. This paper builds on work undertaken in the HBP’s Ethics and Society subproject (SP12). Collaborators from two activities in SP12, Foresight and Researcher Awareness on the one hand, and Ethics Management on the other, use the case of machine intelligence to illustrate key aspects of the dynamic processes through which questions of ethics and society, including existential risks, are approached in the organisational context of the HBP. The overall aim of the paper is to provide practice-based evidence, enriched by self-reflexive assessment of the approach used and its limitations, for guiding policy makers and communities who are, and will be, engaging with such questions.</w:t>
      </w:r>
    </w:p>
    <w:p>
      <w:pPr/>
      <w:r>
        <w:rPr>
          <w:b/>
        </w:rPr>
        <w:t>POSSIBLE 2015:</w:t>
      </w:r>
      <w:r>
        <w:t xml:space="preserve"> Corporate foresight: An emerging field with a rich tradition — https://doi.org/10.1016/j.techfore.2015.11.002</w:t>
      </w:r>
    </w:p>
    <w:p>
      <w:pPr/>
      <w:r>
        <w:rPr>
          <w:b/>
        </w:rPr>
        <w:t>Shared claim-specific concepts:</w:t>
      </w:r>
      <w:r>
        <w:t xml:space="preserve"> based, general, foresight, four; EU scope not established. This is a provisional connection, not an outcome finding.</w:t>
      </w:r>
    </w:p>
    <w:p>
      <w:pPr>
        <w:pStyle w:val="SourceNote"/>
      </w:pPr>
      <w:r>
        <w:rPr>
          <w:b/>
        </w:rPr>
        <w:t>Available abstract (not full text):</w:t>
      </w:r>
      <w:r>
        <w:t xml:space="preserve"> The goal of this introductory article to the Special Issue on Corporate Foresight is to provide an overview of the state of the art, major challenges and to identify development trajectories. We define corporate foresight as a practice that permits an organization to lay the foundation for a future competitive advantage. Historically we distinguish and discuss four main phases: 1) birth of the field (1950s), 2) the age of scenarios (1960s–1970s), 3) professionalization (1980s–1990s), and 4) organizational integration (2000–). A systematic literature search revealed 102 articles on foresight, 29 of them on corporate foresight. Based on these articles and those in this Special Issue, we identify four main themes. Two more mature themes, namely ‘organizing corporate foresight’, and ‘individual and collective cognition’, and two emerging themes ‘corporate foresight in networked organizations’, and ‘quantifying value contributions’. In the conclusion we make a plea for establishing corporate foresight as a separate research stream that can adopt various theoretical foundations from a number of general management research traditions. To help the field move forward we identify three areas in which corporate foresight research can build on theoretical notions in general management, and can contribute to such on-going debates.</w:t>
      </w:r>
    </w:p>
    <w:p>
      <w:pPr>
        <w:pStyle w:val="Heading2"/>
      </w:pPr>
      <w:r>
        <w:t>868.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set, nitrogen, emissions, anthropogenic, all, two;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Reassessing changes in diurnal temperature range: Intercomparison and evaluation of existing global data set estimates — https://doi.org/10.1002/2015jd024584</w:t>
      </w:r>
    </w:p>
    <w:p>
      <w:pPr/>
      <w:r>
        <w:rPr>
          <w:b/>
        </w:rPr>
        <w:t>Shared claim-specific concepts:</w:t>
      </w:r>
      <w:r>
        <w:t xml:space="preserve"> set, all, two; EU scope visible. This is a provisional connection, not an outcome finding.</w:t>
      </w:r>
    </w:p>
    <w:p>
      <w:pPr>
        <w:pStyle w:val="SourceNote"/>
      </w:pPr>
      <w:r>
        <w:rPr>
          <w:b/>
        </w:rPr>
        <w:t>Available abstract (not full text):</w:t>
      </w:r>
      <w:r>
        <w:t xml:space="preserve">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pPr/>
      <w:r>
        <w:rPr>
          <w:b/>
        </w:rPr>
        <w:t>POSSIBLE 2015:</w:t>
      </w:r>
      <w:r>
        <w:t xml:space="preserve"> Histopathological evaluation of thrombus in patients presenting with stent thrombosis. A multicenter European study: a report of the prevention of late stent thrombosis by an interdisciplinary global European effort consortium — https://doi.org/10.1093/eurheartj/ehv419</w:t>
      </w:r>
    </w:p>
    <w:p>
      <w:pPr/>
      <w:r>
        <w:rPr>
          <w:b/>
        </w:rPr>
        <w:t>Shared claim-specific concepts:</w:t>
      </w:r>
      <w:r>
        <w:t xml:space="preserve"> present, evaluate, all; EU scope visible. This is a provisional connection, not an outcome finding.</w:t>
      </w:r>
    </w:p>
    <w:p>
      <w:pPr>
        <w:pStyle w:val="SourceNote"/>
      </w:pPr>
      <w:r>
        <w:rPr>
          <w:b/>
        </w:rPr>
        <w:t>Available abstract (not full text):</w:t>
      </w:r>
      <w:r>
        <w:t xml:space="preserve">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pStyle w:val="Heading2"/>
      </w:pPr>
      <w:r>
        <w:t>869.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2023:</w:t>
      </w:r>
      <w:r>
        <w:t xml:space="preserve"> Renewable energy deployment in Europe: Do politics matter? — https://doi.org/10.1007/s10668-023-03839-0</w:t>
      </w:r>
    </w:p>
    <w:p>
      <w:pPr/>
      <w:r>
        <w:rPr>
          <w:b/>
        </w:rPr>
        <w:t>Shared claim-specific concepts:</w:t>
      </w:r>
      <w:r>
        <w:t xml:space="preserve"> deployment, renewable, energy, analyzes; EU scope visible. This is a provisional connection, not an outcome finding.</w:t>
      </w:r>
    </w:p>
    <w:p>
      <w:pPr>
        <w:pStyle w:val="SourceNote"/>
      </w:pPr>
      <w:r>
        <w:rPr>
          <w:b/>
        </w:rPr>
        <w:t>Available abstract (not full text):</w:t>
      </w:r>
      <w:r>
        <w:t xml:space="preserve"> Abstract This study analyzes non-hydroelectric renewable capacity across 27 European countries from 2000 to 2020, using advanced econometric techniques like the Dumitrescu and Hurlin panel Granger non-causality method, Panel Autoregressive Distributed Lag and Panel Quantile Autoregressive Distributed Lag estimations. This investigation reveals complex relationships extending beyond immediate variables. These relationships, rooted in pairwise causalities and broader interactions, underpin observed phenomena. Causality tests show that achieving non-hydroelectric renewable capacity is a long-term endeavor, emphasizing persistent policy approaches for effective energy transition. Three key variables emerge as potent policy drivers: maintaining an environment conducive to economic freedom, fostering financial development, and driving non-hydroelectric renewable patents’ research and development. These variables play a pivotal role in capacity expansion. Additionally, the findings of this empirical investigation spotlight the role of political orientations. Leftist governments have lagged in prioritizing energy transition, prompting questions about neglecting environmental concerns and necessitating comprehensive policy reform. In essence, this study offers novel insights into non-hydroelectric renewable energy deployment. By unraveling complex relationships, emphasizing persistent p</w:t>
      </w:r>
    </w:p>
    <w:p>
      <w:pPr/>
      <w:r>
        <w:rPr>
          <w:b/>
        </w:rPr>
        <w:t>POSSIBLE 2023:</w:t>
      </w:r>
      <w:r>
        <w:t xml:space="preserve"> Comparison of the European Regulatory Framework for the deployment of Offshore Renewable Energy Project — https://doi.org/10.36688/ewtec-2023-335</w:t>
      </w:r>
    </w:p>
    <w:p>
      <w:pPr/>
      <w:r>
        <w:rPr>
          <w:b/>
        </w:rPr>
        <w:t>Shared claim-specific concepts:</w:t>
      </w:r>
      <w:r>
        <w:t xml:space="preserve"> deployment, renewable, energy, both, regions, generation; EU scope visible. This is a provisional connection, not an outcome finding.</w:t>
      </w:r>
    </w:p>
    <w:p>
      <w:pPr>
        <w:pStyle w:val="SourceNote"/>
      </w:pPr>
      <w:r>
        <w:rPr>
          <w:b/>
        </w:rPr>
        <w:t>Available abstract (not full text):</w:t>
      </w:r>
      <w:r>
        <w:t xml:space="preserve"> The REPower EU Plan has set a minimum of total renewable energy generation capacity of 1,236 GW by 2030. Achieving this target, and emission reductions by 2050, will require the extensive deployment of offshore energy facilities, especially offshore wind (OW) and wave energy converters (WECs). However, an incomplete and sometimes unfavourable regulatory framework still jeopardises the feasibility of both prototypes and large-scale installations. There are, for example, significant differences between the permitting procedures in different Member States and regions. Moreover, following the transposition of the Directive 2014/89/EU “establishing a framework for maritime spatial planning”, important differences pertain to the way environmental and heritage protection is dealt with. An overview of the offshore permitting schemes for offshore wind in ten European counties (Germany, Denmark, Scotland, Sweden, France, Spain, Portugal, Italy, Belgium, and Ireland) is provided, demonstrating a mismatch between the current members’ complex regulations and the future offshore wind targets. Using customised key performance indicators, we describe and assess the extent to which the regulatory frameworks are conducive to installing industrial devices in achieving the country’s 2030 target. Finally, we propose actions to facilitate the installation of OW while ensuring both environmental prot</w:t>
      </w:r>
    </w:p>
    <w:p>
      <w:pPr/>
      <w:r>
        <w:rPr>
          <w:b/>
        </w:rPr>
        <w:t>POSSIBLE 2023:</w:t>
      </w:r>
      <w:r>
        <w:t xml:space="preserve"> Towards a Decarbonized Energy System in Europe in 2050 : Impact of Vector Coupling and Renewable Deployment Limits — https://doi.org/10.70675/ae9a3f99z8ff2z4fdeza6cbz3825ee3e91f8</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Vers un système énergétique décarboné en Europe en 2050 : impact des couplages vectoriels et des limites au déploiement des renouvelables Pour lutter contre le changement climatique, l'Europe s'est engagée à ce que son système énergétique soit décarboné d'ici 2050.Le système électrique présente un important potentiel de décarbonation. Il peut ainsi contribuer à la décarbonation d'autres vecteurs (hydrogène par exemple), qui auront donc tendance à s'électrifier davantage. Cette thèse s'est donc concentrée d’une part sur la décarbonation du système électrique, et d’autre part sur l'interaction entre les différents vecteurs énergétiques. La décarbonation du vecteur électrique reposera sur l'utilisation des énergies renouvelables. Or, les études qui évaluent leur potentiel obtiennent des valeurs très différentes. Dans le premier chapitre, à travers une revue systématique de la littérature des études de potentiel éolien et photovoltaïque en Europe, la variabilité de ces valeurs a été examinée. Ce chapitre montre que les limites surfaciques des potentiels ne sont pas restrictives, et la variabilité des valeurs est due à l'ajout de critères socio-politiques dans les calculs de potentiel. In fine, la limite au développement des énergies renouvelables ne sera pas la faisabilité technique mais la volonté politique et sociétale et les contraintes du secteur industriel, y compris la dispon</w:t>
      </w:r>
    </w:p>
    <w:p>
      <w:pPr/>
      <w:r>
        <w:rPr>
          <w:b/>
        </w:rPr>
        <w:t>POSSIBLE 2022:</w:t>
      </w:r>
      <w:r>
        <w:t xml:space="preserve"> Do energy and environmental taxes stimulate or inhibit renewable energy deployment in the European Union? — https://doi.org/10.1016/j.renene.2022.11.107</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deployment, renewable, energy, both, electricity, high;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2021:</w:t>
      </w:r>
      <w:r>
        <w:t xml:space="preserve"> Climate proofing the renewable electricity deployment in Europe - Introducing climate variability in large energy systems models — https://doi.org/10.1016/j.esr.2021.100657</w:t>
      </w:r>
    </w:p>
    <w:p>
      <w:pPr/>
      <w:r>
        <w:rPr>
          <w:b/>
        </w:rPr>
        <w:t>Shared claim-specific concepts:</w:t>
      </w:r>
      <w:r>
        <w:t xml:space="preserve"> deployment, renewable, energy, large, electricity, generation; EU scope visible. This is a provisional connection, not an outcome finding.</w:t>
      </w:r>
    </w:p>
    <w:p>
      <w:pPr>
        <w:pStyle w:val="SourceNote"/>
      </w:pPr>
      <w:r>
        <w:rPr>
          <w:b/>
        </w:rPr>
        <w:t>Available abstract (not full text):</w:t>
      </w:r>
      <w:r>
        <w:t xml:space="preserve"> Climate and weather conditions influence energy demand. as well as electricity generation, especially due to the strong development of renewable energy. The changes of the European energy mix, together with ongoing climate change, raise a number of questions on impact on the electricity sector. In this paper we present results for the whole of the European power sector regarding on how considering current and future climate variability affects the results of a TIMES energy system model for the whole European power sector (eTIMES-EU) up to 2050. For each member-state we consider six climate projections to generate future capacity factors for wind, solar and hydro power generation. as well as temperature impact on electricity demand for heating and cooling. These are input into the eTIMES-EU model to assess how climate affects the optimal operation of the power system and if current EU-wide RES and emissions target deployment may be affected. Results show that although at EU-wide level there are no substantial changes, there are significant differences in countries RES deployment (especially wind and solar) and in electricity trade.</w:t>
      </w:r>
    </w:p>
    <w:p>
      <w:pPr>
        <w:pStyle w:val="Heading2"/>
      </w:pPr>
      <w:r>
        <w:t>870.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r>
        <w:rPr>
          <w:b/>
        </w:rPr>
        <w:t>POSSIBLE 2019:</w:t>
      </w:r>
      <w:r>
        <w:t xml:space="preserve"> An experimental sensitivity comparison of the schlieren and background-oriented schlieren techniques applied to hypersonic flow — https://doi.org/10.1088/1361-6501/ab1582</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pPr/>
      <w:r>
        <w:rPr>
          <w:b/>
        </w:rPr>
        <w:t>POSSIBLE 2017:</w:t>
      </w:r>
      <w:r>
        <w:t xml:space="preserve"> Sensitivity or Bayesian model updating: a comparison of techniques using the DLR AIRMOD test data — https://doi.org/10.1007/s00419-017-1233-1</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Deterministic model updating is now a mature technology widely applied to large-scale industrial structures. It is concerned with the calibration of the parameters of a single model based on one set of test data. It is, of course, well known that different analysts produce different finite element models, make different physics-based assumptions, and parameterize their models differently. Also, tests carried out on the same structure, by different operatives, at different times, under different ambient conditions produce different results. There is no unique model and no unique data. Therefore, model updating needs to take account of modeling and test-data variability. Much emphasis is now placed on what has become known as stochastic model updating where data are available from multiple nominally identical test structures. In this paper two currently prominent stochastic model updating techniques (sensitivity-based updating and Bayesian model updating) are described and applied to the DLR AIRMOD structure.</w:t>
      </w:r>
    </w:p>
    <w:p>
      <w:pPr/>
      <w:r>
        <w:rPr>
          <w:b/>
        </w:rPr>
        <w:t>POSSIBLE 2015:</w:t>
      </w:r>
      <w:r>
        <w:t xml:space="preserve"> Assessment of ground-based monitoring techniques applied to landslide investigations — https://doi.org/10.1016/j.geomorph.2015.10.027</w:t>
      </w:r>
    </w:p>
    <w:p>
      <w:pPr/>
      <w:r>
        <w:rPr>
          <w:b/>
        </w:rPr>
        <w:t>Shared claim-specific concepts:</w:t>
      </w:r>
      <w:r>
        <w:t xml:space="preserve"> sensitivity, applied, techniques, shows, further; EU scope not established. This is a provisional connection, not an outcome finding.</w:t>
      </w:r>
    </w:p>
    <w:p>
      <w:pPr>
        <w:pStyle w:val="SourceNote"/>
      </w:pPr>
      <w:r>
        <w:rPr>
          <w:b/>
        </w:rPr>
        <w:t>Available abstract (not full text):</w:t>
      </w:r>
      <w:r>
        <w:t xml:space="preserve"> A landslide complex in the Whitby Mudstone Formation at Hollin Hill, North Yorkshire, UK is periodically re-activated in response to rainfall-induced pore-water pressure fluctuations. This paper compares long-term measurements (i.e., 2009–2014) obtained from a combination of monitoring techniques that have been employed together for the first time on an active landslide. The results highlight the relative performance of the different techniques, and can provide guidance for researchers and practitioners for selecting and installing appropriate monitoring techniques to assess unstable slopes. Particular attention is given to the spatial and temporal resolutions offered by the different approaches that include: Real Time Kinematic-GPS (RTK-GPS) monitoring of a ground surface marker array, conventional inclinometers, Shape Acceleration Arrays (SAA), tilt meters, active waveguides with Acoustic Emission (AE) monitoring, and piezometers. High spatial resolution information has allowed locating areas of stability and instability across a large slope. This has enabled identification of areas where further monitoring efforts should be focused. High temporal resolution information allowed the capture of ‘S’-shaped slope displacement-time behaviour (i.e. phases of slope acceleration, deceleration and stability) in response to elevations in pore-water pressures. This study shows that a we</w:t>
      </w:r>
    </w:p>
    <w:p>
      <w:pPr>
        <w:pStyle w:val="Heading2"/>
      </w:pPr>
      <w:r>
        <w:t>871.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r>
        <w:rPr>
          <w:b/>
        </w:rPr>
        <w:t>POSSIBLE 2019:</w:t>
      </w:r>
      <w:r>
        <w:t xml:space="preserve"> Including indigenous knowledge in species distribution modeling for increased ecological insights — https://doi.org/10.1111/cobi.13373</w:t>
      </w:r>
    </w:p>
    <w:p>
      <w:pPr/>
      <w:r>
        <w:rPr>
          <w:b/>
        </w:rPr>
        <w:t>Shared claim-specific concepts:</w:t>
      </w:r>
      <w:r>
        <w:t xml:space="preserve"> indigenous, systems; EU scope not established. This is a provisional connection, not an outcome finding.</w:t>
      </w:r>
    </w:p>
    <w:p>
      <w:pPr>
        <w:pStyle w:val="SourceNote"/>
      </w:pPr>
      <w:r>
        <w:rPr>
          <w:b/>
        </w:rPr>
        <w:t>Available abstract (not full text):</w:t>
      </w:r>
      <w:r>
        <w:t xml:space="preserve"> Indigenous knowledge systems hold detailed information on current and past environments that can inform ecological understanding as well as contemporary environmental management. Despite its applicability, there are limited examples of indigenous knowledge being incorporated in species distribution models, which are widely used in the ecological sciences. In a collaborative manner, we designed a structured elicitation process and statistical framework to combine indigenous knowledge with survey data to model the distribution of a threatened and culturally significant species (greater bilby or mankarr [Macrotis lagotis]). We used Martu (Aboriginal people of the Australian western deserts) occurrence knowledge and presence data from track-based surveys to create predictive species distribution models with the Maxent program. Predictions of species distribution based on Martu knowledge were broader than those created with survey data. Together the Martu and survey models showed potential local declines, which were supported by Martu observation. Both data types were influenced by sampling bias that appeared to affect model predictions and performance. Martu provided additional information on habitat associations and locations of decline and descriptions of the ecosystem dynamics and disturbance regimes that influence occupancy. We concluded that intercultural approaches that draw </w:t>
      </w:r>
    </w:p>
    <w:p>
      <w:pPr/>
      <w:r>
        <w:rPr>
          <w:b/>
        </w:rPr>
        <w:t>POSSIBLE 2017:</w:t>
      </w:r>
      <w:r>
        <w:t xml:space="preserve"> Indigenous Business Model &amp; Strategy Canvas — https://openalex.org/W2891907923</w:t>
      </w:r>
    </w:p>
    <w:p>
      <w:pPr/>
      <w:r>
        <w:rPr>
          <w:b/>
        </w:rPr>
        <w:t>Shared claim-specific concepts:</w:t>
      </w:r>
      <w:r>
        <w:t xml:space="preserve"> shows, indigenous, primary; EU scope not established. This is a provisional connection, not an outcome finding.</w:t>
      </w:r>
    </w:p>
    <w:p>
      <w:pPr>
        <w:pStyle w:val="SourceNote"/>
      </w:pPr>
      <w:r>
        <w:rPr>
          <w:b/>
        </w:rPr>
        <w:t>Available abstract (not full text):</w:t>
      </w:r>
      <w:r>
        <w:t xml:space="preserve"> The Indigenous Business Model &amp; Strategy Canvas represents the entirety of the Work Shop investigation into the practical model strategy for indigenous small scaootish business. It has been co co-created with half a dozen primary participants, with input from several dozen visiting businesses. </w:t>
        <w:br/>
        <w:br/>
        <w:br/>
        <w:br/>
        <w:t>It shows the flow of all element needed to create a sustainable business, with reference to the corresponding tools.</w:t>
      </w:r>
    </w:p>
    <w:p>
      <w:pPr/>
      <w:r>
        <w:rPr>
          <w:b/>
        </w:rPr>
        <w:t>POSSIBLE 2017:</w:t>
      </w:r>
      <w:r>
        <w:t xml:space="preserve"> Validation and recalibration of the Framingham cardiovascular disease risk models in an Australian Indigenous cohort — https://doi.org/10.1177/2047487317722913</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of 18.48). Conclusions The original Framingham models significantly underestimate the absolute cardiovascular disease risk for this Australian Indigenous population. The recalibrated 2008 Framingham model shows good performance on predicting five-year cardiovascular disease risk in this population and was used to calculate the first risk chart based on empirical validation using long-term follow-up data from a remote Australian Indigenous population.</w:t>
      </w:r>
    </w:p>
    <w:p>
      <w:pPr/>
      <w:r>
        <w:rPr>
          <w:b/>
        </w:rPr>
        <w:t>POSSIBLE 2017:</w:t>
      </w:r>
      <w:r>
        <w:t xml:space="preserve"> Indigenous leadership in universities: One Indigenous perspective — https://doi.org/10.3316/informit.149715942686089</w:t>
      </w:r>
    </w:p>
    <w:p>
      <w:pPr/>
      <w:r>
        <w:rPr>
          <w:b/>
        </w:rPr>
        <w:t>Shared claim-specific concepts:</w:t>
      </w:r>
      <w:r>
        <w:t xml:space="preserve"> shows, indigenous, provide; EU scope not established. This is a provisional connection, not an outcome finding.</w:t>
      </w:r>
    </w:p>
    <w:p>
      <w:pPr>
        <w:pStyle w:val="SourceNote"/>
      </w:pPr>
      <w:r>
        <w:rPr>
          <w:b/>
        </w:rPr>
        <w:t>Available abstract (not full text):</w:t>
      </w:r>
      <w:r>
        <w:t xml:space="preserve"> This paper will provide an Indigenous male perspective on Indigenous leadership in universities.The paper will not refer to western leadership models and theories as its purpose is to crystallise the notion of Indigenous leadership for Indigenous people in leadership positions and those aspiring to be in these positions.The term 'Indigenous leadership' is used so often today that many Indigenous people lack confidence in the term and do not know what it means.This is why a paper on Indigenous leadership from an Indigenous perspective is needed.This paper shows that the term is nothing to be intimidated by and shows that Indigenous people with a strong Indigenous identity, vision and focus are able to provide strong Indigenous leadership in universities.However, they must take more responsibility for being familiar with Indigenous issues and to develop strategies to address these issues rather than leave other staff to address these issues.The paper contends that those in Indigenous leadership positions in universities should remain focused on core university business with a hands-on approach.</w:t>
      </w:r>
    </w:p>
    <w:p>
      <w:pPr/>
      <w:r>
        <w:rPr>
          <w:b/>
        </w:rPr>
        <w:t>POSSIBLE 2016:</w:t>
      </w:r>
      <w:r>
        <w:t xml:space="preserve"> Indigenous environmental values as human values — https://doi.org/10.1080/23311886.2016.1185811</w:t>
      </w:r>
    </w:p>
    <w:p>
      <w:pPr/>
      <w:r>
        <w:rPr>
          <w:b/>
        </w:rPr>
        <w:t>Shared claim-specific concepts:</w:t>
      </w:r>
      <w:r>
        <w:t xml:space="preserve"> indigenous, show, provide, resource; EU scope not established. This is a provisional connection, not an outcome finding.</w:t>
      </w:r>
    </w:p>
    <w:p>
      <w:pPr>
        <w:pStyle w:val="SourceNote"/>
      </w:pPr>
      <w:r>
        <w:rPr>
          <w:b/>
        </w:rPr>
        <w:t>Available abstract (not full text):</w:t>
      </w:r>
      <w:r>
        <w:t xml:space="preserve"> The claim that in natural resource management (NRM) a change from anthropocentric values and ethics to eco-centric ones is necessary to achieve sustainability leads to the search for eco-centric models of relationship with the environment. Indigenous cultures can provide such models; hence, there is the need for multicultural societies to further include their values in NRM. In this article, we investigate the environmental values placed on a freshwater environment of the Wet Tropics by a community of indigenous Australians. We discuss their environmental values as human values, and so as beliefs that guide communities’ understanding of how the natural world should be viewed and treated by humans. This perspective represents a step forward in our understanding of indigenous environmental values, and a way to overcome the paradigm of indigenous values as valued biophysical attributes of the environment or processes happening in landscapes. Our results show that the participant community holds biospheric values. Restoring these values in the NRM of the Wet Tropics could contribute to sustainability and environmental justice in the area.</w:t>
      </w:r>
    </w:p>
    <w:p>
      <w:pPr>
        <w:pStyle w:val="Heading2"/>
      </w:pPr>
      <w:r>
        <w:t>872.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r>
        <w:rPr>
          <w:b/>
        </w:rPr>
        <w:t>POSSIBLE 2021:</w:t>
      </w:r>
      <w:r>
        <w:t xml:space="preserve"> Role of Knowledge Creation and Absorptive Capacity: A Panel Data Study of Innovation — https://doi.org/10.33215/sjom.v4i2.579</w:t>
      </w:r>
    </w:p>
    <w:p>
      <w:pPr/>
      <w:r>
        <w:rPr>
          <w:b/>
        </w:rPr>
        <w:t>Shared claim-specific concepts:</w:t>
      </w:r>
      <w:r>
        <w:t xml:space="preserve"> creation, panel, innovation; EU scope not established. This is a provisional connection, not an outcome finding.</w:t>
      </w:r>
    </w:p>
    <w:p>
      <w:pPr>
        <w:pStyle w:val="SourceNote"/>
      </w:pPr>
      <w:r>
        <w:rPr>
          <w:b/>
        </w:rPr>
        <w:t>Available abstract (not full text):</w:t>
      </w:r>
      <w:r>
        <w:t xml:space="preserve">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pPr/>
      <w:r>
        <w:rPr>
          <w:b/>
        </w:rPr>
        <w:t>POSSIBLE 2019:</w:t>
      </w:r>
      <w:r>
        <w:t xml:space="preserve"> European Research Council: excellence and leadership over time from a gender perspective — https://doi.org/10.1093/reseval/rvz023</w:t>
      </w:r>
    </w:p>
    <w:p>
      <w:pPr/>
      <w:r>
        <w:rPr>
          <w:b/>
        </w:rPr>
        <w:t>Shared claim-specific concepts:</w:t>
      </w:r>
      <w:r>
        <w:t xml:space="preserve"> creation, scientific, panel, important, major; EU scope visible. This is a provisional connection, not an outcome finding.</w:t>
      </w:r>
    </w:p>
    <w:p>
      <w:pPr>
        <w:pStyle w:val="SourceNote"/>
      </w:pPr>
      <w:r>
        <w:rPr>
          <w:b/>
        </w:rPr>
        <w:t>Available abstract (not full text):</w:t>
      </w:r>
      <w:r>
        <w:t xml:space="preserve"> Abstract European Research Council Grants (ERC) have become the most important vehicle for funding scientific research in the EU. Since their creation in 2007, they have provided funding for around 7,000 of the nearly 70,000 proposals for research projects submitted. With a success rate of about 11%, these Grants are highly competitive. Despite major advancement of women’s participation in research activity, women overall remain the minority in Science, Technology, Engineering and Mathematics (STEM disciplines). Against that backdrop, this article analyses men’s and women’s presence in ERC Grants. The gender balance in the ERC Grant, have been examined in three dimensions: Excellence Awarded; Scientific Leadership Position; and Time Series Evolution. The results show that female presence is lower than men as submitted (26% vs 74%), granted (22% vs 78%), expert panel members (28% vs 72%), and as a panel chair (26% vs 74%). State-space prediction of the future pattern of these grants shows that time has no clearly beneficial effect on women’s participation as applicants, granted, expert panel members or panel chairs, particularly in the area of Physics and Engineering.</w:t>
      </w:r>
    </w:p>
    <w:p>
      <w:pPr/>
      <w:r>
        <w:rPr>
          <w:b/>
        </w:rPr>
        <w:t>POSSIBLE 2018:</w:t>
      </w:r>
      <w:r>
        <w:t xml:space="preserve"> Technology and employment: Mass unemployment or job creation? Empirical evidence from European patenting firms — https://doi.org/10.1016/j.respol.2018.06.008</w:t>
      </w:r>
    </w:p>
    <w:p>
      <w:pPr/>
      <w:r>
        <w:rPr>
          <w:b/>
        </w:rPr>
        <w:t>Shared claim-specific concepts:</w:t>
      </w:r>
      <w:r>
        <w:t xml:space="preserve"> creation, panel, innovation; EU scope visible. This is a provisional connection, not an outcome finding.</w:t>
      </w:r>
    </w:p>
    <w:p>
      <w:pPr>
        <w:pStyle w:val="SourceNote"/>
      </w:pPr>
      <w:r>
        <w:rPr>
          <w:b/>
        </w:rPr>
        <w:t>Available abstract (not full text):</w:t>
      </w:r>
      <w:r>
        <w:t xml:space="preserve"> This paper explores the possible job creation effect of innovation activity. We analyze a unique panel dataset covering almost 20,000 patenting firms from Europe over the period 2003–2012. The main outcome from the proposed GMM-SYS estimations is the labor-friendly nature of innovation, which we measure in terms of forward-citation weighted patents. However, this positive impact of innovation is statistically significant only for firms in the high-tech manufacturing sectors, while not significant in low-tech manufacturing and services.</w:t>
      </w:r>
    </w:p>
    <w:p>
      <w:pPr>
        <w:pStyle w:val="Heading2"/>
      </w:pPr>
      <w:r>
        <w:t>873.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r>
        <w:rPr>
          <w:b/>
        </w:rPr>
        <w:t>POSSIBLE 2020:</w:t>
      </w:r>
      <w:r>
        <w:t xml:space="preserve"> Effects of Renewable Energy on European Union’s Energy Import — https://openalex.org/W3127099198</w:t>
      </w:r>
    </w:p>
    <w:p>
      <w:pPr/>
      <w:r>
        <w:rPr>
          <w:b/>
        </w:rPr>
        <w:t>Shared claim-specific concepts:</w:t>
      </w:r>
      <w:r>
        <w:t xml:space="preserve"> finally, increase, energy, also, continue; EU scope visible. This is a provisional connection, not an outcome finding.</w:t>
      </w:r>
    </w:p>
    <w:p>
      <w:pPr>
        <w:pStyle w:val="SourceNote"/>
      </w:pPr>
      <w:r>
        <w:rPr>
          <w:b/>
        </w:rPr>
        <w:t>Available abstract (not full text):</w:t>
      </w:r>
      <w:r>
        <w:t xml:space="preserve"> Energy is used in all fields of the modern world and its usage has vital importance in all of our lives. Even a short interruption in energy supply will cause serious consequences in the supply chain since almost all sectors are energy-dependent. Therefore, all countries have started to take measures to ensure energy security and uninterrupted energy supply. The European Union countries have also taken various measures for this purpose and they continue to do so. One of these measures is that the European Union is trying to reduce energy dependency by reducing energy imports. This is possible by the EU investing in renewable energy and increasing the share of renewable energy in total energy produced. Therefore, In order to decrease the energy imports, the EU countries have started to increase their renewable energy production. The main goal of this study is to see if there is a relationship between renewable energy production of the European Union and the energy import of the European Union and if so, to find the degree of this relationship. In the first part, I gave information about what renewable energy is and the detailed definitions of main renewable energy resources. In the second part, I tried to show the current situation in the European Union regarding renewable energy. I gave information about the main renewable energy sources and energy shares of the European Union </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also, continue, any;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Energy Policy and European Union Politics — https://doi.org/10.1093/acrefore/9780190228637.013.1079</w:t>
      </w:r>
    </w:p>
    <w:p>
      <w:pPr/>
      <w:r>
        <w:rPr>
          <w:b/>
        </w:rPr>
        <w:t>Shared claim-specific concepts:</w:t>
      </w:r>
      <w:r>
        <w:t xml:space="preserve"> finally, increase, energy, also, but, commission; EU scope visible. This is a provisional connection, not an outcome finding.</w:t>
      </w:r>
    </w:p>
    <w:p>
      <w:pPr>
        <w:pStyle w:val="SourceNote"/>
      </w:pPr>
      <w:r>
        <w:rPr>
          <w:b/>
        </w:rPr>
        <w:t>Available abstract (not full text):</w:t>
      </w:r>
      <w:r>
        <w:t xml:space="preserve">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pPr/>
      <w:r>
        <w:rPr>
          <w:b/>
        </w:rPr>
        <w:t>POSSIBLE 2018:</w:t>
      </w:r>
      <w:r>
        <w:t xml:space="preserve"> IMPACT OF RENEWABLE ENERGY CONSUMPTION ON ECONOMIC GROWTH: EVIDENCE FROM EUROPEAN UNION COUNTRIES — https://doi.org/10.3846/tede.2018.1426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This study examines the causal relationship between economic growth and renewable energy consumption using data for 28 countries of European Union, taken from Eurostat database for years from 1995 to 2015. In addition, motivated by EU Directive 2009/28/EC, the tendency of the share of renewable energy consumption into the final energy consumption is analysed. Various panel data techniques implemented in EViews are used. The empirical results suggest a positive impact of renewable energy consumption on economic growth, and emphasize bidirectional or unidirectional Granger causalities between the two macroeconomic indicators, for each country in the panel. These results justify the political decisions of EU concerning the necessity of increasing the renewable energy consumption, and prove that this type of energy consumption has a strong positive impact on economic growth. Thus, the inclusion of such policies in future EU and national strategies is further motivated. Finally, by means of linear regression, an increasing trend was found for the ratio between renewable energy consumption and final energy consumption for all but one of the EU countries.</w:t>
      </w:r>
    </w:p>
    <w:p>
      <w:pPr/>
      <w:r>
        <w:rPr>
          <w:b/>
        </w:rPr>
        <w:t>POSSIBLE 2017:</w:t>
      </w:r>
      <w:r>
        <w:t xml:space="preserve"> Municipal solid waste management and waste-to-energy in the context of a circular economy and energy recycling in Europe — https://doi.org/10.1016/j.energy.2017.11.128</w:t>
      </w:r>
    </w:p>
    <w:p>
      <w:pPr/>
      <w:r>
        <w:rPr>
          <w:b/>
        </w:rPr>
        <w:t>Shared claim-specific concepts:</w:t>
      </w:r>
      <w:r>
        <w:t xml:space="preserve"> increase, energy, any, very; EU scope visible. This is a provisional connection, not an outcome finding.</w:t>
      </w:r>
    </w:p>
    <w:p>
      <w:pPr>
        <w:pStyle w:val="SourceNote"/>
      </w:pPr>
      <w:r>
        <w:rPr>
          <w:b/>
        </w:rPr>
        <w:t>Available abstract (not full text):</w:t>
      </w:r>
      <w:r>
        <w:t xml:space="preserve"> This paper proposes an overarching review of national municipal waste management systems and waste-to-energy as an important part of it in the context of circular economy in the selected countries in Europe. The growth of population and rising standards of living means that the consumption of goods and energy is increasing. On the one hand, consumption leads to an increase in the generation of waste. On the other hand, the correlation between increased wealth and increased energy consumption is very strong as well. Given that the average heating value of municipal solid waste (MSW) is approximately 10 MJ/kg, it seems logical to use waste as a source of energy. Traditionally, waste-to-energy (WtE) has been associated with incineration. Yet, the term is much broader, embracing various waste treatment processes generating energy (for instance, in the form of electricity and/or heat or producing a waste-derived fuel). Turning waste into energy can be one key to a circular economy enabling the value of products, materials, and resources to be maintained on the market for as long as possible, minimising waste and resource use. As the circular economy is at the top of the EU agenda, all Member States of the EU (including the EEA countries) should move away from the old-fashioned disposal of waste to a more intelligent waste treatment encompassing the circular economy approach in their</w:t>
      </w:r>
    </w:p>
    <w:p>
      <w:pPr/>
      <w:r>
        <w:rPr>
          <w:b/>
        </w:rPr>
        <w:t>POSSIBLE 2015:</w:t>
      </w:r>
      <w:r>
        <w:t xml:space="preserve"> The dynamic volatility spillover between European carbon trading market and fossil energy market — https://doi.org/10.1016/j.jclepro.2015.09.118</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pStyle w:val="Heading2"/>
      </w:pPr>
      <w:r>
        <w:t>874.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2019:</w:t>
      </w:r>
      <w:r>
        <w:t xml:space="preserve"> Plantation forests in Europe: challenges and opportunities — https://doi.org/10.36333/fs09</w:t>
      </w:r>
    </w:p>
    <w:p>
      <w:pPr/>
      <w:r>
        <w:rPr>
          <w:b/>
        </w:rPr>
        <w:t>Shared claim-specific concepts:</w:t>
      </w:r>
      <w:r>
        <w:t xml:space="preserve"> create, four, different, develop, innovative, strategies;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Deriving spatially explicit water uses from land use change modelling results in four river basins across Europe — https://doi.org/10.1016/j.scitotenv.2018.02.051</w:t>
      </w:r>
    </w:p>
    <w:p>
      <w:pPr/>
      <w:r>
        <w:rPr>
          <w:b/>
        </w:rPr>
        <w:t>Shared claim-specific concepts:</w:t>
      </w:r>
      <w:r>
        <w:t xml:space="preserve"> create, four, different; EU scope visible. This is a provisional connection, not an outcome finding.</w:t>
      </w:r>
    </w:p>
    <w:p>
      <w:pPr>
        <w:pStyle w:val="SourceNote"/>
      </w:pPr>
      <w:r>
        <w:rPr>
          <w:b/>
        </w:rPr>
        <w:t>Available abstract (not full text):</w:t>
      </w:r>
      <w:r>
        <w:t xml:space="preserve"> The objective of this study is to provide spatially distributed water use maps at a high spatial and thematic resolution as detailed input data for further modelling purposes. The maps were derived on the basis of official water statistics and land use maps to represent the current conditions in four European river basins affected by water scarcity (Adige, Ebro, Evrotas and Sava) and allow setting up reference scenarios. The present land use distribution was modelled based on CORINE data with the land use change model iCLUE. Modelling the land use allows to create dynamic land and water use maps adapted to the needs of eventual scenario analyses compared to using only observed land use maps. The availability of several CORINE datasets allowed calibrating and validating the results of the iCLUE model carrying out a three map comparison. Sectoral water uses were attributed to different land use classes and by this means located in space. Both the location and the magnitude of urban and agricultural water uses can be derived from the final maps. The created maps together with the corresponding land use data provide a coherent set of information crucial to most environmental modelling activities and often missing at this spatial and thematic resolution. This work also aims at visualizing and validating the water use statistics provided by official institutions such as the River Bas</w:t>
      </w:r>
    </w:p>
    <w:p>
      <w:pPr/>
      <w:r>
        <w:rPr>
          <w:b/>
        </w:rPr>
        <w:t>POSSIBLE 2017:</w:t>
      </w:r>
      <w:r>
        <w:t xml:space="preserve"> Use of complementary and alternative medicine in Europe: Health-related and sociodemographic determinants — https://doi.org/10.1177/1403494817733869</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pPr/>
      <w:r>
        <w:rPr>
          <w:b/>
        </w:rPr>
        <w:t>POSSIBLE 2016:</w:t>
      </w:r>
      <w:r>
        <w:t xml:space="preserve"> Four European Smart City Strategies — https://doi.org/10.11114/ijsss.v4i4.1364</w:t>
      </w:r>
    </w:p>
    <w:p>
      <w:pPr/>
      <w:r>
        <w:rPr>
          <w:b/>
        </w:rPr>
        <w:t>Shared claim-specific concepts:</w:t>
      </w:r>
      <w:r>
        <w:t xml:space="preserve"> four, strategies; EU scope visible. This is a provisional connection, not an outcome finding.</w:t>
      </w:r>
    </w:p>
    <w:p>
      <w:pPr>
        <w:pStyle w:val="SourceNote"/>
      </w:pPr>
      <w:r>
        <w:rPr>
          <w:b/>
        </w:rPr>
        <w:t>Available abstract (not full text):</w:t>
      </w:r>
      <w:r>
        <w:t xml:space="preserve"> This paper provides evidence-based policy recommendations about the development of smart cities. The core characteristics of smart cities, including the use of advanced technology, human and social capital development, the development of pro-business environments and networking, are ‘translated’ into individual domains that characterize smart city strategies. Four major European cities (Amsterdam, Barcelona, London and Stockholm) are examined in terms of how they have so far incorporated those domains in their ongoing smart city strategies. The data are analyzed comparatively, highlighting trends and contrasting differences among strategies. The paper closes with conclusions about those characteristics and their role in smart city policy making.</w:t>
      </w:r>
    </w:p>
    <w:p>
      <w:pPr/>
      <w:r>
        <w:rPr>
          <w:b/>
        </w:rPr>
        <w:t>POSSIBLE 2015:</w:t>
      </w:r>
      <w:r>
        <w:t xml:space="preserve"> Local and landscape‐level floral resources explain effects of wildflower strips on wild bees across four European countries — https://doi.org/10.1111/1365-2664.12479</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Summary Growing evidence for declines in wild bees calls for the development and implementation of effective mitigation measures. Enhancing floral resources is a widely accepted measure for promoting bees in agricultural landscapes, but effectiveness varies considerably between landscapes and regions. We hypothesize that this variation is mainly driven by a combination of the direct effects of measures on local floral resources and the availability of floral resources in the surrounding landscape. To test this, we established wildflower strips in four European countries, using the same seed mixture of forage plants specifically targeted at bees. We used a before–after control–impact approach to analyse the impacts of wildflower strips on bumblebees, solitary bees and Red List species and examined to what extent effects were affected by local and landscape‐wide floral resource availability, land‐use intensity and landscape complexity. Wildflower strips generally enhanced local bee abundance and richness, including Red‐listed species. Effectiveness of the wildflower strips increased with the local contrast in flower richness created by the strips and furthermore depended on the availability of floral resources in the surrounding landscape, with different patterns for solitary bees and bumblebees. Effects on solitary bees appeared to decrease with increasing amount of late‐season </w:t>
      </w:r>
    </w:p>
    <w:p>
      <w:pPr>
        <w:pStyle w:val="Heading2"/>
      </w:pPr>
      <w:r>
        <w:t>875.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Abstract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2022:</w:t>
      </w:r>
      <w:r>
        <w:t xml:space="preserve"> The European Union as a Community of Super Wicked Problems and Its Ambition–Authority Deficit — https://doi.org/10.1093/oso/9780192897541.003.0002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has an ambition–authority deficit. Its ambition is to deal with problems that are too difficult for member states in a way that requires them to grant considerable authority to foreigners. Its limited legitimacy restricts how it does this and wider acceptance of its solutions. This deficit’s unmanageability threatens the Union with collapse. The Union has therefore developed four strategies—legislative compacts, administrative coordination, resourced co-option, and discounting—to temper this mission’s demands. However, only one, legislative compacts, both plausibly manages this deficit and allows the Union to realize its mission. The challenge is therefore to generalize this strategy but address its central limitations, most centrally its legal formalism and collective action problems, in a way that does not harm its operational effectiveness. This will involve granting member states some autonomy, but paradoxically it protects the Union from its current slow-motion collapse rather than threatening that collapse.</w:t>
      </w:r>
    </w:p>
    <w:p>
      <w:pPr/>
      <w:r>
        <w:rPr>
          <w:b/>
        </w:rPr>
        <w:t>POSSIBLE 2021:</w:t>
      </w:r>
      <w:r>
        <w:t xml:space="preserve"> The European Union as a Global Power? — https://doi.org/10.1093/oso/9780192895820.003.0015</w:t>
      </w:r>
    </w:p>
    <w:p>
      <w:pPr/>
      <w:r>
        <w:rPr>
          <w:b/>
        </w:rPr>
        <w:t>Shared claim-specific concepts:</w:t>
      </w:r>
      <w:r>
        <w:t xml:space="preserve"> abstract, union, role; EU scope visible. This is a provisional connection, not an outcome finding.</w:t>
      </w:r>
    </w:p>
    <w:p>
      <w:pPr>
        <w:pStyle w:val="SourceNote"/>
      </w:pPr>
      <w:r>
        <w:rPr>
          <w:b/>
        </w:rPr>
        <w:t>Available abstract (not full text):</w:t>
      </w:r>
      <w:r>
        <w:t xml:space="preserve"> Abstract European integration started after the Second World War as an effort to bring peace in the Old Continent and to promote the unity of its peoples in a categorical rejection of nationalism. Hence, the very reason of making a united Europe was internal in its roots. Without denying the extraordinary achievements of the European project, today we can no longer give traditional answers to the fundamental question: ‘Why make Europe?’ If yesterday the underlying reason was clear to everyone—peace, in fact—today it is no longer the case. One of the ‘positive’ aspects of Brexit—and there are very few!—is having awakened Europe from a dangerous, deterministic, and almost dogmatic inertia of giving ‘Just because’ as the answer. So why should we continue to build a united Europe? Why do we need the European Union in the twenty-first century? In a nutshell the answer is that from the hegemon it was until the twentieth century, Europe must become a beacon for the world as a value-based global power. This is the essence of the new role that Europe is called to play in the world. In order to do this, we can no longer just look at internal causes for making Europe, but must also take into account the external context. In other words, we should adopt a mentality whereby European values coincide with European strategic interests. This shift is the key to making Europe live up to its glob</w:t>
      </w:r>
    </w:p>
    <w:p>
      <w:pPr/>
      <w:r>
        <w:rPr>
          <w:b/>
        </w:rPr>
        <w:t>POSSIBLE 2021:</w:t>
      </w:r>
      <w:r>
        <w:t xml:space="preserve"> DEFENCE INITIATIVES TO STRENGTHEN THE SECURITY OF THE EUROPEAN UNION — https://doi.org/10.33179/bsv.99.svi.11.cmc.23.2.3</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Povzetek Izhajajoč iz poslanstva Globalne strategije za zunanjo in varnostno politiko EU iz leta 2016 in s ciljem doseganja strateške obrambne avtonomije so države članice EU soglasno sprejele in implementirale različne pobude za krepitev razvoja zmogljivosti EU, kot so CARD, PESCO in EDF. Z doseganjem strateške obrambne avtonomije kot prednostne naloge bo EU postala ugledna svetovna sila in kot taka ne bo več tista, ki bo za doseganje svoje ravni ambicij odvisna le od velikih sil. Z izpolnjevanjem tega cilja bo EU tudi krepila svojo že tradicionalno mehko moč pri zaščiti strateških interesov. Kljub temu bo sodelovanje med EU in Natom še naprej nujno za evropsko in svetovno varnost. Ključne besede EUGS, obrambne pobude, CARD, PESCO, EDF, sodelovanje EU-NATO Abstract Following the mission of the European Union Global Strategy (EUGS), and with the aim of achieving strategic defence autonomy, the EU Member States unanimously adopted and implemented various initiatives to strengthen the development of the EU’s capabilities: CARD, PESCO and the EDF. By achieving strategic defence autonomy as a priority, the EU will become a respectable global power and, as such, it will no longer be one that depends solely on great powers to provide for its level of ambition. In this way, the EU will also harden its traditional soft power to protect its strategic interests. Nevertheless, cooperation</w:t>
      </w:r>
    </w:p>
    <w:p>
      <w:pPr/>
      <w:r>
        <w:rPr>
          <w:b/>
        </w:rPr>
        <w:t>POSSIBLE 2020:</w:t>
      </w:r>
      <w:r>
        <w:t xml:space="preserve"> Ukraine and the European Union — https://doi.org/10.1093/acrefore/9780190228637.013.1137</w:t>
      </w:r>
    </w:p>
    <w:p>
      <w:pPr/>
      <w:r>
        <w:rPr>
          <w:b/>
        </w:rPr>
        <w:t>Shared claim-specific concepts:</w:t>
      </w:r>
      <w:r>
        <w:t xml:space="preserve"> abstract, union, ambition, large, role; EU scope visible. This is a provisional connection, not an outcome finding.</w:t>
      </w:r>
    </w:p>
    <w:p>
      <w:pPr>
        <w:pStyle w:val="SourceNote"/>
      </w:pPr>
      <w:r>
        <w:rPr>
          <w:b/>
        </w:rPr>
        <w:t>Available abstract (not full text):</w:t>
      </w:r>
      <w:r>
        <w:t xml:space="preserve"> Abstract In early 2014, a series of dramatic crises in Ukraine generated headlines around the world. Most scholarly attention was placed on the tensions between the West and Russia, and the emergence of a new Cold War, especially following Russia’s annexation of the Crimean peninsula and its military incursion in eastern Ukraine. The relations between Ukraine and the European Union (EU) have often been reduced to debates on whether the EU was to blame for the conflict, having “sleepwalked” into the Ukraine crisis by focusing on technical trade issues and failing to recognize the delicate geopolitical context. Other analysts pointed to the EU’s pursuit of regional hegemony, which has failed to recognize Russia’s legitimate geopolitical and economic interests in Ukraine. In practice, Ukraine‒EU relations have been more complex and nuanced, certainly when considering that Ukraine already declared its ambition to “return to Europe” and to seek EU membership with its proclamation of independence, in 1991. Ukraine-EU relations are perhaps best understood along four levels of inquiry. The first is domestic dynamics in Ukraine. Since the end of the Cold War, all Ukrainian governments have underlined the “Europeanness” of Ukraine and have also by and large followed a pro-EU course in their foreign policies, including the government under pro-Russian president Viktor Yanukovych. However,</w:t>
      </w:r>
    </w:p>
    <w:p>
      <w:pPr/>
      <w:r>
        <w:rPr>
          <w:b/>
        </w:rPr>
        <w:t>POSSIBLE 2016:</w:t>
      </w:r>
      <w:r>
        <w:t xml:space="preserve"> Climate Change Policy in the European Union — https://doi.org/10.1093/acrefore/9780190228620.013.47</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(EU) has long claimed, with some justification, to be a leader in international climate policy. Its policy activities in this area, dating from the early 1990s, have had enormous influence within and beyond Europe. The period since ca. 2000 in particular has witnessed the repeated emergence of policies and targets that are increasingly distinct from national ones and sometimes globally innovative. They encompass a wide array of instruments (e.g., market-based, informational, voluntary, as well as regulatory). Policy development has been motivated by a mixture of concerns: to avoid national differences in policy causing distortions of the EU’s internal market; to enhance the domestic legitimacy of the wider project of European integration; to improve energy security; and to increase economic competitiveness through “ecological modernization.” Climate policy has also offered a means to enhance the standing of the EU as a global actor. The EU has, in general, been influential in international negotiations, for example, in its promotion of the 2°C warming limit and advocacy of emission reduction “targets and timetables.” In turn, its own policy has been shaped by developments at global level, as with the surprisingly enthusiastic adoption of the “flexible mechanism” of emissions trading. However, it is becoming increasingly apparent that acute challenges</w:t>
      </w:r>
    </w:p>
    <w:p>
      <w:pPr/>
      <w:r>
        <w:rPr>
          <w:b/>
        </w:rPr>
        <w:t>POSSIBLE 2015:</w:t>
      </w:r>
      <w:r>
        <w:t xml:space="preserve"> The Importance of Setting a Target: The EU Ambition of a High Level of Protection — https://doi.org/10.1017/s2047102514000284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(EU) aims to ensure a high level of environmental protection. This is a key message of primary EU law. This article explores the purpose and meaning of this explicit ambition. It deciphers its influence on case law and on judicial review of legislative and administrative discretion. It argues that the requirement goes beyond window dressing and that its added value lies both in supporting the legitimacy of bold decisions and in preventing a manifest dismissal of the requisites of environmental protection. Although primarily focused on EU law and on its technicalities, the article may offer helpful insights to other transnational or federal systems. It may help to build a better understanding of some of the challenges facing any environmental law regime confronted with the sensitive issue of ‘ambition’.</w:t>
      </w:r>
    </w:p>
    <w:p>
      <w:pPr>
        <w:pStyle w:val="Heading2"/>
      </w:pPr>
      <w:r>
        <w:t>876.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2019:</w:t>
      </w:r>
      <w:r>
        <w:t xml:space="preserve"> Social enterprises and their ecosystems in Europe — https://doi.org/10.2767/330252</w:t>
      </w:r>
    </w:p>
    <w:p>
      <w:pPr/>
      <w:r>
        <w:rPr>
          <w:b/>
        </w:rPr>
        <w:t>Shared claim-specific concepts:</w:t>
      </w:r>
      <w:r>
        <w:t xml:space="preserve"> they, present, since;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Industry Concentration in Europe and North America — https://doi.org/10.1787/2ff98246-en</w:t>
      </w:r>
    </w:p>
    <w:p>
      <w:pPr/>
      <w:r>
        <w:rPr>
          <w:b/>
        </w:rPr>
        <w:t>Shared claim-specific concepts:</w:t>
      </w:r>
      <w:r>
        <w:t xml:space="preserve"> observed, trends, two; EU scope visible. This is a provisional connection, not an outcome finding.</w:t>
      </w:r>
    </w:p>
    <w:p>
      <w:pPr>
        <w:pStyle w:val="SourceNote"/>
      </w:pPr>
      <w:r>
        <w:rPr>
          <w:b/>
        </w:rPr>
        <w:t>Available abstract (not full text):</w:t>
      </w:r>
      <w:r>
        <w:t xml:space="preserve">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pPr/>
      <w:r>
        <w:rPr>
          <w:b/>
        </w:rPr>
        <w:t>POSSIBLE 2015:</w:t>
      </w:r>
      <w:r>
        <w:t xml:space="preserve"> Carbapenemase-producing Enterobacteriaceae in Europe: assessment by national experts from 38 countries, May 2015 — https://doi.org/10.2807/1560-7917.es.2015.20.45.30062</w:t>
      </w:r>
    </w:p>
    <w:p>
      <w:pPr/>
      <w:r>
        <w:rPr>
          <w:b/>
        </w:rPr>
        <w:t>Shared claim-specific concepts:</w:t>
      </w:r>
      <w:r>
        <w:t xml:space="preserve"> they, build, two; EU scope visible. This is a provisional connection, not an outcome finding.</w:t>
      </w:r>
    </w:p>
    <w:p>
      <w:pPr>
        <w:pStyle w:val="SourceNote"/>
      </w:pPr>
      <w:r>
        <w:rPr>
          <w:b/>
        </w:rPr>
        <w:t>Available abstract (not full text):</w:t>
      </w:r>
      <w:r>
        <w:t xml:space="preserve"> In 2012, the European Centre for Disease Prevention and Control (ECDC) launched the 'European survey of carbapenemase-producing Enterobacteriaceae (EuSCAPE)' project to gain insights into the occurrence and epidemiology of carbapenemase-producing Enterobacteriaceae (CPE), to increase the awareness of the spread of CPE, and to build and enhance the laboratory capacity for diagnosis and surveillance of CPE in Europe. Data collected through a post-EuSCAPE feedback questionnaire in May 2015 documented improvement compared with 2013 in capacity and ability to detect CPE and identify the different carbapenemases genes in the 38 participating countries, thus contributing to their awareness of and knowledge about the spread of CPE. Over the last two years, the epidemiological situation of CPE worsened, in particular with the rapid spread of carbapenem-hydrolysing oxacillinase-48 (OXA-48)- and New Delhi metallo-beta-lactamase (NDM)-producing Enterobacteriaceae. In 2015, 13/38 countries reported inter-regional spread of or an endemic situation for CPE, compared with 6/38 in 2013. Only three countries replied that they had not identified one single case of CPE. The ongoing spread of CPE represents an increasing threat to patient safety in European hospitals, and a majority of countries reacted by establishing national CPE surveillances systems and issuing guidance on control measures for </w:t>
      </w:r>
    </w:p>
    <w:p>
      <w:pPr>
        <w:pStyle w:val="Heading2"/>
      </w:pPr>
      <w:r>
        <w:t>877.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2020:</w:t>
      </w:r>
      <w:r>
        <w:t xml:space="preserve"> The European Union in the World Economy: Competitiveness Issues — https://doi.org/10.20542/978-5-9535-0587-1</w:t>
      </w:r>
    </w:p>
    <w:p>
      <w:pPr/>
      <w:r>
        <w:rPr>
          <w:b/>
        </w:rPr>
        <w:t>Shared claim-specific concepts:</w:t>
      </w:r>
      <w:r>
        <w:t xml:space="preserve"> world, economy, international, challenges, issues; EU scope visible. This is a provisional connection, not an outcome finding.</w:t>
      </w:r>
    </w:p>
    <w:p>
      <w:pPr>
        <w:pStyle w:val="SourceNote"/>
      </w:pPr>
      <w:r>
        <w:rPr>
          <w:b/>
        </w:rPr>
        <w:t>Available abstract (not full text):</w:t>
      </w:r>
      <w:r>
        <w:t xml:space="preserve">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pPr/>
      <w:r>
        <w:rPr>
          <w:b/>
        </w:rPr>
        <w:t>POSSIBLE 2019:</w:t>
      </w:r>
      <w:r>
        <w:t xml:space="preserve"> The Soviet Union and the World Economy in the 1980S: A Review of the Alternatives — https://doi.org/10.4324/9780429311130-3</w:t>
      </w:r>
    </w:p>
    <w:p>
      <w:pPr/>
      <w:r>
        <w:rPr>
          <w:b/>
        </w:rPr>
        <w:t>Shared claim-specific concepts:</w:t>
      </w:r>
      <w:r>
        <w:t xml:space="preserve"> four, world, economy, presented, aims, trade; EU scope visible. This is a provisional connection, not an outcome finding.</w:t>
      </w:r>
    </w:p>
    <w:p>
      <w:pPr>
        <w:pStyle w:val="SourceNote"/>
      </w:pPr>
      <w:r>
        <w:rPr>
          <w:b/>
        </w:rPr>
        <w:t>Available abstract (not full text):</w:t>
      </w:r>
      <w:r>
        <w:t xml:space="preserve">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pPr/>
      <w:r>
        <w:rPr>
          <w:b/>
        </w:rPr>
        <w:t>POSSIBLE 2017:</w:t>
      </w:r>
      <w:r>
        <w:t xml:space="preserve"> The Global MRIO Lab – charting the world economy — https://doi.org/10.1080/09535314.2017.1301887</w:t>
      </w:r>
    </w:p>
    <w:p>
      <w:pPr/>
      <w:r>
        <w:rPr>
          <w:b/>
        </w:rPr>
        <w:t>Shared claim-specific concepts:</w:t>
      </w:r>
      <w:r>
        <w:t xml:space="preserve"> world, economy, main, trade; EU scope not established. This is a provisional connection, not an outcome finding.</w:t>
      </w:r>
    </w:p>
    <w:p>
      <w:pPr>
        <w:pStyle w:val="SourceNote"/>
      </w:pPr>
      <w:r>
        <w:rPr>
          <w:b/>
        </w:rPr>
        <w:t>Available abstract (not full text):</w:t>
      </w:r>
      <w:r>
        <w:t xml:space="preserve"> We describe the creation of the Global Multi-Region Input–Output (MRIO) Lab, which is a cloud-computing platform offering a collaborative research environment through which participants can use each other’s resources to assemble their own individual MRIO versions. The Global MRIO Lab’s main purpose is to harness and focus previously disparate resources aimed at compiling large-scale MRIO databases that provide comprehensive representations of interregional trade, economic structure, industrial interdependence, as well as environmental and social impact. Based on the operational Australian Industrial Ecology Lab, a particularly important feature of this cloud environment is a highly detailed regional and sectoral taxonomy called the ‘root classification’. The purpose of this root is to serve as a feedstock from which researchers can choose any combination of regions and economic sectors to form a model of the economy that is suitable to address their particular research questions. Thus, the Global MRIO Lab concept enables enhanced flexibility in MRIO database construction whilst at the same time saving resources and avoiding duplication, by sharing time- and labour-intensive tasks amongst multiple research teams. We explain the concept, architecture, development and preliminary results of the Global MRIO Lab, and discuss its ability to continuously deliver some of the most promi</w:t>
      </w:r>
    </w:p>
    <w:p>
      <w:pPr/>
      <w:r>
        <w:rPr>
          <w:b/>
        </w:rPr>
        <w:t>POSSIBLE 2016:</w:t>
      </w:r>
      <w:r>
        <w:t xml:space="preserve"> The Finance Curse: Britain and the World Economy — https://doi.org/10.1177/1369148115612793</w:t>
      </w:r>
    </w:p>
    <w:p>
      <w:pPr/>
      <w:r>
        <w:rPr>
          <w:b/>
        </w:rPr>
        <w:t>Shared claim-specific concepts:</w:t>
      </w:r>
      <w:r>
        <w:t xml:space="preserve"> world, economy, analyse; EU scope not established. This is a provisional connection, not an outcome finding.</w:t>
      </w:r>
    </w:p>
    <w:p>
      <w:pPr>
        <w:pStyle w:val="SourceNote"/>
      </w:pPr>
      <w:r>
        <w:rPr>
          <w:b/>
        </w:rPr>
        <w:t>Available abstract (not full text):</w:t>
      </w:r>
      <w:r>
        <w:t xml:space="preserve"> Outlines harms caused to countries hosting an oversized financial sector Argues Britain is subject to a Finance Curse, which carries many similarities with the Resource Curse, afflicting mineral-exporting countries Provides a narrative and framework to analyse the political economy of finance and financialisation The Global Financial Crisis placed the utility of financial services in question. The crash, great recession, wealth transfers from public to private, austerity and growing inequality cast doubt on the idea that finance is a boon to the host economy. This article systematizes these doubts to highlight the perils of an oversized financial sector. States failing to harness natural resources for development led to the concept of the Resource Curse. In many countries, resource dependence generated slower growth, crowding out, reduced economic diversity, lost entrepreneurialism, unemployment, economic instability, inequality, conflict, rent-seeking and corruption. The Finance Curse produces similar effects, often for similar reasons. Beyond a point, a growing financial sector can do more harm than good. Unlike the Resource Curse, these harms transcend borders. The concept of a Finance Curse starkly illuminates the condition of Britain’s political economy and the character of its relations with the rest of the world.</w:t>
      </w:r>
    </w:p>
    <w:p>
      <w:pPr>
        <w:pStyle w:val="Heading2"/>
      </w:pPr>
      <w:r>
        <w:t>878.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findings, union;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2022:</w:t>
      </w:r>
      <w:r>
        <w:t xml:space="preserve"> European Green Deal necropolitics: Exploring ‘green’ energy transition, degrowth &amp; infrastructural colonization — https://doi.org/10.1016/j.polgeo.2022.102640</w:t>
      </w:r>
    </w:p>
    <w:p>
      <w:pPr/>
      <w:r>
        <w:rPr>
          <w:b/>
        </w:rPr>
        <w:t>Shared claim-specific concepts:</w:t>
      </w:r>
      <w:r>
        <w:t xml:space="preserve"> article, different, reveal; EU scope visible. This is a provisional connection, not an outcome finding.</w:t>
      </w:r>
    </w:p>
    <w:p>
      <w:pPr>
        <w:pStyle w:val="SourceNote"/>
      </w:pPr>
      <w:r>
        <w:rPr>
          <w:b/>
        </w:rPr>
        <w:t>Available abstract (not full text):</w:t>
      </w:r>
      <w:r>
        <w:t xml:space="preserve">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pPr/>
      <w:r>
        <w:rPr>
          <w:b/>
        </w:rPr>
        <w:t>POSSIBLE 2021:</w:t>
      </w:r>
      <w:r>
        <w:t xml:space="preserve"> Governing displaced migration in Europe: housing and the role of the “local” — https://doi.org/10.1186/s40878-020-00209-x</w:t>
      </w:r>
    </w:p>
    <w:p>
      <w:pPr/>
      <w:r>
        <w:rPr>
          <w:b/>
        </w:rPr>
        <w:t>Shared claim-specific concepts:</w:t>
      </w:r>
      <w:r>
        <w:t xml:space="preserve"> article, different, about, they; EU scope visible. This is a provisional connection, not an outcome finding.</w:t>
      </w:r>
    </w:p>
    <w:p>
      <w:pPr>
        <w:pStyle w:val="SourceNote"/>
      </w:pPr>
      <w:r>
        <w:rPr>
          <w:b/>
        </w:rPr>
        <w:t>Available abstract (not full text):</w:t>
      </w:r>
      <w:r>
        <w:t xml:space="preserve">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r>
        <w:rPr>
          <w:b/>
        </w:rPr>
        <w:t>POSSIBLE 2021:</w:t>
      </w:r>
      <w:r>
        <w:t xml:space="preserve"> What is Europe? The Meaning of Europe in Different Social Contexts in Switzerland* — https://doi.org/10.1111/spsr.12460</w:t>
      </w:r>
    </w:p>
    <w:p>
      <w:pPr/>
      <w:r>
        <w:rPr>
          <w:b/>
        </w:rPr>
        <w:t>Shared claim-specific concepts:</w:t>
      </w:r>
      <w:r>
        <w:t xml:space="preserve"> article, explores, different, respondents, they; EU scope visible. This is a provisional connection, not an outcome finding.</w:t>
      </w:r>
    </w:p>
    <w:p>
      <w:pPr>
        <w:pStyle w:val="SourceNote"/>
      </w:pPr>
      <w:r>
        <w:rPr>
          <w:b/>
        </w:rPr>
        <w:t>Available abstract (not full text):</w:t>
      </w:r>
      <w:r>
        <w:t xml:space="preserve"> Abstract Previous literature on European identification has often taken for granted what respondents understand by this term. The present article addresses this issue, and on the basis of a recent study in Switzerland seeks to identify the meanings that individuals associate with the concept of Europe. Furthermore, it examines how these meanings relate to their identification with Europe. It also explores the potential covariates of these various conceptions of Europe – particularly transnational experiences and networks. Our analyses identify six dimensions of the meaning of Europe, each of which is differently related to identification with Europe. Although EU citizens and non‐EU citizens in different types of (bi‐national) relationships assigned similar meanings to Europe overall, they differed with respect to the importance they accorded each of these meanings. Individuals who tend to benefit from the EU, i.e. EU citizens and persons with a higher level of education, attribute more positive meanings to Europe.</w:t>
      </w:r>
    </w:p>
    <w:p>
      <w:pPr/>
      <w:r>
        <w:rPr>
          <w:b/>
        </w:rPr>
        <w:t>POSSIBLE 2021:</w:t>
      </w:r>
      <w:r>
        <w:t xml:space="preserve"> The Dissemination of European Popular Print: Exploring Comparative Approaches — https://doi.org/10.1163/15700690-12341482</w:t>
      </w:r>
    </w:p>
    <w:p>
      <w:pPr/>
      <w:r>
        <w:rPr>
          <w:b/>
        </w:rPr>
        <w:t>Shared claim-specific concepts:</w:t>
      </w:r>
      <w:r>
        <w:t xml:space="preserve"> article, trade, not, about; EU scope visible. This is a provisional connection, not an outcome finding.</w:t>
      </w:r>
    </w:p>
    <w:p>
      <w:pPr>
        <w:pStyle w:val="SourceNote"/>
      </w:pPr>
      <w:r>
        <w:rPr>
          <w:b/>
        </w:rPr>
        <w:t>Available abstract (not full text):</w:t>
      </w:r>
      <w:r>
        <w:t xml:space="preserve">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pPr/>
      <w:r>
        <w:rPr>
          <w:b/>
        </w:rPr>
        <w:t>POSSIBLE 2018:</w:t>
      </w:r>
      <w:r>
        <w:t xml:space="preserve"> Evidence of different models of socially responsible HRM in Europe — https://doi.org/10.1111/beer.12203</w:t>
      </w:r>
    </w:p>
    <w:p>
      <w:pPr/>
      <w:r>
        <w:rPr>
          <w:b/>
        </w:rPr>
        <w:t>Shared claim-specific concepts:</w:t>
      </w:r>
      <w:r>
        <w:t xml:space="preserve"> article, explores, different, findings, managers, not; EU scope visible. This is a provisional connection, not an outcome finding.</w:t>
      </w:r>
    </w:p>
    <w:p>
      <w:pPr>
        <w:pStyle w:val="SourceNote"/>
      </w:pPr>
      <w:r>
        <w:rPr>
          <w:b/>
        </w:rPr>
        <w:t>Available abstract (not full text):</w:t>
      </w:r>
      <w:r>
        <w:t xml:space="preserve"> Socially responsible human resource management (SR‐HRM) is becoming increasingly important for academics and managers. The interface between HRM and corporate social responsibility (CSR) is the subject of analysis in this article. It adopts a contextual perspective to analyze whether the institutional context influences the implementation of socially responsible HRM (SR‐HRM). Considering the differences in the national institutional contexts across Europe, this study explores the different models of SR‐HRM in that region. The research is focused on a sample of 153 companies headquartered in Germany, Spain, Sweden, and the United Kingdom. The findings evidence the influence exerted by the national institutional context on the implementation of SR‐HRM. Differences among country clusters suggest the existence of different models of SR‐HRM in Europe. However, these models do not correspond to the blocks on HRM or on CSR identified by the literature but instead provide a novel categorization.</w:t>
      </w:r>
    </w:p>
    <w:p>
      <w:pPr/>
      <w:r>
        <w:rPr>
          <w:b/>
        </w:rPr>
        <w:t>POSSIBLE 2018:</w:t>
      </w:r>
      <w:r>
        <w:t xml:space="preserve"> Geographies of e-Government in Europe — https://doi.org/10.4018/ijepr.2018100104</w:t>
      </w:r>
    </w:p>
    <w:p>
      <w:pPr/>
      <w:r>
        <w:rPr>
          <w:b/>
        </w:rPr>
        <w:t>Shared claim-specific concepts:</w:t>
      </w:r>
      <w:r>
        <w:t xml:space="preserve"> article, explores, different, government; EU scope visible. This is a provisional connection, not an outcome finding.</w:t>
      </w:r>
    </w:p>
    <w:p>
      <w:pPr>
        <w:pStyle w:val="SourceNote"/>
      </w:pPr>
      <w:r>
        <w:rPr>
          <w:b/>
        </w:rPr>
        <w:t>Available abstract (not full text):</w:t>
      </w:r>
      <w:r>
        <w:t xml:space="preserve"> Government use of the internet – e-government – varies considerably in its degrees of sophistication. This article explores the spatiality of e-government in Europe. It first situates the topic within wider theorizations of geographies of cyberspace. Second, it reviews e-government and its implications. Third, it turns to the digital divide in Europe. Fourth, it maps national e-government readiness and e-participation scores and correlates them with socio-economic measures. Fifth, it provides several overviews of successful West European e-government programs. It concludes by emphasizing that e-government must be approached geographically in a manner tailored to different national contexts.</w:t>
      </w:r>
    </w:p>
    <w:p>
      <w:pPr/>
      <w:r>
        <w:rPr>
          <w:b/>
        </w:rPr>
        <w:t>POSSIBLE 2017:</w:t>
      </w:r>
      <w:r>
        <w:t xml:space="preserve"> Plurilingualism in Europe: Exploring Attitudes Toward English and Other European Languages Among Adolescents in Bulgaria, Germany, the Netherlands, and Spain — https://doi.org/10.1111/modl.12415</w:t>
      </w:r>
    </w:p>
    <w:p>
      <w:pPr/>
      <w:r>
        <w:rPr>
          <w:b/>
        </w:rPr>
        <w:t>Shared claim-specific concepts:</w:t>
      </w:r>
      <w:r>
        <w:t xml:space="preserve"> article, explores, different, reveal, they; EU scope visible. This is a provisional connection, not an outcome finding.</w:t>
      </w:r>
    </w:p>
    <w:p>
      <w:pPr>
        <w:pStyle w:val="SourceNote"/>
      </w:pPr>
      <w:r>
        <w:rPr>
          <w:b/>
        </w:rPr>
        <w:t>Available abstract (not full text):</w:t>
      </w:r>
      <w:r>
        <w:t xml:space="preserve"> This article explores adolescent students’ attitudes toward learning English and other European languages studied at secondary school. The study is based on 2255 qualitative responses to a survey conducted in Bulgaria, Germany, the Netherlands, and Spain. The data reveal that, although differences between countries shape the experience of foreign language learning in different ways, students in all four countries are highly aware of the global status of English. This can be a positive stimulus for students’ attitudes toward English but it can also negatively affect their attitudes toward learning other languages, as these can be perceived as less valuable. While perceived societal importance can differ from personal relevance and while identity issues, ability beliefs, contextual factors on the school and classroom level, as well as social‐relational contexts (especially the relationship to the teacher) also play a role in shaping students’ attitudes, the data demonstrate that macro‐contextual factors exert considerable influence. They also suggest that more attention must be paid to stimulating positive attitudes toward language diversity and to fostering plurilingual aspirations in young Europeans.</w:t>
      </w:r>
    </w:p>
    <w:p>
      <w:pPr/>
      <w:r>
        <w:rPr>
          <w:b/>
        </w:rPr>
        <w:t>POSSIBLE 2017:</w:t>
      </w:r>
      <w:r>
        <w:t xml:space="preserve"> Leading sustainable neighbourhoods in Europe: Exploring the key principles and processes — https://doi.org/10.5379/urbani-izziv-en-2017-28-01-003</w:t>
      </w:r>
    </w:p>
    <w:p>
      <w:pPr/>
      <w:r>
        <w:rPr>
          <w:b/>
        </w:rPr>
        <w:t>Shared claim-specific concepts:</w:t>
      </w:r>
      <w:r>
        <w:t xml:space="preserve"> article, different, many; EU scope visible. This is a provisional connection, not an outcome finding.</w:t>
      </w:r>
    </w:p>
    <w:p>
      <w:pPr>
        <w:pStyle w:val="SourceNote"/>
      </w:pPr>
      <w:r>
        <w:rPr>
          <w:b/>
        </w:rPr>
        <w:t>Available abstract (not full text):</w:t>
      </w:r>
      <w:r>
        <w:t xml:space="preserve"> Leading sustainable neighbourhoods in Europe: Exploring the key principles and processesLocal projects involving sustainable urban transformation are increasingly prominent in cities and towns, and are often referred to as sustainable neighbourhoods.These initiatives have been described as experiments in urban sustainability and could provide concrete answers to many challenges facing cities and society.This article investigates the design and development of two leading examples of sustainable neighbourhoods that used different implementation strategies: a top-down development in Western Harbour (Swed.Västra Hamnen, Malmö) and a bottom-up (participatory) approach in Vauban (Frei-burg).The article investigates how the initial implementation approach in sustainable urban redevelopment influenced and conditioned the urban design, social sustainability and local governance of the neighbourhoods.The research also focuses on how Vauban and Western Harbour have influenced and disseminated sustainable urban solutions to other urban contexts.</w:t>
      </w:r>
    </w:p>
    <w:p>
      <w:pPr/>
      <w:r>
        <w:rPr>
          <w:b/>
        </w:rPr>
        <w:t>POSSIBLE 2016:</w:t>
      </w:r>
      <w:r>
        <w:t xml:space="preserve"> Research ethics in practice: lessons from studies exploring interpersonal violence in different contexts — https://doi.org/10.1332/204674316x14673790283737</w:t>
      </w:r>
    </w:p>
    <w:p>
      <w:pPr/>
      <w:r>
        <w:rPr>
          <w:b/>
        </w:rPr>
        <w:t>Shared claim-specific concepts:</w:t>
      </w:r>
      <w:r>
        <w:t xml:space="preserve"> article, different, they; EU scope visible. This is a provisional connection, not an outcome finding.</w:t>
      </w:r>
    </w:p>
    <w:p>
      <w:pPr>
        <w:pStyle w:val="SourceNote"/>
      </w:pPr>
      <w:r>
        <w:rPr>
          <w:b/>
        </w:rPr>
        <w:t>Available abstract (not full text):</w:t>
      </w:r>
      <w:r>
        <w:t xml:space="preserve"> Studies researching interpersonal violence (IPV) are associated with a range of ethical challenges. In this article, lessons are drawn from three case studies exploring the experiences of different groups of survivors and perpetrators of IPV in diverse contexts: refugees in the Thailand-Burma border area; partner-violent adult men and female survivors in Ireland; and school children in five European countries. The ethical – and associated methodological – challenges faced, and the ways in which they were overcome, are presented. Drawing on the case studies presented, the article concludes that three key areas require special attention when conducting research in this field: accessing and recruiting participants, researcher skills and experience, and appropriate use of data.</w:t>
      </w:r>
    </w:p>
    <w:p>
      <w:pPr>
        <w:pStyle w:val="Heading2"/>
      </w:pPr>
      <w:r>
        <w:t>879.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2024:</w:t>
      </w:r>
      <w:r>
        <w:t xml:space="preserve"> Compare the Black-Scholes Model, Monte Carlo Model, One Step Binomial Tree Model through the European options of Apple — https://doi.org/10.61173/2xbr7x94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r>
        <w:rPr>
          <w:b/>
        </w:rPr>
        <w:t>POSSIBLE 2023:</w:t>
      </w:r>
      <w:r>
        <w:t xml:space="preserve"> A Model-Based Parameter Space in Monte Carlo Simulations for European Short-Term Adequacy Assessments — https://doi.org/10.1109/ei259745.2023.10513254</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The Short-Term Adequacy (STA) assessment is crucial for raising risk awareness among stakeholders and aiding European system operations in quickly identifying potential risks. To calculate cross-border exchange capacities in European STA assessments, the flow-based (FB) approach is used to define the parameter space in Monte Carlo simulations. However, Transmission System Operators (TSOs) currently rely on data-driven methods to define the FB domain. These methods necessitate extensive historical data on import-export capacities, which may not always align with Monte Carlo samples. Issues related to Energy Not Served (ENS) can arise even when Monte Carlo samples are aligned with the FB domain. To address these challenges, this paper introduces an analytical model based on parametric programming. This model maps the decision variables to zonal total loads, ensuring a more accurate parameter space in Monte Carlo simulations, and is free from ENS issues. Additionally, the model proactively adjusts the ENS index to reflect the parameter space under specific ENS conditions, thereby enhancing the generation of accurate Monte Carlo scenarios for subsequent STA assessments.</w:t>
      </w:r>
    </w:p>
    <w:p>
      <w:pPr/>
      <w:r>
        <w:rPr>
          <w:b/>
        </w:rPr>
        <w:t>POSSIBLE 2023:</w:t>
      </w:r>
      <w:r>
        <w:t xml:space="preserve"> A Multi-Level Monte Carlo Lagrange-Galerkin Method for Solving a XVA Hybrid Model in European Options — https://doi.org/10.2139/ssrn.4353116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2022:</w:t>
      </w:r>
      <w:r>
        <w:t xml:space="preserve"> Comparative Analysis of the Application of Monte Carlo Model and BSM Model in European Option Pricing — https://doi.org/10.54691/bcpbm.v32i.2856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At present, the expansion of China's domestic options market brings positive factors and risks, and in order to avoid risks, it is crucial to choose a suitable model for option pricing. This article provides an example of an option for the underlying asset of the SSE 50 ETF. Using the BSM model and the Monte Carlo model for the selected option pricing, and comparing the actual option price. It is found that the pricing efficiency of the Monte Carlo model is higher than that of the BSM model when the number of simulations reaches 30,000 times in the call option, and there is little difference between the two in the put option pricing. It is recommended to prefer the Monte Carlo model when pricing call options and the more convenient BSM model when pricing put options.</w:t>
      </w:r>
    </w:p>
    <w:p>
      <w:pPr/>
      <w:r>
        <w:rPr>
          <w:b/>
        </w:rPr>
        <w:t>POSSIBLE 2020:</w:t>
      </w:r>
      <w:r>
        <w:t xml:space="preserve"> Monte Carlo methods and market models for European swaptions pricing — https://openalex.org/W3204112699</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Affine models for term structure modelling. Exotic options and European swaptions. Structural affine models. Flat and forward volatilities. Probability measures. Forward neutral models. Volatility structures. Monte Carlo Methods in finance. An introduction to Monte Carlo. Monte Carlo integration. The efficiency of the estimator. Generation of random numbers. Variance reduction techniques. Monte Carlo simulation to price swaptions. Swaptions pricing. European swaptions and their use. The choice of the model. Derivation of the specific stochastic process used in Monte Carlo simulation. Modern pricing techniques in the global markets’ landscape. Suggestions for future researches: bermudian swaptions, Longstaff-Schwartz algorithm and least squares Monte Carlo.</w:t>
      </w:r>
    </w:p>
    <w:p>
      <w:pPr/>
      <w:r>
        <w:rPr>
          <w:b/>
        </w:rPr>
        <w:t>POSSIBLE 2020:</w:t>
      </w:r>
      <w:r>
        <w:t xml:space="preserve"> Advanced Monte Carlo Pricing of European Options in a Market Model with Two Stochastic Volatilities — https://doi.org/10.1007/978-3-030-41850-2_36</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pStyle w:val="Heading2"/>
      </w:pPr>
      <w:r>
        <w:t>880.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pStyle w:val="Heading2"/>
      </w:pPr>
      <w:r>
        <w:t>881.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2021:</w:t>
      </w:r>
      <w:r>
        <w:t xml:space="preserve"> REINTEGRATION OF CROP-LIVESTOCK SYSTEMS IN EUROPE: AN OVERVIEW — https://doi.org/10.15302/j-fase-2020373</w:t>
      </w:r>
    </w:p>
    <w:p>
      <w:pPr/>
      <w:r>
        <w:rPr>
          <w:b/>
        </w:rPr>
        <w:t>Shared claim-specific concepts:</w:t>
      </w:r>
      <w:r>
        <w:t xml:space="preserve"> overview, provide, needed; EU scope visible. This is a provisional connection, not an outcome finding.</w:t>
      </w:r>
    </w:p>
    <w:p>
      <w:pPr>
        <w:pStyle w:val="SourceNote"/>
      </w:pPr>
      <w:r>
        <w:rPr>
          <w:b/>
        </w:rPr>
        <w:t>Available abstract (not full text):</w:t>
      </w:r>
      <w:r>
        <w:t xml:space="preserve"> • ICLS combines the benefits of specialization with increased resilience of the system. • Clear opportunities but also barriers for ICLS were observed. • ICLS need to be embedded within future environmental legislation. • ICLS systems with a range of intensities are needed to support a biodiverse landscape. Ongoing specialization of crop and livestock systems provides socioeconomic benefits to the farmer but has led to greater externalization of environmental costs when compared to mixed farming systems. Better integration of crop and livestock systems offers great potential to rebalance the economic and environmental trade-offs in both systems. The aims of this study were to analyze changes in farm structure and review and evaluate the potential for reintegrating specialized intensive crop and livestock systems, with specific emphasis on identifying the co-benefits and barriers to reintegration. Historically, animals were essential to recycle nutrients in the farming system but this became less important with the availability of synthetic fertilisers. Although mixed farm systems can be economically attractive, benefits of scale combined with socio-economic factors have resulted in on-farm and regional specialization with negative environmental impacts. Reintegration is therefore needed to reduce nutrient surpluses at farm, regional and national levels, and to improve soil qual</w:t>
      </w:r>
    </w:p>
    <w:p>
      <w:pPr/>
      <w:r>
        <w:rPr>
          <w:b/>
        </w:rPr>
        <w:t>POSSIBLE 2020:</w:t>
      </w:r>
      <w:r>
        <w:t xml:space="preserve"> Comparative study of customer relationship management research from East Asia, North America and Europe: A bibliometric overview — https://doi.org/10.1007/s12525-020-00395-7</w:t>
      </w:r>
    </w:p>
    <w:p>
      <w:pPr/>
      <w:r>
        <w:rPr>
          <w:b/>
        </w:rPr>
        <w:t>Shared claim-specific concepts:</w:t>
      </w:r>
      <w:r>
        <w:t xml:space="preserve"> comparative, overview, north, america; EU scope visible. This is a provisional connection, not an outcome finding.</w:t>
      </w:r>
    </w:p>
    <w:p>
      <w:pPr>
        <w:pStyle w:val="SourceNote"/>
      </w:pPr>
      <w:r>
        <w:rPr>
          <w:b/>
        </w:rPr>
        <w:t>Available abstract (not full text):</w:t>
      </w:r>
      <w:r>
        <w:t xml:space="preserve"> Unavailable</w:t>
      </w:r>
    </w:p>
    <w:p>
      <w:pPr/>
      <w:r>
        <w:rPr>
          <w:b/>
        </w:rPr>
        <w:t>POSSIBLE 2018:</w:t>
      </w:r>
      <w:r>
        <w:t xml:space="preserve"> Comparative studies in education in Southern Europe — https://doi.org/10.1080/03050068.2018.1528774</w:t>
      </w:r>
    </w:p>
    <w:p>
      <w:pPr/>
      <w:r>
        <w:rPr>
          <w:b/>
        </w:rPr>
        <w:t>Shared claim-specific concepts:</w:t>
      </w:r>
      <w:r>
        <w:t xml:space="preserve"> critical, comparative, overview, different; EU scope visible. This is a provisional connection, not an outcome finding.</w:t>
      </w:r>
    </w:p>
    <w:p>
      <w:pPr>
        <w:pStyle w:val="SourceNote"/>
      </w:pPr>
      <w:r>
        <w:rPr>
          <w:b/>
        </w:rPr>
        <w:t>Available abstract (not full text):</w:t>
      </w:r>
      <w:r>
        <w:t xml:space="preserve"> This special issue offers a critical overview of the Southern Europe construction of comparative education and the different sets of philosophical and historical framings, including university cult...</w:t>
      </w:r>
    </w:p>
    <w:p>
      <w:pPr/>
      <w:r>
        <w:rPr>
          <w:b/>
        </w:rPr>
        <w:t>POSSIBLE 2018:</w:t>
      </w:r>
      <w:r>
        <w:t xml:space="preserve"> Direct healthcare cost of schizophrenia – European overview — https://doi.org/10.1016/j.eurpsy.2017.10.008</w:t>
      </w:r>
    </w:p>
    <w:p>
      <w:pPr/>
      <w:r>
        <w:rPr>
          <w:b/>
        </w:rPr>
        <w:t>Shared claim-specific concepts:</w:t>
      </w:r>
      <w:r>
        <w:t xml:space="preserve"> overview, methods, provide; EU scope visible. This is a provisional connection, not an outcome finding.</w:t>
      </w:r>
    </w:p>
    <w:p>
      <w:pPr>
        <w:pStyle w:val="SourceNote"/>
      </w:pPr>
      <w:r>
        <w:rPr>
          <w:b/>
        </w:rPr>
        <w:t>Available abstract (not full text):</w:t>
      </w:r>
      <w:r>
        <w:t xml:space="preserve">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pPr/>
      <w:r>
        <w:rPr>
          <w:b/>
        </w:rPr>
        <w:t>POSSIBLE 2018:</w:t>
      </w:r>
      <w:r>
        <w:t xml:space="preserve"> A Critical Overview of Targeted Therapies for Glioblastoma — https://doi.org/10.3389/fonc.2018.00419</w:t>
      </w:r>
    </w:p>
    <w:p>
      <w:pPr/>
      <w:r>
        <w:rPr>
          <w:b/>
        </w:rPr>
        <w:t>Shared claim-specific concepts:</w:t>
      </w:r>
      <w:r>
        <w:t xml:space="preserve"> critical, overview, methods, used, many; EU scope not established. This is a provisional connection, not an outcome finding.</w:t>
      </w:r>
    </w:p>
    <w:p>
      <w:pPr>
        <w:pStyle w:val="SourceNote"/>
      </w:pPr>
      <w:r>
        <w:rPr>
          <w:b/>
        </w:rPr>
        <w:t>Available abstract (not full text):</w:t>
      </w:r>
      <w:r>
        <w:t xml:space="preserve"> Over the past century, treatment of malignant tumors of the brain has remained a challenge. Refinements in neurosurgical techniques, discovery of powerful chemotherapeutic agents, advances in radiotherapy, applications of biotechnology, and improvements in methods of targeted delivery have led to some extension of length of survival of glioblastoma patients. Refinements in surgery are mentioned because most of the patients with glioblastoma undergo surgery and many of the other innovative therapies are combined with surgery. However, cure of glioblastoma has remained elusive because it requires complete destruction of the tumor. Radical surgical ablation is not possible in the brain and even a small residual tumor leads to rapid recurrence that eventually kills the patient. Blood-brain barrier (BBB) comprising brain endothelial cells lining the cerebral microvasculature, limits delivery of drugs to the brain. Even though opening of the BBB in tumor core occurs locally, BBB limits systemic chemotherapy especially at the tumor periphery, where tumor cells invade normal brain structure comprising intact BBB. Comprehensive approaches are necessary to gain maximally from promising targeted therapies. Common methods used for critical evaluation of targeted therapies for glioblastoma include: (1) novel methods for targeted delivery of chemotherapy; (2) strategies for delivery through </w:t>
      </w:r>
    </w:p>
    <w:p>
      <w:pPr/>
      <w:r>
        <w:rPr>
          <w:b/>
        </w:rPr>
        <w:t>POSSIBLE 2017:</w:t>
      </w:r>
      <w:r>
        <w:t xml:space="preserve"> Policies for biosimilar uptake in Europe: An overview — https://doi.org/10.1371/journal.pone.0190147</w:t>
      </w:r>
    </w:p>
    <w:p>
      <w:pPr/>
      <w:r>
        <w:rPr>
          <w:b/>
        </w:rPr>
        <w:t>Shared claim-specific concepts:</w:t>
      </w:r>
      <w:r>
        <w:t xml:space="preserve"> overview, methods, they, used, different, provide; EU scope visible. This is a provisional connection, not an outcome finding.</w:t>
      </w:r>
    </w:p>
    <w:p>
      <w:pPr>
        <w:pStyle w:val="SourceNote"/>
      </w:pPr>
      <w:r>
        <w:rPr>
          <w:b/>
        </w:rPr>
        <w:t>Available abstract (not full text):</w:t>
      </w:r>
      <w:r>
        <w:t xml:space="preserve">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pPr/>
      <w:r>
        <w:rPr>
          <w:b/>
        </w:rPr>
        <w:t>POSSIBLE 2017:</w:t>
      </w:r>
      <w:r>
        <w:t xml:space="preserve"> Early Detection and Intervention of ASD: A European Overview — https://doi.org/10.3390/brainsci7120159</w:t>
      </w:r>
    </w:p>
    <w:p>
      <w:pPr/>
      <w:r>
        <w:rPr>
          <w:b/>
        </w:rPr>
        <w:t>Shared claim-specific concepts:</w:t>
      </w:r>
      <w:r>
        <w:t xml:space="preserve"> overview, different, provide, tools, needed, makers; EU scope visible. This is a provisional connection, not an outcome finding.</w:t>
      </w:r>
    </w:p>
    <w:p>
      <w:pPr>
        <w:pStyle w:val="SourceNote"/>
      </w:pPr>
      <w:r>
        <w:rPr>
          <w:b/>
        </w:rPr>
        <w:t>Available abstract (not full text):</w:t>
      </w:r>
      <w:r>
        <w:t xml:space="preserve"> Over the last several years there has been an increasing focus on early detection of Autism Spectrum Disorder (ASD), not only from the scientific field but also from professional associations and public health systems all across Europe. Not surprisingly, in order to offer better services and quality of life for both children with ASD and their families, different screening procedures and tools have been developed for early assessment and intervention. However, current evidence is needed for healthcare providers and policy makers to be able to implement specific measures and increase autism awareness in European communities. The general aim of this review is to address the latest and most relevant issues related to early detection and treatments. The specific objectives are (1) analyse the impact, describing advantages and drawbacks, of screening procedures based on standardized tests, surveillance programmes, or other observational measures; and (2) provide a European framework of early intervention programmes and practices and what has been learnt from implementing them in public or private settings. This analysis is then discussed and best practices are suggested to help professionals, health systems and policy makers to improve their local procedures or to develop new proposals for early detection and intervention programmes.</w:t>
      </w:r>
    </w:p>
    <w:p>
      <w:pPr/>
      <w:r>
        <w:rPr>
          <w:b/>
        </w:rPr>
        <w:t>POSSIBLE 2016:</w:t>
      </w:r>
      <w:r>
        <w:t xml:space="preserve"> Medicine and management in European hospitals: a comparative overview — https://doi.org/10.1186/s12913-016-1388-4</w:t>
      </w:r>
    </w:p>
    <w:p>
      <w:pPr/>
      <w:r>
        <w:rPr>
          <w:b/>
        </w:rPr>
        <w:t>Shared claim-specific concepts:</w:t>
      </w:r>
      <w:r>
        <w:t xml:space="preserve"> comparative, overview, they, text; EU scope visible. This is a provisional connection, not an outcome finding.</w:t>
      </w:r>
    </w:p>
    <w:p>
      <w:pPr>
        <w:pStyle w:val="SourceNote"/>
      </w:pPr>
      <w:r>
        <w:rPr>
          <w:b/>
        </w:rPr>
        <w:t>Available abstract (not full text):</w:t>
      </w:r>
      <w:r>
        <w:t xml:space="preserve"> BACKGROUND: Since the early 1980s all European countries have given priority to reforming the management of health services. A distinctive feature of these reforms has also been the drive to co-opt professionals themselves into the management of services, taking on full time or part time (hybrid) management or leadership roles. However, although these trends are well documented in the literature, our understanding of the nature and impact of reforms and how they are re-shaping the relationship between medicine and management remains limited. Most studies have tended to be nationally specific, located within a single discipline and focused primarily on describing new management practices. This article serves as an Introduction to a special issue of BMC Health Services Research which seeks to address these concerns. It builds on the work of a European Union funded COST Action (ISO903) which ran between 2009 and 2013, focusing specifically on the changing relationship between medicine and management in a European context. MAIN TEXT: Prior to describing the contributions to the special issue, this Introduction sets the scene by exploring four main questions which have characterised much of the recent literature on medicine and management. First is the question of what we understand by the changing relationship between medicine and management and in particular which this means for t</w:t>
      </w:r>
    </w:p>
    <w:p>
      <w:pPr/>
      <w:r>
        <w:rPr>
          <w:b/>
        </w:rPr>
        <w:t>POSSIBLE 2016:</w:t>
      </w:r>
      <w:r>
        <w:t xml:space="preserve"> Sixth European Working Conditions Survey – Overview Report — https://openalex.org/W2626195662</w:t>
      </w:r>
    </w:p>
    <w:p>
      <w:pPr/>
      <w:r>
        <w:rPr>
          <w:b/>
        </w:rPr>
        <w:t>Shared claim-specific concepts:</w:t>
      </w:r>
      <w:r>
        <w:t xml:space="preserve"> overview, different; EU scope visible. This is a provisional connection, not an outcome finding.</w:t>
      </w:r>
    </w:p>
    <w:p>
      <w:pPr>
        <w:pStyle w:val="SourceNote"/>
      </w:pPr>
      <w:r>
        <w:rPr>
          <w:b/>
        </w:rPr>
        <w:t>Available abstract (not full text):</w:t>
      </w:r>
      <w:r>
        <w:t xml:space="preserve"> [Excerpt] Since 1991, Eurofound has been monitoring working conditions in Europe through its European Working Conditions Survey (EWCS). The survey aims to measure working conditions across European countries, analyse the relationships between different aspects of these, identify groups at risk, highlight issues of concern and areas of progress and, ultimately, contribute to developing EU policy aimed at improving job quality. In 2015, the sixth EWCS interviewed almost 44,000 workers (both employees and self-employed people) in 35 European countries: the 28 EU Member States, the five EU candidate countries, and Norway and Switzerland. Workers were asked a range of questions concerning employment status, work organisation, learning and training, working time duration and organisation, physical and psychosocial risk factors, health and safety, work–life balance, worker participation, earnings and financial security, as well as work and health.</w:t>
      </w:r>
    </w:p>
    <w:p>
      <w:pPr>
        <w:pStyle w:val="Heading2"/>
      </w:pPr>
      <w:r>
        <w:t>882.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discuss, energy, technology, carbon, focus, security;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2019:</w:t>
      </w:r>
      <w:r>
        <w:t xml:space="preserve"> Social Innovation in Community Energy in Europe: A Review of the Evidence — https://doi.org/10.3389/fenrg.2019.00031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2019:</w:t>
      </w:r>
      <w:r>
        <w:t xml:space="preserve"> Achieving sustainability transitions in residential energy use across Europe: The importance of problem framings — https://doi.org/10.1016/j.enpol.2019.110927</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pPr/>
      <w:r>
        <w:rPr>
          <w:b/>
        </w:rPr>
        <w:t>POSSIBLE 2019:</w:t>
      </w:r>
      <w:r>
        <w:t xml:space="preserve"> A PESTLE Analysis of Biofuels Energy Industry in Europe — https://doi.org/10.3390/su11215981</w:t>
      </w:r>
    </w:p>
    <w:p>
      <w:pPr/>
      <w:r>
        <w:rPr>
          <w:b/>
        </w:rPr>
        <w:t>Shared claim-specific concepts:</w:t>
      </w:r>
      <w:r>
        <w:t xml:space="preserve"> discuss, energy, despite, carbon, technological; EU scope visible. This is a provisional connection, not an outcome finding.</w:t>
      </w:r>
    </w:p>
    <w:p>
      <w:pPr>
        <w:pStyle w:val="SourceNote"/>
      </w:pPr>
      <w:r>
        <w:rPr>
          <w:b/>
        </w:rPr>
        <w:t>Available abstract (not full text):</w:t>
      </w:r>
      <w:r>
        <w:t xml:space="preserve">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pPr/>
      <w:r>
        <w:rPr>
          <w:b/>
        </w:rPr>
        <w:t>POSSIBLE 2019:</w:t>
      </w:r>
      <w:r>
        <w:t xml:space="preserve"> Performance of markets for European renewable energy certificates — https://doi.org/10.1016/j.enpol.2019.01.051</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pPr/>
      <w:r>
        <w:rPr>
          <w:b/>
        </w:rPr>
        <w:t>POSSIBLE 2019:</w:t>
      </w:r>
      <w:r>
        <w:t xml:space="preserve"> Effects of renewable energy on landscape in Europe: Comparison of hydro, wind, solar, bio-, geothermal and infrastructure energy landscapes — https://doi.org/10.15201/hungeobull.68.4.1</w:t>
      </w:r>
    </w:p>
    <w:p>
      <w:pPr/>
      <w:r>
        <w:rPr>
          <w:b/>
        </w:rPr>
        <w:t>Shared claim-specific concepts:</w:t>
      </w:r>
      <w:r>
        <w:t xml:space="preserve"> energy, technological; EU scope visible. This is a provisional connection, not an outcome finding.</w:t>
      </w:r>
    </w:p>
    <w:p>
      <w:pPr>
        <w:pStyle w:val="SourceNote"/>
      </w:pPr>
      <w:r>
        <w:rPr>
          <w:b/>
        </w:rPr>
        <w:t>Available abstract (not full text):</w:t>
      </w:r>
      <w:r>
        <w:t xml:space="preserve">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883.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r>
        <w:rPr>
          <w:b/>
        </w:rPr>
        <w:t>POSSIBLE 2021:</w:t>
      </w:r>
      <w:r>
        <w:t xml:space="preserve"> Negative-emissions technology portfolios to meet the 1.5 °C target — https://doi.org/10.1016/j.gloenvcha.2021.102238</w:t>
      </w:r>
    </w:p>
    <w:p>
      <w:pPr/>
      <w:r>
        <w:rPr>
          <w:b/>
        </w:rPr>
        <w:t>Shared claim-specific concepts:</w:t>
      </w:r>
      <w:r>
        <w:t xml:space="preserve"> meet, target, carbon, present; EU scope not established. This is a provisional connection, not an outcome finding.</w:t>
      </w:r>
    </w:p>
    <w:p>
      <w:pPr>
        <w:pStyle w:val="SourceNote"/>
      </w:pPr>
      <w:r>
        <w:rPr>
          <w:b/>
        </w:rPr>
        <w:t>Available abstract (not full text):</w:t>
      </w:r>
      <w:r>
        <w:t xml:space="preserve">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pPr/>
      <w:r>
        <w:rPr>
          <w:b/>
        </w:rPr>
        <w:t>POSSIBLE 2021:</w:t>
      </w:r>
      <w:r>
        <w:t xml:space="preserve"> Direct air capture of CO2: A response to meet the global climate targets — https://doi.org/10.1557/s43581-021-00005-9</w:t>
      </w:r>
    </w:p>
    <w:p>
      <w:pPr/>
      <w:r>
        <w:rPr>
          <w:b/>
        </w:rPr>
        <w:t>Shared claim-specific concepts:</w:t>
      </w:r>
      <w:r>
        <w:t xml:space="preserve"> meet, target, carbon, emissions, energy, high; EU scope not established. This is a provisional connection, not an outcome finding.</w:t>
      </w:r>
    </w:p>
    <w:p>
      <w:pPr>
        <w:pStyle w:val="SourceNote"/>
      </w:pPr>
      <w:r>
        <w:rPr>
          <w:b/>
        </w:rPr>
        <w:t>Available abstract (not full text):</w:t>
      </w:r>
      <w:r>
        <w:t xml:space="preserve"> Highlights DAC can help deal with difficult to avoid emissions. Large-scale deployment of DAC requires serious government, private, and corporate support and investment particularly to offset the capital cost as well as operational costs. Further optimizations to the costs can be found in choice of energy source as well as advances in CO 2 capture technology such as high capacity and selectivity materials, faster reaction kinetics, and ease of reusability. Abstract Direct air capture (DAC) technologies are receiving increasing attention from the scientific community, commercial enterprises, policymakers and governments. While deep decarbonization of all sectors is required to meet the Paris Agreement target, DAC can help deal with difficult to avoid emissions (aviation, ocean-shipping, iron-steel, cement, mining, plastics, fertilizers, pulp and paper). While large-scale deployment of DAC discussions continues, a closer look to the capital and operational costs, different capture technologies, the choice of energy source, land and water requirements, and other environmental impacts of DAC are reviewed and examined. Cost per ton of CO 2 captured discussions of leading industrial DAC developers with their carbon capture technologies are presented, and their detailed cost comparisons are evaluated based on the choice of energy operation together with process energy requirements. Va</w:t>
      </w:r>
    </w:p>
    <w:p>
      <w:pPr/>
      <w:r>
        <w:rPr>
          <w:b/>
        </w:rPr>
        <w:t>POSSIBLE 2019:</w:t>
      </w:r>
      <w:r>
        <w:t xml:space="preserve"> IFRS Reconciliation Adjustment and Subsequent Meet or Beat Target Earnings — https://doi.org/10.13106/jafeb.2019.vol6.no1.33</w:t>
      </w:r>
    </w:p>
    <w:p>
      <w:pPr/>
      <w:r>
        <w:rPr>
          <w:b/>
        </w:rPr>
        <w:t>Shared claim-specific concepts:</w:t>
      </w:r>
      <w:r>
        <w:t xml:space="preserve"> order, meet, target; EU scope not established. This is a provisional connection, not an outcome finding.</w:t>
      </w:r>
    </w:p>
    <w:p>
      <w:pPr>
        <w:pStyle w:val="SourceNote"/>
      </w:pPr>
      <w:r>
        <w:rPr>
          <w:b/>
        </w:rPr>
        <w:t>Available abstract (not full text):</w:t>
      </w:r>
      <w:r>
        <w:t xml:space="preserve"> This study analyzed the association between IFRS adjustments, measured with the IFRS reconciliations, and the subsequent meeting of target earnings. IFRS adjustments include the amounts to be adjusted intentionally, as well as the differences in accounting standards. This study estimated intentional IFRS adjustments and analyzed their association with meeting target earnings. As the results of our analysis, meeting target earnings was associated positively with intentional IFRS adjustments for the total assets, was negatively associated with them for current assets, and was positively associated with them for non-current assets. Since understatement of current assets can be realized into earnings in a short period of time, it seems that current assets were underestimated intentionally in order to meet target earnings subsequently. In contrast, it is considered that non-current assets were overestimated to make them more likely to meet target earnings either by increasing the firm size or by improving financial solvency. The results of this study imply that IFRS adjustments are useful to manage earnings for meeting target earnings. Since accounting standards may be established and revised constantly, which adjustments for them may occur, the results on IFRS adjustments are expected to have implications for investors, policy-makers, and standards establishment entities.</w:t>
      </w:r>
    </w:p>
    <w:p>
      <w:pPr/>
      <w:r>
        <w:rPr>
          <w:b/>
        </w:rPr>
        <w:t>POSSIBLE 2018:</w:t>
      </w:r>
      <w:r>
        <w:t xml:space="preserve"> Uneven conservation efforts compromise Brazil to meet the Target 11 of Convention on Biological Diversity — https://doi.org/10.1016/j.pecon.2017.12.001</w:t>
      </w:r>
    </w:p>
    <w:p>
      <w:pPr/>
      <w:r>
        <w:rPr>
          <w:b/>
        </w:rPr>
        <w:t>Shared claim-specific concepts:</w:t>
      </w:r>
      <w:r>
        <w:t xml:space="preserve"> order, meet, target, system, high; EU scope not established. This is a provisional connection, not an outcome finding.</w:t>
      </w:r>
    </w:p>
    <w:p>
      <w:pPr>
        <w:pStyle w:val="SourceNote"/>
      </w:pPr>
      <w:r>
        <w:rPr>
          <w:b/>
        </w:rPr>
        <w:t>Available abstract (not full text):</w:t>
      </w:r>
      <w:r>
        <w:t xml:space="preserve"> • Aichis Target 11 has not been adequately met. • Quality of the management of Conservation Units was poor for all indicators. • The only biome properly covered by Conservation Units in Brazil is the Amazon. • Areas of Environmental Protection offer poor protection and predominate in the system. • The funds for management should be at least 3.4 times bigger than current budget. Brazil is the most biodiverse country in the world. It performed an expansion of its Protected Areas system in order to better preserve nature and to accomplish international agreements, such as the Target 11 of the Convention on Biological Diversity, which establishes a minimum percentage of territorial coverage and adequate management of Protected Areas (PAs). We evaluated the achievement of those objectives by analyzing the distribution of Conservation Units (CUs), Indigenous Territories and other classes of PAs on Brazilian biomes, as well as their current management situation. The country is unlikely to meet the target due to the lack of PAs outside the Amazon biome and to poor CUs management conditions, whose main causes are the fragile financial situation of environmental agencies and the high costs of land tenure regularization. In addition to other environmental policies setbacks, the Brazilian environmental leadership is seriously threatened.</w:t>
      </w:r>
    </w:p>
    <w:p>
      <w:pPr/>
      <w:r>
        <w:rPr>
          <w:b/>
        </w:rPr>
        <w:t>POSSIBLE 2018:</w:t>
      </w:r>
      <w:r>
        <w:t xml:space="preserve"> Brazilian Flora 2020: Innovation and collaboration to meet Target 1 of the Global Strategy for Plant Conservation (GSPC) — https://doi.org/10.1590/2175-7860201869402</w:t>
      </w:r>
    </w:p>
    <w:p>
      <w:pPr/>
      <w:r>
        <w:rPr>
          <w:b/>
        </w:rPr>
        <w:t>Shared claim-specific concepts:</w:t>
      </w:r>
      <w:r>
        <w:t xml:space="preserve"> meet, target, systems, present; EU scope not established. This is a provisional connection, not an outcome finding.</w:t>
      </w:r>
    </w:p>
    <w:p>
      <w:pPr>
        <w:pStyle w:val="SourceNote"/>
      </w:pPr>
      <w:r>
        <w:rPr>
          <w:b/>
        </w:rPr>
        <w:t>Available abstract (not full text):</w:t>
      </w:r>
      <w:r>
        <w:t xml:space="preserve"> Abstract The Global Strategy for Plant Conservation (GSPC) was established by the Conference of Parties in 2002 to decrease the loss of plant diversity, reduce poverty and contribute to sustainable development. To achieve this overarching goal, the GSPC has established a series of targets, one of which is to ensure that plant diversity is well understood, so that it can be effectively conserved and used in a sustainable manner. Brazil hosts more than 46,000 species of plants, algae and fungi, representing one of the most biodiverse countries on Earth, and playing a key role in the GSPC. To meet the GSPC goals of Target 1 and facilitate access to plant diversity, Brazil committed to preparing the List of Species of the Brazilian Flora (2008-2015) and the Brazilian Flora 2020 (2016-present). Managing all the information associated with such great biodiversity has proven to be an extremely challenging task. Here, we synthesize the history of these projects, focusing on the multidisciplinary and collaborative approach adopted to develop and manage the inclusion of all the knowledge generated though digital information systems. We further describe the methods used, challenges faced, and strategies adopted, as well as summarize advances to date and prospects for completing the Brazilian flora in 2020.</w:t>
      </w:r>
    </w:p>
    <w:p>
      <w:pPr/>
      <w:r>
        <w:rPr>
          <w:b/>
        </w:rPr>
        <w:t>POSSIBLE 2017:</w:t>
      </w:r>
      <w:r>
        <w:t xml:space="preserve"> Tianqi could ramp up mine output to meet lithium target — https://openalex.org/W2898820048</w:t>
      </w:r>
    </w:p>
    <w:p>
      <w:pPr/>
      <w:r>
        <w:rPr>
          <w:b/>
        </w:rPr>
        <w:t>Shared claim-specific concepts:</w:t>
      </w:r>
      <w:r>
        <w:t xml:space="preserve"> order, meet, target; EU scope not established. This is a provisional connection, not an outcome finding.</w:t>
      </w:r>
    </w:p>
    <w:p>
      <w:pPr>
        <w:pStyle w:val="SourceNote"/>
      </w:pPr>
      <w:r>
        <w:rPr>
          <w:b/>
        </w:rPr>
        <w:t>Available abstract (not full text):</w:t>
      </w:r>
      <w:r>
        <w:t xml:space="preserve"> In order to ensure sufficient raw material supply to meet its 100,000tpa lithium chemical production target, Chinese producer Tianqi could further increase spodumene output at its joint-venture Australian mine or speed up production at its new Sichuan project.</w:t>
        <w:br/>
        <w:br/>
        <w:br/>
        <w:br/>
        <w:t>Chinese producer Tianqi Lithium Corp could ramp up spodumene production at joint-venture Talison Lithium Ltd and speed up progress of its Sichuan project in order to meet internal raw material demand.</w:t>
        <w:br/>
        <w:br/>
        <w:br/>
        <w:br/>
        <w:t>During a question and answer session in mid August, investors questioned Tianqi on the supply gap as the lithium concentrate output at Talison mine in Australia as still insufficient to meet Tianqi's demand.</w:t>
        <w:br/>
        <w:br/>
        <w:br/>
        <w:br/>
        <w:t>Talison - a JV between Albermarle Corp and Tianqi - has been expanding its lithium concentrate production at its Greenbushes spodumene mine in Australia. The 1.34m tpa spodumene ramp-up at Talison was scheduled to be completed in Q2 2019.</w:t>
      </w:r>
    </w:p>
    <w:p>
      <w:pPr/>
      <w:r>
        <w:rPr>
          <w:b/>
        </w:rPr>
        <w:t>POSSIBLE 2016:</w:t>
      </w:r>
      <w:r>
        <w:t xml:space="preserve"> Reducing emissions from agriculture to meet the 2 °C target — https://doi.org/10.1111/gcb.13340</w:t>
      </w:r>
    </w:p>
    <w:p>
      <w:pPr/>
      <w:r>
        <w:rPr>
          <w:b/>
        </w:rPr>
        <w:t>Shared claim-specific concepts:</w:t>
      </w:r>
      <w:r>
        <w:t xml:space="preserve"> meet, target, carbon, emissions; EU scope not established. This is a provisional connection, not an outcome finding.</w:t>
      </w:r>
    </w:p>
    <w:p>
      <w:pPr>
        <w:pStyle w:val="SourceNote"/>
      </w:pPr>
      <w:r>
        <w:rPr>
          <w:b/>
        </w:rPr>
        <w:t>Available abstract (not full text):</w:t>
      </w:r>
      <w:r>
        <w:t xml:space="preserve"> Abstract More than 100 countries pledged to reduce agricultural greenhouse gas (GHG) emissions in the 2015 Paris Agreement of the United Nations Framework Convention on Climate Change. Yet technical information about how much mitigation is needed in the sector vs. how much is feasible remains poor. We identify a preliminary global target for reducing emissions from agriculture of ~1 GtCO2e yr−1by 2030 to limit warming in 2100 to 2 °C above pre‐industrial levels. Yet plausible agricultural development pathways with mitigation cobenefits deliver only 21–40% of needed mitigation. The target indicates that more transformative technical and policy options will be needed, such as methane inhibitors and finance for new practices. A more comprehensive target for the 2 °C limit should be developed to include soil carbon and agriculture‐related mitigation options. Excluding agricultural emissions from mitigation targets and plans will increase the cost of mitigation in other sectors or reduce the feasibility of meeting the 2 °C limit.</w:t>
      </w:r>
    </w:p>
    <w:p>
      <w:pPr/>
      <w:r>
        <w:rPr>
          <w:b/>
        </w:rPr>
        <w:t>POSSIBLE 2016:</w:t>
      </w:r>
      <w:r>
        <w:t xml:space="preserve"> Work stealing for interactive services to meet target latency — https://doi.org/10.1145/2851141.2851151</w:t>
      </w:r>
    </w:p>
    <w:p>
      <w:pPr/>
      <w:r>
        <w:rPr>
          <w:b/>
        </w:rPr>
        <w:t>Shared claim-specific concepts:</w:t>
      </w:r>
      <w:r>
        <w:t xml:space="preserve"> meet, target, systems; EU scope not established. This is a provisional connection, not an outcome finding.</w:t>
      </w:r>
    </w:p>
    <w:p>
      <w:pPr>
        <w:pStyle w:val="SourceNote"/>
      </w:pPr>
      <w:r>
        <w:rPr>
          <w:b/>
        </w:rPr>
        <w:t>Available abstract (not full text):</w:t>
      </w:r>
      <w:r>
        <w:t xml:space="preserve"> Interactive web services increasingly drive critical business workloads such as search, advertising, games, shopping, and finance. Whereas optimizing parallel programs and distributed server systems have historically focused on average latency and throughput, the primary metric for interactive applications is instead consistent responsiveness, i.e., minimizing the number of requests that miss a target latency. This paper is the first to show how to generalize work-stealing, which is traditionally used to minimize the makespan of a single parallel job, to optimize for a target latency in interactive services with multiple parallel requests.</w:t>
      </w:r>
    </w:p>
    <w:p>
      <w:pPr/>
      <w:r>
        <w:rPr>
          <w:b/>
        </w:rPr>
        <w:t>POSSIBLE 2015:</w:t>
      </w:r>
      <w:r>
        <w:t xml:space="preserve"> Nominal GDP Targeting: A Policy Recommendation to Meet the Fed’s Dual Mandate — https://openalex.org/W851463466</w:t>
      </w:r>
    </w:p>
    <w:p>
      <w:pPr/>
      <w:r>
        <w:rPr>
          <w:b/>
        </w:rPr>
        <w:t>Shared claim-specific concepts:</w:t>
      </w:r>
      <w:r>
        <w:t xml:space="preserve"> order, meet, challenge; EU scope not established. This is a provisional connection, not an outcome finding.</w:t>
      </w:r>
    </w:p>
    <w:p>
      <w:pPr>
        <w:pStyle w:val="SourceNote"/>
      </w:pPr>
      <w:r>
        <w:rPr>
          <w:b/>
        </w:rPr>
        <w:t>Available abstract (not full text):</w:t>
      </w:r>
      <w:r>
        <w:t xml:space="preserve"> This paper was written in early December 2014 in response to the Federal Reserve Challenge Team’s argument for a regime change in the Federal Reserve to nominal GDP targeting as the appropriate policy to return the U.S. economy to long-term sustainable economic growth. After the 2007 recession, the FOMC took extraordinary measures to minimize the collateral damage caused by bank balance sheets weighed down with mortgage-backed securities and other below-investment grade assets. The periodic “stress tests” and use of emergency lending facilities were historically unprecedented, however, the economy six years later was still growing slowly in part due to market uncertainty with FOMC forward guidance policy. This paper argues that the Fed is justified in using a policy that risks short-term rapid inflation in order to meet the “dual mandate” of full employment and price stability, and to prevent cyclical unemployment in the economy from deteriorating into structural unemployment.</w:t>
      </w:r>
    </w:p>
    <w:p>
      <w:pPr>
        <w:pStyle w:val="Heading2"/>
      </w:pPr>
      <w:r>
        <w:t>884.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r>
        <w:rPr>
          <w:b/>
        </w:rPr>
        <w:t>POSSIBLE 2021:</w:t>
      </w:r>
      <w:r>
        <w:t xml:space="preserve"> European Resuscitation Council Guidelines 2021: Ethics of resuscitation and end of life decisions — https://doi.org/10.1016/j.resuscitation.2021.02.017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pPr/>
      <w:r>
        <w:rPr>
          <w:b/>
        </w:rPr>
        <w:t>POSSIBLE 2021:</w:t>
      </w:r>
      <w:r>
        <w:t xml:space="preserve"> Vaccination as a Matter of Security and Security Management in European Union — https://doi.org/10.35808/ersj/2729</w:t>
      </w:r>
    </w:p>
    <w:p>
      <w:pPr/>
      <w:r>
        <w:rPr>
          <w:b/>
        </w:rPr>
        <w:t>Shared claim-specific concepts:</w:t>
      </w:r>
      <w:r>
        <w:t xml:space="preserve"> making, including, security, process, possible; EU scope visible. This is a provisional connection, not an outcome finding.</w:t>
      </w:r>
    </w:p>
    <w:p>
      <w:pPr>
        <w:pStyle w:val="SourceNote"/>
      </w:pPr>
      <w:r>
        <w:rPr>
          <w:b/>
        </w:rPr>
        <w:t>Available abstract (not full text):</w:t>
      </w:r>
      <w:r>
        <w:t xml:space="preserve">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pPr/>
      <w:r>
        <w:rPr>
          <w:b/>
        </w:rPr>
        <w:t>POSSIBLE 2021:</w:t>
      </w:r>
      <w:r>
        <w:t xml:space="preserve"> A Security-by-Design Decision-Making Model for Risk Management in Autonomous Vehicles — https://doi.org/10.1109/access.2021.3098675</w:t>
      </w:r>
    </w:p>
    <w:p>
      <w:pPr/>
      <w:r>
        <w:rPr>
          <w:b/>
        </w:rPr>
        <w:t>Shared claim-specific concepts:</w:t>
      </w:r>
      <w:r>
        <w:t xml:space="preserve"> security, process, methods, used; EU scope not established. This is a provisional connection, not an outcome finding.</w:t>
      </w:r>
    </w:p>
    <w:p>
      <w:pPr>
        <w:pStyle w:val="SourceNote"/>
      </w:pPr>
      <w:r>
        <w:rPr>
          <w:b/>
        </w:rPr>
        <w:t>Available abstract (not full text):</w:t>
      </w:r>
      <w:r>
        <w:t xml:space="preserve">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pPr/>
      <w:r>
        <w:rPr>
          <w:b/>
        </w:rPr>
        <w:t>POSSIBLE 2020:</w:t>
      </w:r>
      <w:r>
        <w:t xml:space="preserve"> Storylines for decision-making: climate and food security in Namibia — https://doi.org/10.1080/17565529.2020.1808438</w:t>
      </w:r>
    </w:p>
    <w:p>
      <w:pPr/>
      <w:r>
        <w:rPr>
          <w:b/>
        </w:rPr>
        <w:t>Shared claim-specific concepts:</w:t>
      </w:r>
      <w:r>
        <w:t xml:space="preserve"> security, used, possible; EU scope not established. This is a provisional connection, not an outcome finding.</w:t>
      </w:r>
    </w:p>
    <w:p>
      <w:pPr>
        <w:pStyle w:val="SourceNote"/>
      </w:pPr>
      <w:r>
        <w:rPr>
          <w:b/>
        </w:rPr>
        <w:t>Available abstract (not full text):</w:t>
      </w:r>
      <w:r>
        <w:t xml:space="preserve">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pPr/>
      <w:r>
        <w:rPr>
          <w:b/>
        </w:rPr>
        <w:t>POSSIBLE 2019:</w:t>
      </w:r>
      <w:r>
        <w:t xml:space="preserve"> The European guideline on management of major bleeding and coagulopathy following trauma: fifth edition — https://doi.org/10.1186/s13054-019-2347-3</w:t>
      </w:r>
    </w:p>
    <w:p>
      <w:pPr/>
      <w:r>
        <w:rPr>
          <w:b/>
        </w:rPr>
        <w:t>Shared claim-specific concepts:</w:t>
      </w:r>
      <w:r>
        <w:t xml:space="preserve"> major, including, process, methods; EU scope visible. This is a provisional connection, not an outcome finding.</w:t>
      </w:r>
    </w:p>
    <w:p>
      <w:pPr>
        <w:pStyle w:val="SourceNote"/>
      </w:pPr>
      <w:r>
        <w:rPr>
          <w:b/>
        </w:rPr>
        <w:t>Available abstract (not full text):</w:t>
      </w:r>
      <w:r>
        <w:t xml:space="preserve">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885.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r>
        <w:rPr>
          <w:b/>
        </w:rPr>
        <w:t>POSSIBLE 2022:</w:t>
      </w:r>
      <w:r>
        <w:t xml:space="preserve"> Direct and indirect effect of European Uniondirectives in the context of European UnionCourt of Justice decisions — https://doi.org/10.46925//rdluz.38.06</w:t>
      </w:r>
    </w:p>
    <w:p>
      <w:pPr/>
      <w:r>
        <w:rPr>
          <w:b/>
        </w:rPr>
        <w:t>Shared claim-specific concepts:</w:t>
      </w:r>
      <w:r>
        <w:t xml:space="preserve"> direct, indirect, particular; EU scope visible. This is a provisional connection, not an outcome finding.</w:t>
      </w:r>
    </w:p>
    <w:p>
      <w:pPr>
        <w:pStyle w:val="SourceNote"/>
      </w:pPr>
      <w:r>
        <w:rPr>
          <w:b/>
        </w:rPr>
        <w:t>Available abstract (not full text):</w:t>
      </w:r>
      <w:r>
        <w:t xml:space="preserve">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pPr/>
      <w:r>
        <w:rPr>
          <w:b/>
        </w:rPr>
        <w:t>POSSIBLE 2022:</w:t>
      </w:r>
      <w:r>
        <w:t xml:space="preserve"> Investigating the Effects of Climate Change on Structural Actions — https://doi.org/10.1080/10168664.2022.2098894</w:t>
      </w:r>
    </w:p>
    <w:p>
      <w:pPr/>
      <w:r>
        <w:rPr>
          <w:b/>
        </w:rPr>
        <w:t>Shared claim-specific concepts:</w:t>
      </w:r>
      <w:r>
        <w:t xml:space="preserve"> investigate, direct, indirect, climate, likely, consequences; EU scope visible. This is a provisional connection, not an outcome finding.</w:t>
      </w:r>
    </w:p>
    <w:p>
      <w:pPr>
        <w:pStyle w:val="SourceNote"/>
      </w:pPr>
      <w:r>
        <w:rPr>
          <w:b/>
        </w:rPr>
        <w:t>Available abstract (not full text):</w:t>
      </w:r>
      <w:r>
        <w:t xml:space="preserve">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pPr/>
      <w:r>
        <w:rPr>
          <w:b/>
        </w:rPr>
        <w:t>POSSIBLE 2021:</w:t>
      </w:r>
      <w:r>
        <w:t xml:space="preserve"> Investigating direct and indirect globalization-based acculturation — https://doi.org/10.1016/j.ijintrel.2021.07.012</w:t>
      </w:r>
    </w:p>
    <w:p>
      <w:pPr/>
      <w:r>
        <w:rPr>
          <w:b/>
        </w:rPr>
        <w:t>Shared claim-specific concepts:</w:t>
      </w:r>
      <w:r>
        <w:t xml:space="preserve"> direct, indirect, associated; EU scope not established. This is a provisional connection, not an outcome finding.</w:t>
      </w:r>
    </w:p>
    <w:p>
      <w:pPr>
        <w:pStyle w:val="SourceNote"/>
      </w:pPr>
      <w:r>
        <w:rPr>
          <w:b/>
        </w:rPr>
        <w:t>Available abstract (not full text):</w:t>
      </w:r>
      <w:r>
        <w:t xml:space="preserve">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Climate Change and Glacier Reaction in the European Alps — https://doi.org/10.1093/acrefore/9780190228620.013.763</w:t>
      </w:r>
    </w:p>
    <w:p>
      <w:pPr/>
      <w:r>
        <w:rPr>
          <w:b/>
        </w:rPr>
        <w:t>Shared claim-specific concepts:</w:t>
      </w:r>
      <w:r>
        <w:t xml:space="preserve"> direct, climate, important, particular; EU scope visible. This is a provisional connection, not an outcome finding.</w:t>
      </w:r>
    </w:p>
    <w:p>
      <w:pPr>
        <w:pStyle w:val="SourceNote"/>
      </w:pPr>
      <w:r>
        <w:rPr>
          <w:b/>
        </w:rPr>
        <w:t>Available abstract (not full text):</w:t>
      </w:r>
      <w:r>
        <w:t xml:space="preserve">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pPr/>
      <w:r>
        <w:rPr>
          <w:b/>
        </w:rPr>
        <w:t>POSSIBLE 2020:</w:t>
      </w:r>
      <w:r>
        <w:t xml:space="preserve"> Investigating the direct and indirect effects of forest fragmentation on plant functional diversity — https://doi.org/10.1371/journal.pone.0235210</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886.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r>
        <w:rPr>
          <w:b/>
        </w:rPr>
        <w:t>POSSIBLE 2022:</w:t>
      </w:r>
      <w:r>
        <w:t xml:space="preserve"> Healthcare resource utilisation and medical costs for children with interstitial lung diseases (chILD) in Europe — https://doi.org/10.1136/thoraxjnl-2021-217751</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BACKGROUND: No data on healthcare utilisation and associated costs for the many rare entities of children's interstitial lung diseases (chILD) exist. This paper portrays healthcare utilisation structures among individuals with chILD, provides a pan-European estimate of a 3-month interval per-capita costs and delineates crucial cost drivers. METHODS: Based on longitudinal healthcare resource utilisation pattern of 445 children included in the Kids Lung Register diagnosed with chILD across 10 European countries, we delineated direct medical and non-medical costs of care per 3-month interval. Country-specific utilisation patterns were assessed with a children-tailored modification of the validated FIMA questionnaire and valued by German unit costs. Costs of care and their drivers were subsequently identified via gamma-distributed generalised linear regression models. RESULTS: During the 3 months prior to inclusion into the registry (baseline), the rate of hospital admissions and inpatient days was high. Unadjusted direct medical per capita costs (€19 818) exceeded indirect (€1 907) and direct non-medical costs (€1 125) by far. Country-specific total costs ranged from €8 713 in Italy to €28 788 in Poland. Highest expenses were caused by the disease categories 'diffuse parenchymal lung disease (DPLD)-diffuse developmental disorders' (€45 536) and 'DPLD-unclear in the non-neonate' (€</w:t>
      </w:r>
    </w:p>
    <w:p>
      <w:pPr/>
      <w:r>
        <w:rPr>
          <w:b/>
        </w:rPr>
        <w:t>POSSIBLE 2022:</w:t>
      </w:r>
      <w:r>
        <w:t xml:space="preserve"> Direct healthcare costs of Rome IV or Rome III ‐defined irritable bowel syndrome in the United Kingdom — https://doi.org/10.1111/apt.16939</w:t>
      </w:r>
    </w:p>
    <w:p>
      <w:pPr/>
      <w:r>
        <w:rPr>
          <w:b/>
        </w:rPr>
        <w:t>Shared claim-specific concepts:</w:t>
      </w:r>
      <w:r>
        <w:t xml:space="preserve"> direct, healthcare, billion; EU scope not established. This is a provisional connection, not an outcome finding.</w:t>
      </w:r>
    </w:p>
    <w:p>
      <w:pPr>
        <w:pStyle w:val="SourceNote"/>
      </w:pPr>
      <w:r>
        <w:rPr>
          <w:b/>
        </w:rPr>
        <w:t>Available abstract (not full text):</w:t>
      </w:r>
      <w:r>
        <w:t xml:space="preserve"> BACKGROUND: Previous studies have demonstrated a substantial economic impact of irritable bowel syndrome (IBS). AIMS: To provide contemporaneous estimates of direct healthcare costs of IBS in the United Kingdom. METHODS: We collected demographic, gastrointestinal and psychological symptoms, quality of life and healthcare usage data from adults with Rome IV or Rome III IBS in the United Kingdom. We calculated the mean annual direct healthcare costs of IBS per person and used contemporaneous IBS prevalence data, together with census data, to estimate annual direct costs of IBS. We also examined predictors of higher costs. RESULTS: The mean annual direct cost of IBS per person among 752 individuals with Rome IV IBS was £556.65 (SD £1023.92) and £474.16 (SD £897.86) for 995 individuals with Rome III IBS. We estimate the annual direct healthcare cost of IBS in the United Kingdom is £1.27 billion if the Rome IV criteria are used to define IBS, and £2.07 billion using Rome III. Among individuals with Rome IV IBS, mean annual costs were higher in those with opiate use (£907.90 vs £470.58, p &lt; 0.001), more severe symptoms (p &lt; 0.001 for trend), a shorter duration of IBS (1 year, £1227.14 vs &gt;5 years £501.60, p = 0.002), lower quality of life (p &lt; 0.001 for trend), and higher depression, somatisation and gastrointestinal symptom-specific anxiety scores (P &lt; 0.001 for trend for all). CONC</w:t>
      </w:r>
    </w:p>
    <w:p>
      <w:pPr/>
      <w:r>
        <w:rPr>
          <w:b/>
        </w:rPr>
        <w:t>POSSIBLE 2021:</w:t>
      </w:r>
      <w:r>
        <w:t xml:space="preserve"> Direct healthcare costs of lip, oral cavity and oropharyngeal cancer in Brazil — https://doi.org/10.1371/journal.pone.0246475</w:t>
      </w:r>
    </w:p>
    <w:p>
      <w:pPr/>
      <w:r>
        <w:rPr>
          <w:b/>
        </w:rPr>
        <w:t>Shared claim-specific concepts:</w:t>
      </w:r>
      <w:r>
        <w:t xml:space="preserve"> direct, healthcare, associated, million, spent, over; EU scope not established. This is a provisional connection, not an outcome finding.</w:t>
      </w:r>
    </w:p>
    <w:p>
      <w:pPr>
        <w:pStyle w:val="SourceNote"/>
      </w:pPr>
      <w:r>
        <w:rPr>
          <w:b/>
        </w:rPr>
        <w:t>Available abstract (not full text):</w:t>
      </w:r>
      <w:r>
        <w:t xml:space="preserve"> The efficiency of public policies includes the measurement of the health resources used and their associated costs. There is a lack of studies evaluating the economic impact of oral cancer (OC). This study aims to estimate the healthcare costs of OC in Brazil from 2008 to 2016. This is a partial economic evaluation using the gross costing top-down method, considering the direct healthcare costs related to outpatients, inpatients, intensive care units, and the number of procedures, from the perspective of the public health sector. The data were extracted from the Outpatient and Inpatient Information System of the National Health System, by diagnosis according to the 10th Revision of the International Classification of Diseases, according to sites of interest: C00 to C06, C09 and C10. The values were adjusted for annual accumulated inflation and expressed in 2018 I$ (1 I$ = R$2,044). Expenditure on OC healthcare in Brazil was I$495.6 million, which was composed of 50.8% (I$251.6 million) outpatient and 49.2% (I$244.0 million) inpatient healthcare. About 177,317 admissions and 6,224,236 outpatient procedures were registered. Chemotherapy and radiotherapy comprised the largest number of procedures (88.8%) and costs (94.9%). Most of the costs were spent on people over 50 years old (72.9%) and on males (75.6%). Direct healthcare costs in Brazil for OC are substantial. Outpatient proc</w:t>
      </w:r>
    </w:p>
    <w:p>
      <w:pPr/>
      <w:r>
        <w:rPr>
          <w:b/>
        </w:rPr>
        <w:t>POSSIBLE 2020:</w:t>
      </w:r>
      <w:r>
        <w:t xml:space="preserve"> Real‐world data for direct stage‐specific costs of melanoma healthcare — https://doi.org/10.1111/bjd.18896</w:t>
      </w:r>
    </w:p>
    <w:p>
      <w:pPr/>
      <w:r>
        <w:rPr>
          <w:b/>
        </w:rPr>
        <w:t>Shared claim-specific concepts:</w:t>
      </w:r>
      <w:r>
        <w:t xml:space="preserve"> direct, healthcare, population; EU scope visible. This is a provisional connection, not an outcome finding.</w:t>
      </w:r>
    </w:p>
    <w:p>
      <w:pPr>
        <w:pStyle w:val="SourceNote"/>
      </w:pPr>
      <w:r>
        <w:rPr>
          <w:b/>
        </w:rPr>
        <w:t>Available abstract (not full text):</w:t>
      </w:r>
      <w:r>
        <w:t xml:space="preserve"> Dear Editor, In Europe, melanoma is the fourth most common cancer diagnosed in young adults (20–45 years old).1 It also has one of the fastest‐growing incidence rates globally, and this trend is expected to continue in all European countries.2 Thus, and also due to the costly new treatment options available, the economic burden of this illness is expected to keep increasing as well.3 In times of limited resources, evidence of the cost of a disease should be among the main pillars supporting policymakers. Thus, we aimed to provide a detailed estimate of the real‐world, stage‐specific, direct healthcare costs of melanoma from the perspective of the Italian National Healthcare Service, to enable policymakers to draw comparisons and make decisions regarding the allocation of public resources in this era of promising, but expensive, novel pharmacological strategies. We considered 599 cases of melanoma diagnosed in 2015 in four provinces of the Veneto region. Melanomas of unknown thickness at diagnosis (39 patients) were disregarded. We considered the costs of delivering care to patients from the first suspicion of pathology until the end of the second year after the diagnosis, stratified by cost item and tumour–nodes–metastasis (TNM) stage of melanoma at diagnosis, in two ways. We calculated firstly, overall costs (including all the health expenditures of a given patient) and second</w:t>
      </w:r>
    </w:p>
    <w:p>
      <w:pPr/>
      <w:r>
        <w:rPr>
          <w:b/>
        </w:rPr>
        <w:t>POSSIBLE 2020:</w:t>
      </w:r>
      <w:r>
        <w:t xml:space="preserve"> Estimate of Burden and Direct Healthcare Cost of Infectious Waterborne Disease in the United States — https://doi.org/10.3201/eid2701.190676</w:t>
      </w:r>
    </w:p>
    <w:p>
      <w:pPr/>
      <w:r>
        <w:rPr>
          <w:b/>
        </w:rPr>
        <w:t>Shared claim-specific concepts:</w:t>
      </w:r>
      <w:r>
        <w:t xml:space="preserve"> direct, healthcare, billion, million; EU scope not established. This is a provisional connection, not an outcome finding.</w:t>
      </w:r>
    </w:p>
    <w:p>
      <w:pPr>
        <w:pStyle w:val="SourceNote"/>
      </w:pPr>
      <w:r>
        <w:rPr>
          <w:b/>
        </w:rPr>
        <w:t>Available abstract (not full text):</w:t>
      </w:r>
      <w:r>
        <w:t xml:space="preserve"> Provision of safe drinking water in the United States is a great public health achievement. However, new waterborne disease challenges have emerged (e.g., aging infrastructure, chlorine-tolerant and biofilm-related pathogens, increased recreational water use). Comprehensive estimates of the health burden for all water exposure routes (ingestion, contact, inhalation) and sources (drinking, recreational, environmental) are needed. We estimated total illnesses, emergency department (ED) visits, hospitalizations, deaths, and direct healthcare costs for 17 waterborne infectious diseases. About 7.15 million waterborne illnesses occur annually (95% credible interval [CrI] 3.88 million-12.0 million), results in 601,000 ED visits (95% CrI 364,000-866,000), 118,000 hospitalizations (95% CrI 86,800-150,000), and 6,630 deaths (95% CrI 4,520-8,870) and incurring US $3.33 billion (95% CrI 1.37 billion-8.77 billion) in direct healthcare costs. Otitis externa and norovirus infection were the most common illnesses. Most hospitalizations and deaths were caused by biofilm-associated pathogens (nontuberculous mycobacteria, Pseudomonas, Legionella), costing US $2.39 billion annually.</w:t>
      </w:r>
    </w:p>
    <w:p>
      <w:pPr/>
      <w:r>
        <w:rPr>
          <w:b/>
        </w:rPr>
        <w:t>POSSIBLE 2019:</w:t>
      </w:r>
      <w:r>
        <w:t xml:space="preserve"> Costs of irritable bowel syndrome in European countries with universal healthcare coverage: a meta-analysis. — https://doi.org/10.26355/eurrev_201904_17580</w:t>
      </w:r>
    </w:p>
    <w:p>
      <w:pPr/>
      <w:r>
        <w:rPr>
          <w:b/>
        </w:rPr>
        <w:t>Shared claim-specific concepts:</w:t>
      </w:r>
      <w:r>
        <w:t xml:space="preserve"> direct, healthcare, billion, population; EU scope visible. This is a provisional connection, not an outcome finding.</w:t>
      </w:r>
    </w:p>
    <w:p>
      <w:pPr>
        <w:pStyle w:val="SourceNote"/>
      </w:pPr>
      <w:r>
        <w:rPr>
          <w:b/>
        </w:rPr>
        <w:t>Available abstract (not full text):</w:t>
      </w:r>
      <w:r>
        <w:t xml:space="preserve"> OBJECTIVE: To provide an overall estimate of the direct, indirect and total costs of irritable bowel syndrome (IBS) for the adult population of the European countries with universal healthcare coverage. MATERIALS AND METHODS: We searched MedLine and Scopus databases (up to September 2018) to identify the European studies that evaluated the economic impact of IBS. Mean annual direct, indirect and total per-capita IBS costs were estimated using random-effect single-group meta-analyses of continuous data. All analyses were stratified by payer category (governments, insurance, societal), and the results were expressed as summary mean and 95% CI. RESULTS: A total of 24 studies were included in the meta-analyses. Only two studies evaluated IBS costs in Italy. The pooled summary of direct IBS per-capita cost, obtained from 23 European datasets (n=15,157), was €1837/year (95% CI: 1480-2195), with large differences across payers (from €1183 to €3358, in countries with publicly-funded and insurance-based health systems, respectively). The mean indirect cost, extracted from 13 datasets (n=3978), was €2314/year (95% CI: 1811-2817), again with wide differences across payers. Finally, the meta-analysis estimating the total annual cost, based upon 11 European datasets (n=2757), yielded a summary estimate of €2889/year (95% CI: 2318-3460) per patient, ranging from €1602 (insurance-based health</w:t>
      </w:r>
    </w:p>
    <w:p>
      <w:pPr/>
      <w:r>
        <w:rPr>
          <w:b/>
        </w:rPr>
        <w:t>POSSIBLE 2019:</w:t>
      </w:r>
      <w:r>
        <w:t xml:space="preserve"> Direct healthcare costs of spinal disorders in Brazil — https://doi.org/10.1007/s00038-019-01211-6</w:t>
      </w:r>
    </w:p>
    <w:p>
      <w:pPr/>
      <w:r>
        <w:rPr>
          <w:b/>
        </w:rPr>
        <w:t>Shared claim-specific concepts:</w:t>
      </w:r>
      <w:r>
        <w:t xml:space="preserve"> direct, healthcare; EU scope not established. This is a provisional connection, not an outcome finding.</w:t>
      </w:r>
    </w:p>
    <w:p>
      <w:pPr>
        <w:pStyle w:val="SourceNote"/>
      </w:pPr>
      <w:r>
        <w:rPr>
          <w:b/>
        </w:rPr>
        <w:t>Available abstract (not full text):</w:t>
      </w:r>
      <w:r>
        <w:t xml:space="preserve"> Unavailable</w:t>
      </w:r>
    </w:p>
    <w:p>
      <w:pPr/>
      <w:r>
        <w:rPr>
          <w:b/>
        </w:rPr>
        <w:t>POSSIBLE 2019:</w:t>
      </w:r>
      <w:r>
        <w:t xml:space="preserve"> Direct healthcare costs of sedentary behaviour in the UK — https://doi.org/10.1136/jech-2018-211758</w:t>
      </w:r>
    </w:p>
    <w:p>
      <w:pPr/>
      <w:r>
        <w:rPr>
          <w:b/>
        </w:rPr>
        <w:t>Shared claim-specific concepts:</w:t>
      </w:r>
      <w:r>
        <w:t xml:space="preserve"> direct, healthcare, associated, increases, billion, population; EU scope not established. This is a provisional connection, not an outcome finding.</w:t>
      </w:r>
    </w:p>
    <w:p>
      <w:pPr>
        <w:pStyle w:val="SourceNote"/>
      </w:pPr>
      <w:r>
        <w:rPr>
          <w:b/>
        </w:rPr>
        <w:t>Available abstract (not full text):</w:t>
      </w:r>
      <w:r>
        <w:t xml:space="preserve"> BACKGROUND: Growing evidence indicates that prolonged sedentary behaviour increases the risk of several chronic health conditions and all-cause mortality. Sedentary behaviour is prevalent among adults in the UK. Quantifying the costs associated with sedentary behaviour is an important step in the development of public health policy. METHODS: National Health Service (NHS) costs associated with prolonged sedentary behaviour (≥6 hours/day) were estimated over a 1-year period in 2016-2017 costs. We calculated a population attributable fraction (PAF) for five health outcomes (type 2 diabetes, cardiovascular disease [CVD], colon cancer, endometrial cancer and lung cancer). Adjustments were made for potential double-counting due to comorbidities. We also calculated the avoidable deaths due to prolonged sedentary behaviour using the PAF for all-cause mortality. RESULTS: The total NHS costs attributable to prolonged sedentary behaviour in the UK in 2016-2017 were £0.8 billion, which included expenditure on CVD (£424 million), type 2 diabetes (£281 million), colon cancer (£30 million), lung cancer (£19 million) and endometrial cancer (£7 million). After adjustment for potential double-counting, the estimated total was £0.7 billion. If prolonged sedentary behaviour was eliminated, 69 276 UK deaths might have been avoided in 2016. CONCLUSIONS: In this conservative estimate of direct health</w:t>
      </w:r>
    </w:p>
    <w:p>
      <w:pPr/>
      <w:r>
        <w:rPr>
          <w:b/>
        </w:rPr>
        <w:t>POSSIBLE 2018:</w:t>
      </w:r>
      <w:r>
        <w:t xml:space="preserve"> Direct healthcare cost of schizophrenia – European overview — https://doi.org/10.1016/j.eurpsy.2017.10.008</w:t>
      </w:r>
    </w:p>
    <w:p>
      <w:pPr/>
      <w:r>
        <w:rPr>
          <w:b/>
        </w:rPr>
        <w:t>Shared claim-specific concepts:</w:t>
      </w:r>
      <w:r>
        <w:t xml:space="preserve"> direct, healthcare, less; EU scope visible. This is a provisional connection, not an outcome finding.</w:t>
      </w:r>
    </w:p>
    <w:p>
      <w:pPr>
        <w:pStyle w:val="SourceNote"/>
      </w:pPr>
      <w:r>
        <w:rPr>
          <w:b/>
        </w:rPr>
        <w:t>Available abstract (not full text):</w:t>
      </w:r>
      <w:r>
        <w:t xml:space="preserve">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pPr>
        <w:pStyle w:val="Heading2"/>
      </w:pPr>
      <w:r>
        <w:t>887.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2024:</w:t>
      </w:r>
      <w:r>
        <w:t xml:space="preserve"> Groundwater stress in Europe—assessing uncertainties in future groundwater discharge alterations due to water abstractions and climate change — https://doi.org/10.3389/frwa.2024.1448625</w:t>
      </w:r>
    </w:p>
    <w:p>
      <w:pPr/>
      <w:r>
        <w:rPr>
          <w:b/>
        </w:rPr>
        <w:t>Shared claim-specific concepts:</w:t>
      </w:r>
      <w:r>
        <w:t xml:space="preserve"> due, climate, show; EU scope visible. This is a provisional connection, not an outcome finding.</w:t>
      </w:r>
    </w:p>
    <w:p>
      <w:pPr>
        <w:pStyle w:val="SourceNote"/>
      </w:pPr>
      <w:r>
        <w:rPr>
          <w:b/>
        </w:rPr>
        <w:t>Available abstract (not full text):</w:t>
      </w:r>
      <w:r>
        <w:t xml:space="preserve">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pPr/>
      <w:r>
        <w:rPr>
          <w:b/>
        </w:rPr>
        <w:t>POSSIBLE 2023:</w:t>
      </w:r>
      <w:r>
        <w:t xml:space="preserve"> Advanced mycotoxin control and decontamination techniques in view of an increased aflatoxin risk in Europe due to climate change — https://doi.org/10.3389/fmicb.2022.1085891</w:t>
      </w:r>
    </w:p>
    <w:p>
      <w:pPr/>
      <w:r>
        <w:rPr>
          <w:b/>
        </w:rPr>
        <w:t>Shared claim-specific concepts:</w:t>
      </w:r>
      <w:r>
        <w:t xml:space="preserve"> due, climate, factors, health, both; EU scope visible. This is a provisional connection, not an outcome finding.</w:t>
      </w:r>
    </w:p>
    <w:p>
      <w:pPr>
        <w:pStyle w:val="SourceNote"/>
      </w:pPr>
      <w:r>
        <w:rPr>
          <w:b/>
        </w:rPr>
        <w:t>Available abstract (not full text):</w:t>
      </w:r>
      <w:r>
        <w:t xml:space="preserve">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pPr/>
      <w:r>
        <w:rPr>
          <w:b/>
        </w:rPr>
        <w:t>POSSIBLE 2022:</w:t>
      </w:r>
      <w:r>
        <w:t xml:space="preserve"> Assessing the Projected Changes in European Air Stagnation due to Climate Change — https://doi.org/10.1175/jcli-d-22-0180.1</w:t>
      </w:r>
    </w:p>
    <w:p>
      <w:pPr/>
      <w:r>
        <w:rPr>
          <w:b/>
        </w:rPr>
        <w:t>Shared claim-specific concepts:</w:t>
      </w:r>
      <w:r>
        <w:t xml:space="preserve"> due, climate, air, pollution, health, weather; EU scope visible. This is a provisional connection, not an outcome finding.</w:t>
      </w:r>
    </w:p>
    <w:p>
      <w:pPr>
        <w:pStyle w:val="SourceNote"/>
      </w:pPr>
      <w:r>
        <w:rPr>
          <w:b/>
        </w:rPr>
        <w:t>Available abstract (not full text):</w:t>
      </w:r>
      <w:r>
        <w:t xml:space="preserve">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pPr/>
      <w:r>
        <w:rPr>
          <w:b/>
        </w:rPr>
        <w:t>POSSIBLE 2022:</w:t>
      </w:r>
      <w:r>
        <w:t xml:space="preserve"> The State of Dark Coniferous Forests on the East European Plain Due to Climate Change — https://doi.org/10.3390/life12111874</w:t>
      </w:r>
    </w:p>
    <w:p>
      <w:pPr/>
      <w:r>
        <w:rPr>
          <w:b/>
        </w:rPr>
        <w:t>Shared claim-specific concepts:</w:t>
      </w:r>
      <w:r>
        <w:t xml:space="preserve"> due, climate, factors, changing, significant; EU scope visible. This is a provisional connection, not an outcome finding.</w:t>
      </w:r>
    </w:p>
    <w:p>
      <w:pPr>
        <w:pStyle w:val="SourceNote"/>
      </w:pPr>
      <w:r>
        <w:rPr>
          <w:b/>
        </w:rPr>
        <w:t>Available abstract (not full text):</w:t>
      </w:r>
      <w:r>
        <w:t xml:space="preserve">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due, climate, other, air, pollution;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2021:</w:t>
      </w:r>
      <w:r>
        <w:t xml:space="preserve"> Predicted Aflatoxin B1 Increase in Europe Due to Climate Change: Actions and Reactions at Global Level — https://doi.org/10.3390/toxins13040292</w:t>
      </w:r>
    </w:p>
    <w:p>
      <w:pPr/>
      <w:r>
        <w:rPr>
          <w:b/>
        </w:rPr>
        <w:t>Shared claim-specific concepts:</w:t>
      </w:r>
      <w:r>
        <w:t xml:space="preserve"> due, climate, areas, health, both; EU scope visible. This is a provisional connection, not an outcome finding.</w:t>
      </w:r>
    </w:p>
    <w:p>
      <w:pPr>
        <w:pStyle w:val="SourceNote"/>
      </w:pPr>
      <w:r>
        <w:rPr>
          <w:b/>
        </w:rPr>
        <w:t>Available abstract (not full text):</w:t>
      </w:r>
      <w:r>
        <w:t xml:space="preserve">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pPr/>
      <w:r>
        <w:rPr>
          <w:b/>
        </w:rPr>
        <w:t>POSSIBLE 2020:</w:t>
      </w:r>
      <w:r>
        <w:t xml:space="preserve"> Campylobacter infections expected to increase due to climate change in Northern Europe — https://doi.org/10.1038/s41598-020-70593-y</w:t>
      </w:r>
    </w:p>
    <w:p>
      <w:pPr/>
      <w:r>
        <w:rPr>
          <w:b/>
        </w:rPr>
        <w:t>Shared claim-specific concepts:</w:t>
      </w:r>
      <w:r>
        <w:t xml:space="preserve"> due, climate, patterns, world, health, show; EU scope visible. This is a provisional connection, not an outcome finding.</w:t>
      </w:r>
    </w:p>
    <w:p>
      <w:pPr>
        <w:pStyle w:val="SourceNote"/>
      </w:pPr>
      <w:r>
        <w:rPr>
          <w:b/>
        </w:rPr>
        <w:t>Available abstract (not full text):</w:t>
      </w:r>
      <w:r>
        <w:t xml:space="preserve">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pPr/>
      <w:r>
        <w:rPr>
          <w:b/>
        </w:rPr>
        <w:t>POSSIBLE 2020:</w:t>
      </w:r>
      <w:r>
        <w:t xml:space="preserve"> Climate and air quality impacts due to mitigation of non-methane near-term climate forcers — https://doi.org/10.5194/acp-20-9641-2020</w:t>
      </w:r>
    </w:p>
    <w:p>
      <w:pPr/>
      <w:r>
        <w:rPr>
          <w:b/>
        </w:rPr>
        <w:t>Shared claim-specific concepts:</w:t>
      </w:r>
      <w:r>
        <w:t xml:space="preserve"> due, climate, other, air, significant, effect; EU scope not established. This is a provisional connection, not an outcome finding.</w:t>
      </w:r>
    </w:p>
    <w:p>
      <w:pPr>
        <w:pStyle w:val="SourceNote"/>
      </w:pPr>
      <w:r>
        <w:rPr>
          <w:b/>
        </w:rPr>
        <w:t>Available abstract (not full text):</w:t>
      </w:r>
      <w:r>
        <w:t xml:space="preserve">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pPr/>
      <w:r>
        <w:rPr>
          <w:b/>
        </w:rPr>
        <w:t>POSSIBLE 2019:</w:t>
      </w:r>
      <w:r>
        <w:t xml:space="preserve"> Changes to Land Area Used for Grain Maize Production in Central Europe due to Predicted Climate Change — https://doi.org/10.1155/2019/9168285</w:t>
      </w:r>
    </w:p>
    <w:p>
      <w:pPr/>
      <w:r>
        <w:rPr>
          <w:b/>
        </w:rPr>
        <w:t>Shared claim-specific concepts:</w:t>
      </w:r>
      <w:r>
        <w:t xml:space="preserve"> due, climate, other, conditions; EU scope visible. This is a provisional connection, not an outcome finding.</w:t>
      </w:r>
    </w:p>
    <w:p>
      <w:pPr>
        <w:pStyle w:val="SourceNote"/>
      </w:pPr>
      <w:r>
        <w:rPr>
          <w:b/>
        </w:rPr>
        <w:t>Available abstract (not full text):</w:t>
      </w:r>
      <w:r>
        <w:t xml:space="preserve">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888.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r>
        <w:rPr>
          <w:b/>
        </w:rPr>
        <w:t>POSSIBLE 2020:</w:t>
      </w:r>
      <w:r>
        <w:t xml:space="preserve"> Smart Flexible Electronics‐Integrated Wound Dressing for Real‐Time Monitoring and On‐Demand Treatment of Infected Wounds — https://doi.org/10.1002/advs.201902673</w:t>
      </w:r>
    </w:p>
    <w:p>
      <w:pPr/>
      <w:r>
        <w:rPr>
          <w:b/>
        </w:rPr>
        <w:t>Shared claim-specific concepts:</w:t>
      </w:r>
      <w:r>
        <w:t xml:space="preserve"> here, developing; EU scope not established. This is a provisional connection, not an outcome finding.</w:t>
      </w:r>
    </w:p>
    <w:p>
      <w:pPr>
        <w:pStyle w:val="SourceNote"/>
      </w:pPr>
      <w:r>
        <w:rPr>
          <w:b/>
        </w:rPr>
        <w:t>Available abstract (not full text):</w:t>
      </w:r>
      <w:r>
        <w:t xml:space="preserve">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pPr/>
      <w:r>
        <w:rPr>
          <w:b/>
        </w:rPr>
        <w:t>POSSIBLE 2019:</w:t>
      </w:r>
      <w:r>
        <w:t xml:space="preserve"> Travel demand modeling for developing countries — https://doi.org/10.25669/e9jn-xt5w</w:t>
      </w:r>
    </w:p>
    <w:p>
      <w:pPr/>
      <w:r>
        <w:rPr>
          <w:b/>
        </w:rPr>
        <w:t>Shared claim-specific concepts:</w:t>
      </w:r>
      <w:r>
        <w:t xml:space="preserve"> significant, developing, primarily; EU scope not established. This is a provisional connection, not an outcome finding.</w:t>
      </w:r>
    </w:p>
    <w:p>
      <w:pPr>
        <w:pStyle w:val="SourceNote"/>
      </w:pPr>
      <w:r>
        <w:rPr>
          <w:b/>
        </w:rPr>
        <w:t>Available abstract (not full text):</w:t>
      </w:r>
      <w:r>
        <w:t xml:space="preserve">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pPr/>
      <w:r>
        <w:rPr>
          <w:b/>
        </w:rPr>
        <w:t>POSSIBLE 2019:</w:t>
      </w:r>
      <w:r>
        <w:t xml:space="preserve"> Meat Supply and Demand in Developing Countries: Past Trends and Projections to 2000 — https://doi.org/10.1201/9780429307225-2</w:t>
      </w:r>
    </w:p>
    <w:p>
      <w:pPr/>
      <w:r>
        <w:rPr>
          <w:b/>
        </w:rPr>
        <w:t>Shared claim-specific concepts:</w:t>
      </w:r>
      <w:r>
        <w:t xml:space="preserve"> here, significant, developing, rise, consumption; EU scope not established. This is a provisional connection, not an outcome finding.</w:t>
      </w:r>
    </w:p>
    <w:p>
      <w:pPr>
        <w:pStyle w:val="SourceNote"/>
      </w:pPr>
      <w:r>
        <w:rPr>
          <w:b/>
        </w:rPr>
        <w:t>Available abstract (not full text):</w:t>
      </w:r>
      <w:r>
        <w:t xml:space="preserve">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889.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2022:</w:t>
      </w:r>
      <w:r>
        <w:t xml:space="preserve"> Spatiotemporal Variation in Emotional Responses to 2017 Terrorist Attacks in London Using Twitter Data — https://doi.org/10.57709/12007502</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pPr/>
      <w:r>
        <w:rPr>
          <w:b/>
        </w:rPr>
        <w:t>POSSIBLE 2022:</w:t>
      </w:r>
      <w:r>
        <w:t xml:space="preserve"> Psychosocial care responses to terrorist attacks: a country case study of Norway, France and Belgium — https://doi.org/10.1186/s12913-022-07691-2</w:t>
      </w:r>
    </w:p>
    <w:p>
      <w:pPr/>
      <w:r>
        <w:rPr>
          <w:b/>
        </w:rPr>
        <w:t>Shared claim-specific concepts:</w:t>
      </w:r>
      <w:r>
        <w:t xml:space="preserve"> terrorist, attacks, throughout, approach, long-term; EU scope visible. This is a provisional connection, not an outcome finding.</w:t>
      </w:r>
    </w:p>
    <w:p>
      <w:pPr>
        <w:pStyle w:val="SourceNote"/>
      </w:pPr>
      <w:r>
        <w:rPr>
          <w:b/>
        </w:rPr>
        <w:t>Available abstract (not full text):</w:t>
      </w:r>
      <w:r>
        <w:t xml:space="preserve">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pPr/>
      <w:r>
        <w:rPr>
          <w:b/>
        </w:rPr>
        <w:t>POSSIBLE 2021:</w:t>
      </w:r>
      <w:r>
        <w:t xml:space="preserve"> Media coverage of terrorist attacks in London in 2017: Comparison of news portals Aktuálně.cz and The Guardian — https://openalex.org/W7135787987</w:t>
      </w:r>
    </w:p>
    <w:p>
      <w:pPr/>
      <w:r>
        <w:rPr>
          <w:b/>
        </w:rPr>
        <w:t>Shared claim-specific concepts:</w:t>
      </w:r>
      <w:r>
        <w:t xml:space="preserve"> terrorist, attacks, london; EU scope not established. This is a provisional connection, not an outcome finding.</w:t>
      </w:r>
    </w:p>
    <w:p>
      <w:pPr>
        <w:pStyle w:val="SourceNote"/>
      </w:pPr>
      <w:r>
        <w:rPr>
          <w:b/>
        </w:rPr>
        <w:t>Available abstract (not full text):</w:t>
      </w:r>
      <w:r>
        <w:t xml:space="preserve">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pPr/>
      <w:r>
        <w:rPr>
          <w:b/>
        </w:rPr>
        <w:t>POSSIBLE 2021:</w:t>
      </w:r>
      <w:r>
        <w:t xml:space="preserve"> Analyzing Canadian PM Justin Trudeau’s Speech about Terrorist Attack on a Muslim Family in Ontario’s London: A Critical Perspective — https://doi.org/10.32996/ijls.2021.1.2.2</w:t>
      </w:r>
    </w:p>
    <w:p>
      <w:pPr/>
      <w:r>
        <w:rPr>
          <w:b/>
        </w:rPr>
        <w:t>Shared claim-specific concepts:</w:t>
      </w:r>
      <w:r>
        <w:t xml:space="preserve"> terrorist, london, approach, practice, levels, about; EU scope not established. This is a provisional connection, not an outcome finding.</w:t>
      </w:r>
    </w:p>
    <w:p>
      <w:pPr>
        <w:pStyle w:val="SourceNote"/>
      </w:pPr>
      <w:r>
        <w:rPr>
          <w:b/>
        </w:rPr>
        <w:t>Available abstract (not full text):</w:t>
      </w:r>
      <w:r>
        <w:t xml:space="preserve">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pPr/>
      <w:r>
        <w:rPr>
          <w:b/>
        </w:rPr>
        <w:t>POSSIBLE 2021:</w:t>
      </w:r>
      <w:r>
        <w:t xml:space="preserve"> Getting under the Skin: The Impact of Terrorist Attacks on Native and Immigrant Sentiment — https://doi.org/10.1093/sf/soab135</w:t>
      </w:r>
    </w:p>
    <w:p>
      <w:pPr/>
      <w:r>
        <w:rPr>
          <w:b/>
        </w:rPr>
        <w:t>Shared claim-specific concepts:</w:t>
      </w:r>
      <w:r>
        <w:t xml:space="preserve"> terrorist, attacks, understanding, little; EU scope visible. This is a provisional connection, not an outcome finding.</w:t>
      </w:r>
    </w:p>
    <w:p>
      <w:pPr>
        <w:pStyle w:val="SourceNote"/>
      </w:pPr>
      <w:r>
        <w:rPr>
          <w:b/>
        </w:rPr>
        <w:t>Available abstract (not full text):</w:t>
      </w:r>
      <w:r>
        <w:t xml:space="preserve">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pPr/>
      <w:r>
        <w:rPr>
          <w:b/>
        </w:rPr>
        <w:t>POSSIBLE 2020:</w:t>
      </w:r>
      <w:r>
        <w:t xml:space="preserve"> Space-Time Surveillance of Negative Emotions after Consecutive Terrorist Attacks in London — https://doi.org/10.3390/ijerph17114000</w:t>
      </w:r>
    </w:p>
    <w:p>
      <w:pPr/>
      <w:r>
        <w:rPr>
          <w:b/>
        </w:rPr>
        <w:t>Shared claim-specific concepts:</w:t>
      </w:r>
      <w:r>
        <w:t xml:space="preserve"> terrorist, attacks, london, levels, about, attention; EU scope not established. This is a provisional connection, not an outcome finding.</w:t>
      </w:r>
    </w:p>
    <w:p>
      <w:pPr>
        <w:pStyle w:val="SourceNote"/>
      </w:pPr>
      <w:r>
        <w:rPr>
          <w:b/>
        </w:rPr>
        <w:t>Available abstract (not full text):</w:t>
      </w:r>
      <w:r>
        <w:t xml:space="preserve">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890.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2021:</w:t>
      </w:r>
      <w:r>
        <w:t xml:space="preserve"> Global Impact of COVID-19 Restrictions on the Surface Concentrations of Nitrogen Dioxide and Ozone — https://openalex.org/W3087582936</w:t>
      </w:r>
    </w:p>
    <w:p>
      <w:pPr/>
      <w:r>
        <w:rPr>
          <w:b/>
        </w:rPr>
        <w:t>Shared claim-specific concepts:</w:t>
      </w:r>
      <w:r>
        <w:t xml:space="preserve"> total, nitrogen, decrease, due, reduced; EU scope visible. This is a provisional connection, not an outcome finding.</w:t>
      </w:r>
    </w:p>
    <w:p>
      <w:pPr>
        <w:pStyle w:val="SourceNote"/>
      </w:pPr>
      <w:r>
        <w:rPr>
          <w:b/>
        </w:rPr>
        <w:t>Available abstract (not full text):</w:t>
      </w:r>
      <w:r>
        <w:t xml:space="preserve">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pPr/>
      <w:r>
        <w:rPr>
          <w:b/>
        </w:rPr>
        <w:t>POSSIBLE 2021:</w:t>
      </w:r>
      <w:r>
        <w:t xml:space="preserve"> Response of chlorophyll a to total nitrogen and total phosphorus concentrations in lotic ecosystems: a systematic review — https://doi.org/10.1186/s13750-021-00238-8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environmental stressor across the globe. In this systematic review, we compiled and synthesized literature on sestonic and benthic chlorophyll a (chl-a) responses to total nitrogen (TN) and total phosphorus (TP) concentrations in the water column in streams and rivers to provide a state-of-the-science summary of nutrient impacts on these endpoints. This review was motivated by the need for comprehensive information on stressor-response relationships for the most common nutrient and biotic response measures used by state-level environmental managers in the United States to assess eutrophication of lotic ecosystems and support environmental decision making. Methods Searches for peer-reviewed and non-peer-reviewed articles were conducted using bibliographic databases, specialist websites, and search engines. These returns were supplemented with citation mapping and requests for material from experts. Articles were screened for relevance using pre-determined eligibility criteria, and risk of bias was evaluated for each included article based on study type-specific criteria. Narrative summaries and meta-analysis were used to evaluate four primary stressor-response relationships: TN-benthic chl-a, TP-benthic chl-a, TN-sestonic chl-a, and TP-sestonic chl-a. Potential</w:t>
      </w:r>
    </w:p>
    <w:p>
      <w:pPr/>
      <w:r>
        <w:rPr>
          <w:b/>
        </w:rPr>
        <w:t>POSSIBLE 2020:</w:t>
      </w:r>
      <w:r>
        <w:t xml:space="preserve"> Nitrogen Dioxide (NO2) Pollution Monitoring with Sentinel-5P Satellite Imagery over Europe during the Coronavirus Pandemic Outbreak — https://doi.org/10.3390/rs12213575</w:t>
      </w:r>
    </w:p>
    <w:p>
      <w:pPr/>
      <w:r>
        <w:rPr>
          <w:b/>
        </w:rPr>
        <w:t>Shared claim-specific concepts:</w:t>
      </w:r>
      <w:r>
        <w:t xml:space="preserve"> nitrogen, decrease, based; EU scope visible. This is a provisional connection, not an outcome finding.</w:t>
      </w:r>
    </w:p>
    <w:p>
      <w:pPr>
        <w:pStyle w:val="SourceNote"/>
      </w:pPr>
      <w:r>
        <w:rPr>
          <w:b/>
        </w:rPr>
        <w:t>Available abstract (not full text):</w:t>
      </w:r>
      <w:r>
        <w:t xml:space="preserve"> Nitrogen dioxide (NO2) is one of the main air quality pollutants of concern in many urban and industrial areas worldwide, and particularly in the European region, where in 2017 almost 20 countries exceeded the NO2 annual limit values imposed by the European Commission Directive 2008/50/EC (EEA, 2019). NO2 pollution monitoring and regulation is a necessary task to help decision makers to search for a sustainable solution for environmental quality and population health status improvement. In this study, we propose a comparative analysis of the tropospheric NO2 column spatial configuration over Europe between similar periods in 2019 and 2020, based on the ESA Copernicus Sentinel-5P products. The results highlight the NO2 pollution dynamics over the abrupt transition from a normal condition situation to the COVID-19 outbreak context, characterized by a short-time decrease of traffic intensities and industrial activities, revealing remarkable tropospheric NO2 column number density decreases even of 85% in some of the European big cities. The validation approach of the satellite-derived data, based on a cross-correlation analysis with independent data from ground-based observations, provided encouraging values of the correlation coefficients (R2), ranging between 0.5 and 0.75 in different locations. The remarkable decrease of NO2 pollution over Europe during the COVID-19 lockdown is </w:t>
      </w:r>
    </w:p>
    <w:p>
      <w:pPr/>
      <w:r>
        <w:rPr>
          <w:b/>
        </w:rPr>
        <w:t>POSSIBLE 2020:</w:t>
      </w:r>
      <w:r>
        <w:t xml:space="preserve"> Nitrogen Surplus—A Unified Indicator for Water Pollution in Europe? — https://doi.org/10.3390/w12041197</w:t>
      </w:r>
    </w:p>
    <w:p>
      <w:pPr/>
      <w:r>
        <w:rPr>
          <w:b/>
        </w:rPr>
        <w:t>Shared claim-specific concepts:</w:t>
      </w:r>
      <w:r>
        <w:t xml:space="preserve"> nitrogen, well, management; EU scope visible. This is a provisional connection, not an outcome finding.</w:t>
      </w:r>
    </w:p>
    <w:p>
      <w:pPr>
        <w:pStyle w:val="SourceNote"/>
      </w:pPr>
      <w:r>
        <w:rPr>
          <w:b/>
        </w:rPr>
        <w:t>Available abstract (not full text):</w:t>
      </w:r>
      <w:r>
        <w:t xml:space="preserve">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pPr/>
      <w:r>
        <w:rPr>
          <w:b/>
        </w:rPr>
        <w:t>POSSIBLE 2019:</w:t>
      </w:r>
      <w:r>
        <w:t xml:space="preserve"> Effects of anthropogenic nitrogen discharge on dissolved inorganic nitrogen transport in global rivers — https://doi.org/10.1111/gcb.14570</w:t>
      </w:r>
    </w:p>
    <w:p>
      <w:pPr/>
      <w:r>
        <w:rPr>
          <w:b/>
        </w:rPr>
        <w:t>Shared claim-specific concepts:</w:t>
      </w:r>
      <w:r>
        <w:t xml:space="preserve"> total, nitrogen, based; EU scope visible. This is a provisional connection, not an outcome finding.</w:t>
      </w:r>
    </w:p>
    <w:p>
      <w:pPr>
        <w:pStyle w:val="SourceNote"/>
      </w:pPr>
      <w:r>
        <w:rPr>
          <w:b/>
        </w:rPr>
        <w:t>Available abstract (not full text):</w:t>
      </w:r>
      <w:r>
        <w:t xml:space="preserve"> Excess nutrients from fertilizer application, pollution discharge, and water regulations outflow through rivers from lands to oceans, seriously impacting coastal ecosystems. A reasonable representation of these processes in land surface models and River Transport Models (RTMs) is very important for understanding human-environment interactions. In this study, the schemes of riverine dissolved inorganic nitrogen (DIN) transport and human activities including nitrogen discharge and water regulation, were synchronously incorporated into a land surface model coupled with a RTM. The effects of anthropogenic nitrogen discharge on the DIN transport in rivers were studied based on simulations of the period 1991-2010 throughout the entire world, conducted using the developed model, which had a spatial resolution of about 1° for land processes and 0.5° for river transport, and data on fertilizer application, point source pollution, and water use. Our results showed that rivers in western Europe and eastern China were seriously polluted, on average, at a rate of 5,000-15,000 tons per year. In the Yangtze River Basin, the amount of point source pollution in 2010 was about four times more than that in 1991, while the amount of fertilizer used in 2010 doubled, which resulted in the increased riverine DIN levels. Further comparisons suggested that the riverine DIN in the USA was affected prima</w:t>
      </w:r>
    </w:p>
    <w:p>
      <w:pPr/>
      <w:r>
        <w:rPr>
          <w:b/>
        </w:rPr>
        <w:t>POSSIBLE 2017:</w:t>
      </w:r>
      <w:r>
        <w:t xml:space="preserve"> Response of chlorophyll a to total nitrogen and total phosphorus concentrations in lotic ecosystems: a systematic review protocol — https://doi.org/10.1186/s13750-017-0097-8</w:t>
      </w:r>
    </w:p>
    <w:p>
      <w:pPr/>
      <w:r>
        <w:rPr>
          <w:b/>
        </w:rPr>
        <w:t>Shared claim-specific concepts:</w:t>
      </w:r>
      <w:r>
        <w:t xml:space="preserve"> total, nitrogen, well, management; EU scope not established. This is a provisional connection, not an outcome finding.</w:t>
      </w:r>
    </w:p>
    <w:p>
      <w:pPr>
        <w:pStyle w:val="SourceNote"/>
      </w:pPr>
      <w:r>
        <w:rPr>
          <w:b/>
        </w:rPr>
        <w:t>Available abstract (not full text):</w:t>
      </w:r>
      <w:r>
        <w:t xml:space="preserve"> Abstract Background Eutrophication of freshwater ecosystems resulting from nitrogen and phosphorus pollution is a major stressor across the globe. Despite recognition by scientists and stakeholders of the problems of nutrient pollution, rigorous synthesis of scientific evidence is still needed to inform nutrient-related management decisions, especially in streams and rivers. Nutrient stressor-response relationships are complicated by multiple interacting environmental factors, complex and indirect causal pathways involving diverse biotic assemblages and food web compartments, legacy (historic) nutrient sources such as agricultural sediments, and the naturally high spatiotemporal variability of lotic ecosystems. Determining nutrient levels at which ecosystems are affected is a critical first step for identifying, managing, and restoring aquatic resources impaired by eutrophication and maintaining currently unimpaired resources. The systematic review outlined in this protocol will compile and synthesize literature on the response of chlorophyll a to nutrients in streams, providing a state-of-the-science body of evidence to assess nutrient impacts to one of the most widely-used measures of eutrophication. This review will address two questions: “What is the response of chlorophyll a to total nitrogen and total phosphorus concentrations in lotic ecosystems?” and “How are these rela</w:t>
      </w:r>
    </w:p>
    <w:p>
      <w:pPr/>
      <w:r>
        <w:rPr>
          <w:b/>
        </w:rPr>
        <w:t>POSSIBLE 2017:</w:t>
      </w:r>
      <w:r>
        <w:t xml:space="preserve"> Global deposition of total reactive nitrogen oxides from 1996 to 2014 constrained with satellite observations of NO 2 columns — https://doi.org/10.5194/acp-17-10071-2017</w:t>
      </w:r>
    </w:p>
    <w:p>
      <w:pPr/>
      <w:r>
        <w:rPr>
          <w:b/>
        </w:rPr>
        <w:t>Shared claim-specific concepts:</w:t>
      </w:r>
      <w:r>
        <w:t xml:space="preserve"> total, nitrogen, parts; EU scope visible. This is a provisional connection, not an outcome finding.</w:t>
      </w:r>
    </w:p>
    <w:p>
      <w:pPr>
        <w:pStyle w:val="SourceNote"/>
      </w:pPr>
      <w:r>
        <w:rPr>
          <w:b/>
        </w:rPr>
        <w:t>Available abstract (not full text):</w:t>
      </w:r>
      <w:r>
        <w:t xml:space="preserve"> Abstract. Reactive nitrogen oxides (NOy) are a major constituent of the nitrogen deposited from the atmosphere, but observational constraints on their deposition are limited by poor or nonexistent measurement coverage in many parts of the world. Here we apply NO2 observations from multiple satellite instruments (GOME, SCIAMACHY, and GOME-2) to constrain the global deposition of NOy over the last 2 decades. We accomplish this by producing top-down estimates of NOx emissions from inverse modeling of satellite NO2 columns over 1996–2014, and including these emissions in the GEOS-Chem chemical transport model to simulate chemistry, transport, and deposition of NOy. Our estimates of long-term mean wet nitrate (NO3−) deposition are highly consistent with available measurements in North America, Europe, and East Asia combined (r = 0.83, normalized mean bias = −7 %, N = 136). Likewise, our calculated trends in wet NO3− deposition are largely consistent with the measurements, with 129 of the 136 gridded model–data pairs sharing overlapping 95 % confidence intervals. We find that global mean NOy deposition over 1996–2014 is 56.0 Tg N yr−1, with a minimum in 2006 of 50.5 Tg N and a maximum in 2012 of 60.8 Tg N. Regional trends are large, with opposing signs in different parts of the world. Over 1996 to 2014, NOy deposition decreased by up to 60 % in eastern North America, doubled in regio</w:t>
      </w:r>
    </w:p>
    <w:p>
      <w:pPr/>
      <w:r>
        <w:rPr>
          <w:b/>
        </w:rPr>
        <w:t>POSSIBLE 2016:</w:t>
      </w:r>
      <w:r>
        <w:t xml:space="preserve"> Effect of climate data on simulated carbon and nitrogen balances for Europe — https://doi.org/10.1002/2015jg003216</w:t>
      </w:r>
    </w:p>
    <w:p>
      <w:pPr/>
      <w:r>
        <w:rPr>
          <w:b/>
        </w:rPr>
        <w:t>Shared claim-specific concepts:</w:t>
      </w:r>
      <w:r>
        <w:t xml:space="preserve"> total, nitrogen, based, higher; EU scope visible. This is a provisional connection, not an outcome finding.</w:t>
      </w:r>
    </w:p>
    <w:p>
      <w:pPr>
        <w:pStyle w:val="SourceNote"/>
      </w:pPr>
      <w:r>
        <w:rPr>
          <w:b/>
        </w:rPr>
        <w:t>Available abstract (not full text):</w:t>
      </w:r>
      <w:r>
        <w:t xml:space="preserve"> Abstract In this study, we systematically assess the spatial variability in carbon and nitrogen balance simulations related to the choice of global circulation models (GCMs), representative concentration pathways (RCPs), spatial resolutions, and the downscaling methods used as calculated with LPJ‐GUESS. We employed a complete factorial design and performed 24 simulations for Europe with different climate input data sets and different combinations of these four factors. Our results reveal that the variability in simulated output in Europe is moderate with 35.6%–93.5% of the total variability being common among all combinations of factors. The spatial resolution is the most important factor among the examined factors, explaining 1.5%–10.7% of the total variability followed by GCMs (0.3%–7.6%), RCPs (0%–6.3%), and downscaling methods (0.1%–4.6%). The higher‐order interactions effect that captures nonlinear relations between the factors and random effects is pronounced and accounts for 1.6%–45.8% to the total variability. The most distinct hot spots of variability include the mountain ranges in North Scandinavia and the Alps, and the Iberian Peninsula. Based on our findings, we advise to conduct the application of models such as LPJ‐GUESS at a reasonably high spatial resolution which is supported by the model structure. There is no notable gain in simulations of ecosystem carbon an</w:t>
      </w:r>
    </w:p>
    <w:p>
      <w:pPr>
        <w:pStyle w:val="Heading2"/>
      </w:pPr>
      <w:r>
        <w:t>891.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Quantifying the role of the large-scale circulation on European summer precipitation change — https://doi.org/10.1007/s00382-022-06250-z</w:t>
      </w:r>
    </w:p>
    <w:p>
      <w:pPr/>
      <w:r>
        <w:rPr>
          <w:b/>
        </w:rPr>
        <w:t>Shared claim-specific concepts:</w:t>
      </w:r>
      <w:r>
        <w:t xml:space="preserve"> quantify, climate; EU scope visible. This is a provisional connection, not an outcome finding.</w:t>
      </w:r>
    </w:p>
    <w:p>
      <w:pPr>
        <w:pStyle w:val="SourceNote"/>
      </w:pPr>
      <w:r>
        <w:rPr>
          <w:b/>
        </w:rPr>
        <w:t>Available abstract (not full text):</w:t>
      </w:r>
      <w:r>
        <w:t xml:space="preserve">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relevant;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2021:</w:t>
      </w:r>
      <w:r>
        <w:t xml:space="preserve"> Air traffic and contrail changes over Europe during COVID-19: a model study — https://doi.org/10.5194/acp-21-7429-2021</w:t>
      </w:r>
    </w:p>
    <w:p>
      <w:pPr/>
      <w:r>
        <w:rPr>
          <w:b/>
        </w:rPr>
        <w:t>Shared claim-specific concepts:</w:t>
      </w:r>
      <w:r>
        <w:t xml:space="preserve"> air, climate, reference; EU scope visible. This is a provisional connection, not an outcome finding.</w:t>
      </w:r>
    </w:p>
    <w:p>
      <w:pPr>
        <w:pStyle w:val="SourceNote"/>
      </w:pPr>
      <w:r>
        <w:rPr>
          <w:b/>
        </w:rPr>
        <w:t>Available abstract (not full text):</w:t>
      </w:r>
      <w:r>
        <w:t xml:space="preserve">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policies;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892.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2019:</w:t>
      </w:r>
      <w:r>
        <w:t xml:space="preserve"> Why do people seek knowledge? Tracing factors that affect knowledge seeking intention — https://doi.org/10.1108/vjikms-04-2019-0059</w:t>
      </w:r>
    </w:p>
    <w:p>
      <w:pPr/>
      <w:r>
        <w:rPr>
          <w:b/>
        </w:rPr>
        <w:t>Shared claim-specific concepts:</w:t>
      </w:r>
      <w:r>
        <w:t xml:space="preserve"> purpose, seeks, used, understand, implications; EU scope not established. This is a provisional connection, not an outcome finding.</w:t>
      </w:r>
    </w:p>
    <w:p>
      <w:pPr>
        <w:pStyle w:val="SourceNote"/>
      </w:pPr>
      <w:r>
        <w:rPr>
          <w:b/>
        </w:rPr>
        <w:t>Available abstract (not full text):</w:t>
      </w:r>
      <w:r>
        <w:t xml:space="preserve">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pPr/>
      <w:r>
        <w:rPr>
          <w:b/>
        </w:rPr>
        <w:t>POSSIBLE 2019:</w:t>
      </w:r>
      <w:r>
        <w:t xml:space="preserve"> Using the Theory of Planned Behavior to Understand Factors Influencing South Asian Consumers’ Intention to Seek Pharmacist-Provided Medication Therapy Management Services — https://doi.org/10.3390/pharmacy7030088</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pPr/>
      <w:r>
        <w:rPr>
          <w:b/>
        </w:rPr>
        <w:t>POSSIBLE 2017:</w:t>
      </w:r>
      <w:r>
        <w:t xml:space="preserve"> Purposing: How Purpose Develops Self-Organizing Capacities — https://doi.org/10.5465/ambpp.2017.17754abstract</w:t>
      </w:r>
    </w:p>
    <w:p>
      <w:pPr/>
      <w:r>
        <w:rPr>
          <w:b/>
        </w:rPr>
        <w:t>Shared claim-specific concepts:</w:t>
      </w:r>
      <w:r>
        <w:t xml:space="preserve"> purpose, seeks, understand; EU scope not established. This is a provisional connection, not an outcome finding.</w:t>
      </w:r>
    </w:p>
    <w:p>
      <w:pPr>
        <w:pStyle w:val="SourceNote"/>
      </w:pPr>
      <w:r>
        <w:rPr>
          <w:b/>
        </w:rPr>
        <w:t>Available abstract (not full text):</w:t>
      </w:r>
      <w:r>
        <w:t xml:space="preserve">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pPr/>
      <w:r>
        <w:rPr>
          <w:b/>
        </w:rPr>
        <w:t>POSSIBLE 2017:</w:t>
      </w:r>
      <w:r>
        <w:t xml:space="preserve"> Factors that influence the use of the Internet for job-seeking purposes amongst a sample of final-year students in the Eastern Cape province of South Africa — https://doi.org/10.4102/sajhrm.v15i0.790</w:t>
      </w:r>
    </w:p>
    <w:p>
      <w:pPr/>
      <w:r>
        <w:rPr>
          <w:b/>
        </w:rPr>
        <w:t>Shared claim-specific concepts:</w:t>
      </w:r>
      <w:r>
        <w:t xml:space="preserve"> purpose, used, understand, implications; EU scope not established. This is a provisional connection, not an outcome finding.</w:t>
      </w:r>
    </w:p>
    <w:p>
      <w:pPr>
        <w:pStyle w:val="SourceNote"/>
      </w:pPr>
      <w:r>
        <w:rPr>
          <w:b/>
        </w:rPr>
        <w:t>Available abstract (not full text):</w:t>
      </w:r>
      <w:r>
        <w:t xml:space="preserve">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pPr/>
      <w:r>
        <w:rPr>
          <w:b/>
        </w:rPr>
        <w:t>POSSIBLE 2016:</w:t>
      </w:r>
      <w:r>
        <w:t xml:space="preserve"> On Purpose: Motivational and Contextual Predictors of Purpose and Positive Engagement Among Urban-Residing, African American Youth. — https://openalex.org/W2753589041</w:t>
      </w:r>
    </w:p>
    <w:p>
      <w:pPr/>
      <w:r>
        <w:rPr>
          <w:b/>
        </w:rPr>
        <w:t>Shared claim-specific concepts:</w:t>
      </w:r>
      <w:r>
        <w:t xml:space="preserve"> purpose, used, context; EU scope not established. This is a provisional connection, not an outcome finding.</w:t>
      </w:r>
    </w:p>
    <w:p>
      <w:pPr>
        <w:pStyle w:val="SourceNote"/>
      </w:pPr>
      <w:r>
        <w:rPr>
          <w:b/>
        </w:rPr>
        <w:t>Available abstract (not full text):</w:t>
      </w:r>
      <w:r>
        <w:t xml:space="preserve">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893.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r>
        <w:rPr>
          <w:b/>
        </w:rPr>
        <w:t>POSSIBLE 2021:</w:t>
      </w:r>
      <w:r>
        <w:t xml:space="preserve"> Roadmap on digital holography [Invited] — https://doi.org/10.1364/oe.435915</w:t>
      </w:r>
    </w:p>
    <w:p>
      <w:pPr/>
      <w:r>
        <w:rPr>
          <w:b/>
        </w:rPr>
        <w:t>Shared claim-specific concepts:</w:t>
      </w:r>
      <w:r>
        <w:t xml:space="preserve"> invited, experts, vision; EU scope not established. This is a provisional connection, not an outcome finding.</w:t>
      </w:r>
    </w:p>
    <w:p>
      <w:pPr>
        <w:pStyle w:val="SourceNote"/>
      </w:pPr>
      <w:r>
        <w:rPr>
          <w:b/>
        </w:rPr>
        <w:t>Available abstract (not full text):</w:t>
      </w:r>
      <w:r>
        <w:t xml:space="preserve">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pPr/>
      <w:r>
        <w:rPr>
          <w:b/>
        </w:rPr>
        <w:t>POSSIBLE 2020:</w:t>
      </w:r>
      <w:r>
        <w:t xml:space="preserve"> European Society of Coloproctology: guidelines for the management of diverticular disease of the colon — https://doi.org/10.1111/codi.15140</w:t>
      </w:r>
    </w:p>
    <w:p>
      <w:pPr/>
      <w:r>
        <w:rPr>
          <w:b/>
        </w:rPr>
        <w:t>Shared claim-specific concepts:</w:t>
      </w:r>
      <w:r>
        <w:t xml:space="preserve"> project, invited, three, international; EU scope visible. This is a provisional connection, not an outcome finding.</w:t>
      </w:r>
    </w:p>
    <w:p>
      <w:pPr>
        <w:pStyle w:val="SourceNote"/>
      </w:pPr>
      <w:r>
        <w:rPr>
          <w:b/>
        </w:rPr>
        <w:t>Available abstract (not full text):</w:t>
      </w:r>
      <w:r>
        <w:t xml:space="preserve"> AIM: The goal of this European Society of Coloproctology (ESCP) guideline project is to give an overview of the existing evidence on the management of diverticular disease, primarily as a guidance to surgeons. METHODS: The guideline was developed during several working phases including three voting rounds and one consensus meeting. The two project leads (JKS and EA) appointed by the ESCP guideline committee together with one member of the guideline committee (WB) agreed on the methodology, decided on six themes for working groups (WGs) and drafted a list of research questions. Senior WG members, mostly colorectal surgeons within the ESCP, were invited based on publication records and geographical aspects. Other specialties were included in the WGs where relevant. In addition, one trainee or PhD fellow was invited in each WG. All six WGs revised the research questions if necessary, did a literature search, created evidence tables where feasible, and drafted supporting text to each research question and statement. The text and statement proposals from each WG were arranged as one document by the first and last authors before online voting by all authors in two rounds. For the second voting ESCP national representatives were also invited. More than 90% agreement was considered a consensus. The final phrasing of the statements with &lt; 90% agreement was discussed in a consensus meeti</w:t>
      </w:r>
    </w:p>
    <w:p>
      <w:pPr/>
      <w:r>
        <w:rPr>
          <w:b/>
        </w:rPr>
        <w:t>POSSIBLE 2019:</w:t>
      </w:r>
      <w:r>
        <w:t xml:space="preserve"> Just Europe — https://doi.org/10.1111/papa.12133</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In a letter written in 1998, John Rawls invites Europeans to give up the project of constructing a federal union that would make Europe more like the United States. This invitation is consistent with the approach to justice he developed in The Law of Peoples. By contrast, both Thomas Nagel’s approach and an understanding of social justice as global justice lead to a more ambitious interpretation of the demands of distributive justice within the European Union that calls for the pursuit of European integration. Further integration of the required sort would need to make European institutions more like those of the United States in three respects: a transfer union, a common electoral space, a shared language. However, given the trap, insightfully anticipated by Friedrich Hayek, in which the European Union finds itself today, even those inclined to adopt Rawls’s approach to justice may be well advised to opt for a similar strategy.</w:t>
      </w:r>
    </w:p>
    <w:p>
      <w:pPr/>
      <w:r>
        <w:rPr>
          <w:b/>
        </w:rPr>
        <w:t>POSSIBLE 2018:</w:t>
      </w:r>
      <w:r>
        <w:t xml:space="preserve"> The Feminist Project under Threat in Europe — https://doi.org/10.17645/pag.v6i3.1736</w:t>
      </w:r>
    </w:p>
    <w:p>
      <w:pPr/>
      <w:r>
        <w:rPr>
          <w:b/>
        </w:rPr>
        <w:t>Shared claim-specific concepts:</w:t>
      </w:r>
      <w:r>
        <w:t xml:space="preserve"> project, three, understanding; EU scope visible. This is a provisional connection, not an outcome finding.</w:t>
      </w:r>
    </w:p>
    <w:p>
      <w:pPr>
        <w:pStyle w:val="SourceNote"/>
      </w:pPr>
      <w:r>
        <w:rPr>
          <w:b/>
        </w:rPr>
        <w:t>Available abstract (not full text):</w:t>
      </w:r>
      <w:r>
        <w:t xml:space="preserve"> Is the feminist project under threat in Europe? This thematic issue addresses the question in both theoretical and empirical ways, focusing on the various ways in which feminist politics are opposed and why, on what the impact of such opposition is, and how to improve our theoretical understanding of this particular manifestation of gender and politics. The issue addresses three major challenges: a need to reflect on the most suited concepts and theories in political and social sciences to understand what is at stake in Europe today; a need to vernacularize existing knowledge while forging global frames of analysis; and a need to avoid the risk of reifying oppositional forces and of reiterating dichotomous frames and categories. The responses to these challenges are: to analyse the threats to the feminist project as parts of larger projects against social justice and equality; to contrast macro narratives by engaging with the microlevel of the anti-feminist project, enabling a critique of mainstream scholarship; to analyse the threats to the feminist project as related to processes of changes to democracy, such as democratic backsliding; to give prominent attention to discursive, epistemic and symbolic processes; and finally to include studies on the response of feminist actors to the threats experienced. This collection of articles offers a variety of perspectives on the vario</w:t>
      </w:r>
    </w:p>
    <w:p>
      <w:pPr/>
      <w:r>
        <w:rPr>
          <w:b/>
        </w:rPr>
        <w:t>POSSIBLE 2018:</w:t>
      </w:r>
      <w:r>
        <w:t xml:space="preserve"> Adaptability and reproducibility of a memory disruption rTMS protocol in the PharmaCog IMI European project — https://doi.org/10.1038/s41598-018-27502-1</w:t>
      </w:r>
    </w:p>
    <w:p>
      <w:pPr/>
      <w:r>
        <w:rPr>
          <w:b/>
        </w:rPr>
        <w:t>Shared claim-specific concepts:</w:t>
      </w:r>
      <w:r>
        <w:t xml:space="preserve"> project, invited, three; EU scope visible. This is a provisional connection, not an outcome finding.</w:t>
      </w:r>
    </w:p>
    <w:p>
      <w:pPr>
        <w:pStyle w:val="SourceNote"/>
      </w:pPr>
      <w:r>
        <w:rPr>
          <w:b/>
        </w:rPr>
        <w:t>Available abstract (not full text):</w:t>
      </w:r>
      <w:r>
        <w:t xml:space="preserve"> Transcranial magnetic stimulation (TMS) can interfere with cognitive processes, such as transiently impairing memory. As part of a multi-center European project, we investigated the adaptability and reproducibility of a previously published TMS memory interfering protocol in two centers using EEG or fMRI scenarios. Participants were invited to attend three experimental sessions on different days, with sham repetitive TMS (rTMS) applied on day 1 and real rTMS on days 2 and 3. Sixty-eight healthy young men were included. On each experimental day, volunteers were instructed to remember visual pictures while receiving neuronavigated rTMS trains (20 Hz, 900 ms) during picture encoding at the left dorsolateral prefrontal cortex (L-DLPFC) and the vertex. Mixed ANOVA model analyses were performed. rTMS to the L-DLPFC significantly disrupted recognition memory on experimental day 2. No differences were found between centers or between fMRI and EEG recordings. Subjects with lower baseline memory performances were more susceptible to TMS disruption. No stability of TMS-induced memory interference could be demonstrated on day 3. Our data suggests that adapted cognitive rTMS protocols can be implemented in multi-center studies incorporating standardized experimental procedures. However, our center and modality effects analyses lacked sufficient statistical power, hence highlighting the need</w:t>
      </w:r>
    </w:p>
    <w:p>
      <w:pPr/>
      <w:r>
        <w:rPr>
          <w:b/>
        </w:rPr>
        <w:t>POSSIBLE 2017:</w:t>
      </w:r>
      <w:r>
        <w:t xml:space="preserve"> Unemployed Youth and Social Exclusion in Europe — https://doi.org/10.4324/9781315235356</w:t>
      </w:r>
    </w:p>
    <w:p>
      <w:pPr/>
      <w:r>
        <w:rPr>
          <w:b/>
        </w:rPr>
        <w:t>Shared claim-specific concepts:</w:t>
      </w:r>
      <w:r>
        <w:t xml:space="preserve"> project, three; EU scope visible. This is a provisional connection, not an outcome finding.</w:t>
      </w:r>
    </w:p>
    <w:p>
      <w:pPr>
        <w:pStyle w:val="SourceNote"/>
      </w:pPr>
      <w:r>
        <w:rPr>
          <w:b/>
        </w:rPr>
        <w:t>Available abstract (not full text):</w:t>
      </w:r>
      <w:r>
        <w:t xml:space="preserve"> This book confronts readers with questions emerging from the 'gap' between EU aspirations to reduce youth unemployment without increasing social exclusion - and what is actually happening in practice. Aimed at a diverse readership, it is based on a three year European Union (EU) project into education, training, guidance and employment (ETG) programmes for young adults across six countries. Insights are grounded in the lives and stories of disadvantaged young adults, and of those who work with them, bringing to life unintended impacts of well intended interventions. The authors consider the influence of shifting political and pedagogical ideologies in the EU on local practices and young peoples’ lives and choices. They also consider the impact of policy and performance management discourses ’on the ground’. This work uses rigorous yet innovative narrative forms to invite readers into a ’whole system’ inquiry into these complexities. Unemployed Youth and Social Exclusion in Europe will make an important contribution to reflecting critically on current policy and practice, as well as to academic understandings of unemployed youth, and restrictive and reflexive approaches to learning for inclusion across Europe.</w:t>
      </w:r>
    </w:p>
    <w:p>
      <w:pPr/>
      <w:r>
        <w:rPr>
          <w:b/>
        </w:rPr>
        <w:t>POSSIBLE 2015:</w:t>
      </w:r>
      <w:r>
        <w:t xml:space="preserve"> Research priorities for public mental health in Europe: recommendations of the ROAMER project — https://doi.org/10.1093/eurpub/cku232</w:t>
      </w:r>
    </w:p>
    <w:p>
      <w:pPr/>
      <w:r>
        <w:rPr>
          <w:b/>
        </w:rPr>
        <w:t>Shared claim-specific concepts:</w:t>
      </w:r>
      <w:r>
        <w:t xml:space="preserve"> project, invited, three, experts, scientific; EU scope visible. This is a provisional connection, not an outcome finding.</w:t>
      </w:r>
    </w:p>
    <w:p>
      <w:pPr>
        <w:pStyle w:val="SourceNote"/>
      </w:pPr>
      <w:r>
        <w:rPr>
          <w:b/>
        </w:rPr>
        <w:t>Available abstract (not full text):</w:t>
      </w:r>
      <w:r>
        <w:t xml:space="preserve"> BACKGROUND: The ROAdmap for MEntal health Research in Europe project aimed to create an integrated European roadmap for mental health research. Leading mental health research experts across Europe have formulated consensus-based recommendations for future research within the public mental health field. METHODS: Experts were invited to compile and discuss research priorities in a series of topic-based scientific workshops. In addition, a Delphi process was carried out to reach consensus on the list of research priorities and their rank order. Three web-based surveys were conducted. Nearly 60 experts were involved in the priority setting process. RESULTS: Twenty priorities for public mental health research were identified through the consensus process. The research priorities were divided into summary principles-encompassing overall recommendations for future public mental health research in Europe-and thematic research priorities, including area-specific top priorities on research topics and methods. The priorities represent three overarching goals mirroring societal challenges, that is, to identify causes, risk and protective factors for mental health across the lifespan; to advance the implementation of effective public mental health interventions and to reduce disparities in mental health. CONCLUSIONS: The importance of strengthening research on the implementation and dissemi</w:t>
      </w:r>
    </w:p>
    <w:p>
      <w:pPr/>
      <w:r>
        <w:rPr>
          <w:b/>
        </w:rPr>
        <w:t>POSSIBLE 2015:</w:t>
      </w:r>
      <w:r>
        <w:t xml:space="preserve"> Quantifying the health impacts of ambient air pollutants: recommendations of a WHO/Europe project — https://doi.org/10.1007/s00038-015-0690-y</w:t>
      </w:r>
    </w:p>
    <w:p>
      <w:pPr/>
      <w:r>
        <w:rPr>
          <w:b/>
        </w:rPr>
        <w:t>Shared claim-specific concepts:</w:t>
      </w:r>
      <w:r>
        <w:t xml:space="preserve"> project, experts, provide, scientific; EU scope visible. This is a provisional connection, not an outcome finding.</w:t>
      </w:r>
    </w:p>
    <w:p>
      <w:pPr>
        <w:pStyle w:val="SourceNote"/>
      </w:pPr>
      <w:r>
        <w:rPr>
          <w:b/>
        </w:rPr>
        <w:t>Available abstract (not full text):</w:t>
      </w:r>
      <w:r>
        <w:t xml:space="preserve"> OBJECTIVE: Quantitative estimates of air pollution health impacts have become an increasingly critical input to policy decisions. The WHO project "Health risks of air pollution in Europe--HRAPIE" was implemented to provide the evidence-based concentration-response functions for quantifying air pollution health impacts to support the 2013 revision of the air quality policy for the European Union (EU). METHODS: A group of experts convened by WHO Regional Office for Europe reviewed the accumulated primary research evidence together with some commissioned reviews and recommended concentration-response functions for air pollutant-health outcome pairs for which there was sufficient evidence for a causal association. RESULTS: The concentration-response functions link several indicators of mortality and morbidity with short- and long-term exposure to particulate matter, ozone and nitrogen dioxide. The project also provides guidance on the use of these functions and associated baseline health information in the cost-benefit analysis. CONCLUSIONS: The project results provide the scientific basis for formulating policy actions to improve air quality and thereby reduce the burden of disease associated with air pollution in Europe.</w:t>
      </w:r>
    </w:p>
    <w:p>
      <w:pPr/>
      <w:r>
        <w:rPr>
          <w:b/>
        </w:rPr>
        <w:t>POSSIBLE 2014:</w:t>
      </w:r>
      <w:r>
        <w:t xml:space="preserve"> Transcending community energy: collective and politically motivated projects in renewable energy (CPE) across Europe — https://doi.org/10.3351/ppp.0008.0003.0004</w:t>
      </w:r>
    </w:p>
    <w:p>
      <w:pPr/>
      <w:r>
        <w:rPr>
          <w:b/>
        </w:rPr>
        <w:t>Shared claim-specific concepts:</w:t>
      </w:r>
      <w:r>
        <w:t xml:space="preserve"> project, three, provide; EU scope visible. This is a provisional connection, not an outcome finding.</w:t>
      </w:r>
    </w:p>
    <w:p>
      <w:pPr>
        <w:pStyle w:val="SourceNote"/>
      </w:pPr>
      <w:r>
        <w:rPr>
          <w:b/>
        </w:rPr>
        <w:t>Available abstract (not full text):</w:t>
      </w:r>
      <w:r>
        <w:t xml:space="preserve"> Based on an EU-wide empirical survey, this paper proposes the alternative concept of collective and politically motivated renewable energy (CPE) projects that includes different forms of enterprises such as co-operatives and participatory public utilities.In doing so, we intend to take a clearer stance on both organisational and ownership features and the political motivation of these projects.The aim is to overcome the vagueness of the term 'community energy' and to widen the perspective beyond the British context.Mapping CPE projects across different European countries we have identified three development trends and provide a project case study for each trend: the further dissemination of local CPE projects, the formation of regional projects, and the occurrence of urban CPE projects.Countries covered are the United Kingdom, Spain and Germany.We also reflect our findings for the concept of community energy and invite researchers to expand upon our research.</w:t>
      </w:r>
    </w:p>
    <w:p>
      <w:pPr>
        <w:pStyle w:val="Heading2"/>
      </w:pPr>
      <w:r>
        <w:t>894.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2020:</w:t>
      </w:r>
      <w:r>
        <w:t xml:space="preserve"> Marine Foresight Study — https://openalex.org/W3147024838</w:t>
      </w:r>
    </w:p>
    <w:p>
      <w:pPr/>
      <w:r>
        <w:rPr>
          <w:b/>
        </w:rPr>
        <w:t>Shared claim-specific concepts:</w:t>
      </w:r>
      <w:r>
        <w:t xml:space="preserve"> foresight, government, national; EU scope visible. This is a provisional connection, not an outcome finding.</w:t>
      </w:r>
    </w:p>
    <w:p>
      <w:pPr>
        <w:pStyle w:val="SourceNote"/>
      </w:pPr>
      <w:r>
        <w:rPr>
          <w:b/>
        </w:rPr>
        <w:t>Available abstract (not full text):</w:t>
      </w:r>
      <w:r>
        <w:t xml:space="preserve">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national, backed;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2016:</w:t>
      </w:r>
      <w:r>
        <w:t xml:space="preserve"> NCRR - New Foresight Research Method — https://openalex.org/W2555381373</w:t>
      </w:r>
    </w:p>
    <w:p>
      <w:pPr/>
      <w:r>
        <w:rPr>
          <w:b/>
        </w:rPr>
        <w:t>Shared claim-specific concepts:</w:t>
      </w:r>
      <w:r>
        <w:t xml:space="preserve"> purpose, foresight, project, qualitative; EU scope not established. This is a provisional connection, not an outcome finding.</w:t>
      </w:r>
    </w:p>
    <w:p>
      <w:pPr>
        <w:pStyle w:val="SourceNote"/>
      </w:pPr>
      <w:r>
        <w:rPr>
          <w:b/>
        </w:rPr>
        <w:t>Available abstract (not full text):</w:t>
      </w:r>
      <w:r>
        <w:t xml:space="preserve">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pPr/>
      <w:r>
        <w:rPr>
          <w:b/>
        </w:rPr>
        <w:t>POSSIBLE 2016:</w:t>
      </w:r>
      <w:r>
        <w:t xml:space="preserve"> THE APPLICATION OF FORESIGHT PROJECTS IN FORMATION OF TECHNOLOGICAL COMPANIES’ INNOVATION DEVELOPMENT STRATEGY — https://doi.org/10.18184/2079-4665.2016.7.4.108.114</w:t>
      </w:r>
    </w:p>
    <w:p>
      <w:pPr/>
      <w:r>
        <w:rPr>
          <w:b/>
        </w:rPr>
        <w:t>Shared claim-specific concepts:</w:t>
      </w:r>
      <w:r>
        <w:t xml:space="preserve"> purpose, foresight, project, national, scientists; EU scope not established. This is a provisional connection, not an outcome finding.</w:t>
      </w:r>
    </w:p>
    <w:p>
      <w:pPr>
        <w:pStyle w:val="SourceNote"/>
      </w:pPr>
      <w:r>
        <w:rPr>
          <w:b/>
        </w:rPr>
        <w:t>Available abstract (not full text):</w:t>
      </w:r>
      <w:r>
        <w:t xml:space="preserve">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pPr/>
      <w:r>
        <w:rPr>
          <w:b/>
        </w:rPr>
        <w:t>POSSIBLE 2016:</w:t>
      </w:r>
      <w:r>
        <w:t xml:space="preserve"> Foresight Project “Psychological and Pedagogical Educational Platform for Teachers of Professional School” — https://openalex.org/W7139567451</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pPr/>
      <w:r>
        <w:rPr>
          <w:b/>
        </w:rPr>
        <w:t>POSSIBLE 2015:</w:t>
      </w:r>
      <w:r>
        <w:t xml:space="preserve"> Wild Cards in Polish Foresight Practice — https://doi.org/10.1016/j.sbspro.2015.11.510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895.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pStyle w:val="Heading2"/>
      </w:pPr>
      <w:r>
        <w:t>896.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r>
        <w:rPr>
          <w:b/>
        </w:rPr>
        <w:t>POSSIBLE 2020:</w:t>
      </w:r>
      <w:r>
        <w:t xml:space="preserve"> The issue of so-called hate speech in the context of freedom of speech — https://openalex.org/W7135460664</w:t>
      </w:r>
    </w:p>
    <w:p>
      <w:pPr/>
      <w:r>
        <w:rPr>
          <w:b/>
        </w:rPr>
        <w:t>Shared claim-specific concepts:</w:t>
      </w:r>
      <w:r>
        <w:t xml:space="preserve"> first, so-called, context, describe, relevant, provide; EU scope visible. This is a provisional connection, not an outcome finding.</w:t>
      </w:r>
    </w:p>
    <w:p>
      <w:pPr>
        <w:pStyle w:val="SourceNote"/>
      </w:pPr>
      <w:r>
        <w:rPr>
          <w:b/>
        </w:rPr>
        <w:t>Available abstract (not full text):</w:t>
      </w:r>
      <w:r>
        <w:t xml:space="preserve">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pPr/>
      <w:r>
        <w:rPr>
          <w:b/>
        </w:rPr>
        <w:t>POSSIBLE 2020:</w:t>
      </w:r>
      <w:r>
        <w:t xml:space="preserve"> Awareness of Spitzenkandidaten in the 2019 European elections: The effects of news exposure in domestic campaign contexts — https://doi.org/10.1177/2053168020915332</w:t>
      </w:r>
    </w:p>
    <w:p>
      <w:pPr/>
      <w:r>
        <w:rPr>
          <w:b/>
        </w:rPr>
        <w:t>Shared claim-specific concepts:</w:t>
      </w:r>
      <w:r>
        <w:t xml:space="preserve"> first, so-called, context, relevant, but; EU scope visible. This is a provisional connection, not an outcome finding.</w:t>
      </w:r>
    </w:p>
    <w:p>
      <w:pPr>
        <w:pStyle w:val="SourceNote"/>
      </w:pPr>
      <w:r>
        <w:rPr>
          <w:b/>
        </w:rPr>
        <w:t>Available abstract (not full text):</w:t>
      </w:r>
      <w:r>
        <w:t xml:space="preserve"> With the introduction of the so-called Spitzenkandidaten procedure, by which European party families nominate lead candidates for the post of President of the European Commission for European elections, the European Parliament (EP) sought to raise voter awareness and engagement by personalizing the campaigns. This article studies candidate recognition with respect to Spitzenkandidaten, which is an important prerequisite in the study of personalization effects on voter behaviour. We use novel survey data collected in 10 European countries in the 2019 EP election campaign ( n = 17,027). The article focuses on the role of voters’ news exposure in various media and argues that news exposure is crucial for candidate recognition, but its effect is contingent upon the domestic campaign context. The article is the first to show that the campaign context matters to the extent that news exposure is particularly relevant in those domestic contexts in which Spitzenkandidaten were not previously present. In other campaign contexts additional news exposure adds little to the effect of news exposure on candidate recognition. The results have important implications for understanding EP election campaigns.</w:t>
      </w:r>
    </w:p>
    <w:p>
      <w:pPr/>
      <w:r>
        <w:rPr>
          <w:b/>
        </w:rPr>
        <w:t>POSSIBLE 2020:</w:t>
      </w:r>
      <w:r>
        <w:t xml:space="preserve"> Problem of so-called social dumping in EU law — https://openalex.org/W7135789766</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Problem of so-called social dumping in EU law Abstract Social dumping in EU law is becoming an increasingly pressing problem. Due to the creation of the EU internal market and the accession of the new Member States, in particular southern and eastern Europe, social dumping is occurring in many forms in the European Union. Is it possible to prevent social dumping, or by what means can it be minimized? This diploma thesis in its first chapter deals with the definition of social dumping in EU law in general, focusing on social dumping in the form of so-called regulatory arbitrage, both theoretically and practically. In the second chapter, the author presents the development of social policy in the context of the EU internal market, since the interaction between the economic and social objectives of European integration is crucial for the existence of social dumping. This chapter is followed by the case law of the Court of Justice of the European Union in Rush Portuguesa, Viking Line, Laval, Rüffert and Commission v. Luxembourg, which concerns a conflict of fundamental freedoms and fundamental social rights. This chapter discusses how the Court of Justice of the European Union decides in the event of a conflict of these rights. Furthermore, that case-law has a considerable impact on the interpretation of the...</w:t>
      </w:r>
    </w:p>
    <w:p>
      <w:pPr/>
      <w:r>
        <w:rPr>
          <w:b/>
        </w:rPr>
        <w:t>POSSIBLE 2018:</w:t>
      </w:r>
      <w:r>
        <w:t xml:space="preserve"> East Central Europe in the First Globalization (1850-1914) — https://doi.org/10.2478/sho-2018-0004</w:t>
      </w:r>
    </w:p>
    <w:p>
      <w:pPr/>
      <w:r>
        <w:rPr>
          <w:b/>
        </w:rPr>
        <w:t>Shared claim-specific concepts:</w:t>
      </w:r>
      <w:r>
        <w:t xml:space="preserve"> first, so-called, context, different, developments, but; EU scope visible. This is a provisional connection, not an outcome finding.</w:t>
      </w:r>
    </w:p>
    <w:p>
      <w:pPr>
        <w:pStyle w:val="SourceNote"/>
      </w:pPr>
      <w:r>
        <w:rPr>
          <w:b/>
        </w:rPr>
        <w:t>Available abstract (not full text):</w:t>
      </w:r>
      <w:r>
        <w:t xml:space="preserve"> Summary The article analyzes the position and the positioning strategy of East Central Europe in the so-called “first globalization (1850-1914)”. The focus is on foreign trade and the transfer of the two most important production factors, i.e. capital and labor. East Central Europe included in this period the territories of the Habsburg Monarchy, the Kingdom of Poland as a part of the Russian Empire, and the eastern provinces of the Kingdom of Prussia which were from 1871 onwards part of the German Reich. The article combines the theories and methods of economic history and transnational history. It sees itself as a contribution to a trans-regional history of East Central Europe by analyzing first the main “flows” and then the influence of “controls”. The article analyzes to what extent and in what way East Central Europe was involved in the globalization processes of the late 19 th century. It discusses whether East Central Europe was only the object of global developments or even shaped them. In this context it asks about the role of the empires (Habsburg monarchy, German Reich, Russia) for the position of East Central European economies in the world economy. It shows that the economic elites in the centers but also on the edges of the empires developed different strategies for how to respond to the challenges of globalization.</w:t>
      </w:r>
    </w:p>
    <w:p>
      <w:pPr/>
      <w:r>
        <w:rPr>
          <w:b/>
        </w:rPr>
        <w:t>POSSIBLE 2018:</w:t>
      </w:r>
      <w:r>
        <w:t xml:space="preserve"> Administrative Justice in the CSR in the Years 1918 - 1938 within European context — https://openalex.org/W7135476898</w:t>
      </w:r>
    </w:p>
    <w:p>
      <w:pPr/>
      <w:r>
        <w:rPr>
          <w:b/>
        </w:rPr>
        <w:t>Shared claim-specific concepts:</w:t>
      </w:r>
      <w:r>
        <w:t xml:space="preserve"> first, so-called, context, but; EU scope visible. This is a provisional connection, not an outcome finding.</w:t>
      </w:r>
    </w:p>
    <w:p>
      <w:pPr>
        <w:pStyle w:val="SourceNote"/>
      </w:pPr>
      <w:r>
        <w:rPr>
          <w:b/>
        </w:rPr>
        <w:t>Available abstract (not full text):</w:t>
      </w:r>
      <w:r>
        <w:t xml:space="preserve"> Administrative Justice in the CSR in the Years 1918 - 1938 within European context. For my thesis I chose as a topic 'Administrative Justice in the CSR in the Years 1918 - 1938 within European Context', as administrative justice including the protection against illegal interventions of executive power is topical for any democratic state at any time. The purpose of administrative justice is reviewing administrative acts of public administration namely by independent courts. I decided to target my thesis on the period of so-called first republic thus on the period from 28 October 1918 i.e. from establishing the independent Czechoslovak state to 30 September 1938, i.e. the signing of the Munich agreement. After establishing the independent Czechoslovak state The Act on the Supreme Administrative Court and on Solving Competence Litigations was one of the first acts passed by the National Czechoslovak Committee. This year i.e. in 2018 it has been 100 years since constituting administrative justice in the Czechoslovak Republic. However, when the Czechoslovak Republic came into being administrative justice was not formed from scratch, but by the above mentioned Act on Administrative Justice and Solving Competence Litigations Austrian administrative justice was adopted. During the first republic, however,...</w:t>
      </w:r>
    </w:p>
    <w:p>
      <w:pPr/>
      <w:r>
        <w:rPr>
          <w:b/>
        </w:rPr>
        <w:t>POSSIBLE 2016:</w:t>
      </w:r>
      <w:r>
        <w:t xml:space="preserve"> Partnership Patterns in the United States and across Europe: The Role of Education and Country Context — https://doi.org/10.1093/sf/sow054</w:t>
      </w:r>
    </w:p>
    <w:p>
      <w:pPr/>
      <w:r>
        <w:rPr>
          <w:b/>
        </w:rPr>
        <w:t>Shared claim-specific concepts:</w:t>
      </w:r>
      <w:r>
        <w:t xml:space="preserve"> context, developments, but; EU scope visible. This is a provisional connection, not an outcome finding.</w:t>
      </w:r>
    </w:p>
    <w:p>
      <w:pPr>
        <w:pStyle w:val="SourceNote"/>
      </w:pPr>
      <w:r>
        <w:rPr>
          <w:b/>
        </w:rPr>
        <w:t>Available abstract (not full text):</w:t>
      </w:r>
      <w:r>
        <w:t xml:space="preserve">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pPr/>
      <w:r>
        <w:rPr>
          <w:b/>
        </w:rPr>
        <w:t>POSSIBLE 2014:</w:t>
      </w:r>
      <w:r>
        <w:t xml:space="preserve"> The status of tularemia in Europe in a one-health context: a review — https://doi.org/10.1017/s0950268814002398</w:t>
      </w:r>
    </w:p>
    <w:p>
      <w:pPr/>
      <w:r>
        <w:rPr>
          <w:b/>
        </w:rPr>
        <w:t>Shared claim-specific concepts:</w:t>
      </w:r>
      <w:r>
        <w:t xml:space="preserve"> context, different, control, provide; EU scope visible. This is a provisional connection, not an outcome finding.</w:t>
      </w:r>
    </w:p>
    <w:p>
      <w:pPr>
        <w:pStyle w:val="SourceNote"/>
      </w:pPr>
      <w:r>
        <w:rPr>
          <w:b/>
        </w:rPr>
        <w:t>Available abstract (not full text):</w:t>
      </w:r>
      <w:r>
        <w:t xml:space="preserve"> The bacterium Francisella tularensis causes the vector-borne zoonotic disease tularemia, and may infect a wide range of hosts including invertebrates, mammals and birds. Transmission to humans occurs through contact with infected animals or contaminated environments, or through arthropod vectors. Tularemia has a broad geographical distribution, and there is evidence which suggests local emergence or re-emergence of this disease in Europe. This review was developed to provide an update on the geographical distribution of F. tularensis in humans, wildlife, domestic animals and vector species, to identify potential public health hazards, and to characterize the epidemiology of tularemia in Europe. Information was collated on cases in humans, domestic animals and wildlife, and on reports of detection of the bacterium in arthropod vectors, from 38 European countries for the period 1992-2012. Multiple international databases on human and animal health were consulted, as well as published reports in the literature. Tularemia is a disease of complex epidemiology that is challenging to understand and therefore to control. Many aspects of this disease remain poorly understood. Better understanding is needed of the epidemiological role of animal hosts, potential vectors, mechanisms of maintenance in the different ecosystems, and routes of transmission of the disease.</w:t>
      </w:r>
    </w:p>
    <w:p>
      <w:pPr>
        <w:pStyle w:val="Heading2"/>
      </w:pPr>
      <w:r>
        <w:t>897.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r>
        <w:rPr>
          <w:b/>
        </w:rPr>
        <w:t>POSSIBLE 2016:</w:t>
      </w:r>
      <w:r>
        <w:t xml:space="preserve"> Hepatitis E Seroprevalence in Europe: A Meta-Analysis — https://doi.org/10.3390/v8080211</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898.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2021:</w:t>
      </w:r>
      <w:r>
        <w:t xml:space="preserve"> Current and projected regional economic impacts of heatwaves in Europe — https://doi.org/10.1038/s41467-021-26050-z</w:t>
      </w:r>
    </w:p>
    <w:p>
      <w:pPr/>
      <w:r>
        <w:rPr>
          <w:b/>
        </w:rPr>
        <w:t>Shared claim-specific concepts:</w:t>
      </w:r>
      <w:r>
        <w:t xml:space="preserve"> increase, current, compared;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r>
        <w:rPr>
          <w:b/>
        </w:rPr>
        <w:t>POSSIBLE 2021:</w:t>
      </w:r>
      <w:r>
        <w:t xml:space="preserve"> Climate model projections from the Scenario Model Intercomparison Project (ScenarioMIP) of CMIP6 — https://doi.org/10.5194/esd-12-253-2021</w:t>
      </w:r>
    </w:p>
    <w:p>
      <w:pPr/>
      <w:r>
        <w:rPr>
          <w:b/>
        </w:rPr>
        <w:t>Shared claim-specific concepts:</w:t>
      </w:r>
      <w:r>
        <w:t xml:space="preserve"> current, climate, compared; EU scope not established. This is a provisional connection, not an outcome finding.</w:t>
      </w:r>
    </w:p>
    <w:p>
      <w:pPr>
        <w:pStyle w:val="SourceNote"/>
      </w:pPr>
      <w:r>
        <w:rPr>
          <w:b/>
        </w:rPr>
        <w:t>Available abstract (not full text):</w:t>
      </w:r>
      <w:r>
        <w:t xml:space="preserve">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Projected Changes in European and North Atlantic Seasonal Wind Climate Derived from CMIP5 Simulations — https://doi.org/10.1175/jcli-d-19-0023.1</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Future changes in geostrophic winds over Europe and the North Atlantic region were studied utilizing output data from 21 CMIP5 global climate models (GCMs). Changes in temporal means, extremes, and the joint distribution of speed and direction were considered. In concordance with previous research, the time mean and extreme scalar wind speeds do not change pronouncedly in response to the projected climate change; some degree of weakening occurs in the majority of the domain. Nevertheless, substantial changes in high wind speeds are identified when studying the geostrophic winds from different directions separately. In particular, in northern Europe in autumn and in parts of northwestern Europe in winter, the frequency of strong westerly winds is projected to increase by up to 50%. Concurrently, easterly winds become less common. In addition, we evaluated the potential of the GCMs to simulate changes in the near-surface true wind speeds. In ocean areas, changes in the true and geostrophic winds are mainly consistent and the emerging differences can be explained (e.g., by the retreat of Arctic sea ice). Conversely, in several GCMs the continental wind speed response proved to be predominantly determined by fairly arbitrary changes in the surface properties rather than by changes in the atmospheric circulation. Accordingly, true wind projections derived directly from the </w:t>
      </w:r>
    </w:p>
    <w:p>
      <w:pPr/>
      <w:r>
        <w:rPr>
          <w:b/>
        </w:rPr>
        <w:t>POSSIBLE 2018:</w:t>
      </w:r>
      <w:r>
        <w:t xml:space="preserve"> Multi-Model Projections of River Flood Risk in Europe under Global Warming — https://doi.org/10.3390/cli6010006</w:t>
      </w:r>
    </w:p>
    <w:p>
      <w:pPr/>
      <w:r>
        <w:rPr>
          <w:b/>
        </w:rPr>
        <w:t>Shared claim-specific concepts:</w:t>
      </w:r>
      <w:r>
        <w:t xml:space="preserve"> increase, climate, levels; EU scope visible. This is a provisional connection, not an outcome finding.</w:t>
      </w:r>
    </w:p>
    <w:p>
      <w:pPr>
        <w:pStyle w:val="SourceNote"/>
      </w:pPr>
      <w:r>
        <w:rPr>
          <w:b/>
        </w:rPr>
        <w:t>Available abstract (not full text):</w:t>
      </w:r>
      <w:r>
        <w:t xml:space="preserve"> Knowledge on the costs of natural disasters under climate change is key information for planning adaptation and mitigation strategies of future climate policies. Impact models for large scale flood risk assessment have made leaps forward in the past few years, thanks to the increased availability of high resolution climate projections and of information on local exposure and vulnerability to river floods. Yet, state-of-the-art flood impact models rely on a number of input data and techniques that can substantially influence their results. This work compares estimates of river flood risk in Europe from three recent case studies, assuming global warming scenarios of 1.5, 2, and 3 degrees Celsius from pre-industrial levels. The assessment is based on comparing ensemble projections of expected damage and population affected at country level. Differences and common points between the three cases are shown, to point out main sources of uncertainty, strengths, and limitations. In addition, the multi-model comparison helps identify regions with the largest agreement on specific changes in flood risk. Results show that global warming is linked to substantial increase in flood risk over most countries in Central and Western Europe at all warming levels. In Eastern Europe, the average change in flood risk is smaller and the multi-model agreement is poorer.</w:t>
      </w:r>
    </w:p>
    <w:p>
      <w:pPr/>
      <w:r>
        <w:rPr>
          <w:b/>
        </w:rPr>
        <w:t>POSSIBLE 2017:</w:t>
      </w:r>
      <w:r>
        <w:t xml:space="preserve"> Assessment of an extended version of the Jenkinson–Collison classification on CMIP5 models over Europe — https://doi.org/10.1007/s00382-017-3705-y</w:t>
      </w:r>
    </w:p>
    <w:p>
      <w:pPr/>
      <w:r>
        <w:rPr>
          <w:b/>
        </w:rPr>
        <w:t>Shared claim-specific concepts:</w:t>
      </w:r>
      <w:r>
        <w:t xml:space="preserve"> minor, increase, climate, compared; EU scope visible. This is a provisional connection, not an outcome finding.</w:t>
      </w:r>
    </w:p>
    <w:p>
      <w:pPr>
        <w:pStyle w:val="SourceNote"/>
      </w:pPr>
      <w:r>
        <w:rPr>
          <w:b/>
        </w:rPr>
        <w:t>Available abstract (not full text):</w:t>
      </w:r>
      <w:r>
        <w:t xml:space="preserve"> A gridded, geographically extended weather type classification has been developed based on the Jenkinson–Collison (JC) classification system and used to evaluate the representation of weather types over Europe in a suite of climate model simulations. To this aim, a set of models participating in the Coupled Model Intercomparison Project Phase 5 (CMIP5) is compared with the circulation from two reanalysis products. Furthermore, we examine seasonal changes between simulated frequencies of weather types at present and future climate conditions. The models are in reasonably good agreement with the reanalyses, but some discrepancies occur in cyclonic days being overestimated over North, and underestimated over South Europe, while anticyclonic situations were overestimated over South, and underestimated over North Europe. Low flow conditions were generally underestimated, especially in summer over South Europe, and Westerly conditions were generally overestimated. The projected frequencies of weather types in the late twenty-first century suggest an increase of Anticyclonic days over South Europe in all seasons except summer, while Westerly days increase over North and Central Europe, particularly in winter. We find significant changes in the frequency of Low flow conditions and the Easterly type that become more frequent during the warmer seasons over Southeast and Southwest Europe,</w:t>
      </w:r>
    </w:p>
    <w:p>
      <w:pPr/>
      <w:r>
        <w:rPr>
          <w:b/>
        </w:rPr>
        <w:t>POSSIBLE 2015:</w:t>
      </w:r>
      <w:r>
        <w:t xml:space="preserve"> Influence of climate model variability on projected Arctic shipping futures — https://doi.org/10.1002/2015ef000317</w:t>
      </w:r>
    </w:p>
    <w:p>
      <w:pPr/>
      <w:r>
        <w:rPr>
          <w:b/>
        </w:rPr>
        <w:t>Shared claim-specific concepts:</w:t>
      </w:r>
      <w:r>
        <w:t xml:space="preserve"> minor, climate, compared; EU scope visible. This is a provisional connection, not an outcome finding.</w:t>
      </w:r>
    </w:p>
    <w:p>
      <w:pPr>
        <w:pStyle w:val="SourceNote"/>
      </w:pPr>
      <w:r>
        <w:rPr>
          <w:b/>
        </w:rPr>
        <w:t>Available abstract (not full text):</w:t>
      </w:r>
      <w:r>
        <w:t xml:space="preserve"> Abstract Though climate models exhibit broadly similar agreement on key long‐term trends, they have significant temporal and spatial differences due to intermodel variability. Such variability should be considered when using climate models to project the future marine Arctic. Here we present multiple scenarios of 21st‐century Arctic marine access as driven by sea ice output from 10 CMIP5 models known to represent well the historical trend and climatology of Arctic sea ice. Optimal vessel transits from North America and Europe to the Bering Strait are estimated for two periods representing early‐century (2011–2035) and mid‐century (2036–2060) conditions under two forcing scenarios ( RCP 4.5/8.5), assuming Polar Class 6 and open‐water vessels with medium and no ice‐breaking capability, respectively. Results illustrate that projected shipping viability of the Northern Sea Route ( NSR ) and Northwest Passage ( NWP ) depends critically on model choice. The eastern Arctic will remain the most reliably accessible marine space for trans‐Arctic shipping by mid‐century, while outcomes for the NWP are particularly model‐dependent. Omitting three models ( GFDL‐CM3 , MIROC‐ESM‐CHEM , and MPI‐ESM‐MR ), our results would indicate minimal NWP potential even for routes from North America. Furthermore, the relative importance of the NSR will diminish over time as the number of viable central Arc</w:t>
      </w:r>
    </w:p>
    <w:p>
      <w:pPr/>
      <w:r>
        <w:rPr>
          <w:b/>
        </w:rPr>
        <w:t>POSSIBLE 2014:</w:t>
      </w:r>
      <w:r>
        <w:t xml:space="preserve"> Adapting wheat in Europe for climate change — https://doi.org/10.1016/j.jcs.2014.01.006</w:t>
      </w:r>
    </w:p>
    <w:p>
      <w:pPr/>
      <w:r>
        <w:rPr>
          <w:b/>
        </w:rPr>
        <w:t>Shared claim-specific concepts:</w:t>
      </w:r>
      <w:r>
        <w:t xml:space="preserve"> increase, current, climate; EU scope visible. This is a provisional connection, not an outcome finding.</w:t>
      </w:r>
    </w:p>
    <w:p>
      <w:pPr>
        <w:pStyle w:val="SourceNote"/>
      </w:pPr>
      <w:r>
        <w:rPr>
          <w:b/>
        </w:rPr>
        <w:t>Available abstract (not full text):</w:t>
      </w:r>
      <w:r>
        <w:t xml:space="preserve"> Increasing cereal yield is needed to meet the projected increased demand for world food supply of about 70% by 2050. Sirius, a process-based model for wheat, was used to estimate yield potential for wheat ideotypes optimized for future climatic projections for ten wheat growing areas of Europe. It was predicted that the detrimental effect of drought stress on yield would be decreased due to enhanced tailoring of phenology to future weather patterns, and due to genetic improvements in the response of photosynthesis and green leaf duration to water shortage. Yield advances could be made through extending maturation and thereby improve resource capture and partitioning. However the model predicted an increase in frequency of heat stress at meiosis and anthesis. Controlled environment experiments quantify the effects of heat and drought at booting and flowering on grain numbers and potential grain size. A current adaptation of wheat to areas of Europe with hotter and drier summers is a quicker maturation which helps to escape from excessive stress, but results in lower yields. To increase yield potential and to respond to climate change, increased tolerance to heat and drought stress should remain priorities for the genetic improvement of wheat.</w:t>
      </w:r>
    </w:p>
    <w:p>
      <w:pPr>
        <w:pStyle w:val="Heading2"/>
      </w:pPr>
      <w:r>
        <w:t>899.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2023:</w:t>
      </w:r>
      <w:r>
        <w:t xml:space="preserve"> The overlooked contribution of trees outside forests to tree cover and woody biomass across Europe — https://doi.org/10.1126/sciadv.adh4097</w:t>
      </w:r>
    </w:p>
    <w:p>
      <w:pPr/>
      <w:r>
        <w:rPr>
          <w:b/>
        </w:rPr>
        <w:t>Shared claim-specific concepts:</w:t>
      </w:r>
      <w:r>
        <w:t xml:space="preserve"> biomass, stock, high, forests; EU scope visible. This is a provisional connection, not an outcome finding.</w:t>
      </w:r>
    </w:p>
    <w:p>
      <w:pPr>
        <w:pStyle w:val="SourceNote"/>
      </w:pPr>
      <w:r>
        <w:rPr>
          <w:b/>
        </w:rPr>
        <w:t>Available abstract (not full text):</w:t>
      </w:r>
      <w:r>
        <w:t xml:space="preserve">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pPr/>
      <w:r>
        <w:rPr>
          <w:b/>
        </w:rPr>
        <w:t>POSSIBLE 2023:</w:t>
      </w:r>
      <w:r>
        <w:t xml:space="preserve"> Global increase in biomass carbon stock dominated by growth of northern young forests over past decade — https://doi.org/10.1038/s41561-023-01274-4</w:t>
      </w:r>
    </w:p>
    <w:p>
      <w:pPr/>
      <w:r>
        <w:rPr>
          <w:b/>
        </w:rPr>
        <w:t>Shared claim-specific concepts:</w:t>
      </w:r>
      <w:r>
        <w:t xml:space="preserve"> biomass, stock, forests, increase;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Allometric relationships between above-ground biomass increment and stand characteristics for crimean pine in Taşköprü, Turkey — https://doi.org/10.1590/01047760202329013169</w:t>
      </w:r>
    </w:p>
    <w:p>
      <w:pPr/>
      <w:r>
        <w:rPr>
          <w:b/>
        </w:rPr>
        <w:t>Shared claim-specific concepts:</w:t>
      </w:r>
      <w:r>
        <w:t xml:space="preserve"> investigated, biomass, increments, one, high, increment; EU scope not established. This is a provisional connection, not an outcome finding.</w:t>
      </w:r>
    </w:p>
    <w:p>
      <w:pPr>
        <w:pStyle w:val="SourceNote"/>
      </w:pPr>
      <w:r>
        <w:rPr>
          <w:b/>
        </w:rPr>
        <w:t>Available abstract (not full text):</w:t>
      </w:r>
      <w:r>
        <w:t xml:space="preserve">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pPr/>
      <w:r>
        <w:rPr>
          <w:b/>
        </w:rPr>
        <w:t>POSSIBLE 2022:</w:t>
      </w:r>
      <w:r>
        <w:t xml:space="preserve"> Biomass allocation and carbon stock in Douglas fir and Norway spruce at the tree and stand level — https://doi.org/10.2478/forj-2022-0005</w:t>
      </w:r>
    </w:p>
    <w:p>
      <w:pPr/>
      <w:r>
        <w:rPr>
          <w:b/>
        </w:rPr>
        <w:t>Shared claim-specific concepts:</w:t>
      </w:r>
      <w:r>
        <w:t xml:space="preserve"> investigated, biomass, stock, high, forests, wood; EU scope visible. This is a provisional connection, not an outcome finding.</w:t>
      </w:r>
    </w:p>
    <w:p>
      <w:pPr>
        <w:pStyle w:val="SourceNote"/>
      </w:pPr>
      <w:r>
        <w:rPr>
          <w:b/>
        </w:rPr>
        <w:t>Available abstract (not full text):</w:t>
      </w:r>
      <w:r>
        <w:t xml:space="preserve">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pPr/>
      <w:r>
        <w:rPr>
          <w:b/>
        </w:rPr>
        <w:t>POSSIBLE 2022:</w:t>
      </w:r>
      <w:r>
        <w:t xml:space="preserve"> Wall-to-Wall Mapping of Forest Biomass and Wood Volume Increment in Italy — https://doi.org/10.3390/f13121989</w:t>
      </w:r>
    </w:p>
    <w:p>
      <w:pPr/>
      <w:r>
        <w:rPr>
          <w:b/>
        </w:rPr>
        <w:t>Shared claim-specific concepts:</w:t>
      </w:r>
      <w:r>
        <w:t xml:space="preserve"> biomass, develop, climate, two, management, store; EU scope visible. This is a provisional connection, not an outcome finding.</w:t>
      </w:r>
    </w:p>
    <w:p>
      <w:pPr>
        <w:pStyle w:val="SourceNote"/>
      </w:pPr>
      <w:r>
        <w:rPr>
          <w:b/>
        </w:rPr>
        <w:t>Available abstract (not full text):</w:t>
      </w:r>
      <w:r>
        <w:t xml:space="preserve">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pPr/>
      <w:r>
        <w:rPr>
          <w:b/>
        </w:rPr>
        <w:t>POSSIBLE 2021:</w:t>
      </w:r>
      <w:r>
        <w:t xml:space="preserve"> Assessment of Carbon Stock in Forest Biomass and Emission Reduction Potential in Malaysia — https://doi.org/10.3390/f12101294</w:t>
      </w:r>
    </w:p>
    <w:p>
      <w:pPr/>
      <w:r>
        <w:rPr>
          <w:b/>
        </w:rPr>
        <w:t>Shared claim-specific concepts:</w:t>
      </w:r>
      <w:r>
        <w:t xml:space="preserve"> biomass, stock, climate, management, forests, other; EU scope not established. This is a provisional connection, not an outcome finding.</w:t>
      </w:r>
    </w:p>
    <w:p>
      <w:pPr>
        <w:pStyle w:val="SourceNote"/>
      </w:pPr>
      <w:r>
        <w:rPr>
          <w:b/>
        </w:rPr>
        <w:t>Available abstract (not full text):</w:t>
      </w:r>
      <w:r>
        <w:t xml:space="preserve">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pPr/>
      <w:r>
        <w:rPr>
          <w:b/>
        </w:rPr>
        <w:t>POSSIBLE 2021:</w:t>
      </w:r>
      <w:r>
        <w:t xml:space="preserve"> Impact of Ex-Closure in above and below Ground Carbon Stock Biomass — https://doi.org/10.3390/f12020130</w:t>
      </w:r>
    </w:p>
    <w:p>
      <w:pPr/>
      <w:r>
        <w:rPr>
          <w:b/>
        </w:rPr>
        <w:t>Shared claim-specific concepts:</w:t>
      </w:r>
      <w:r>
        <w:t xml:space="preserve"> biomass, stock, different, climate, high, forests; EU scope not established. This is a provisional connection, not an outcome finding.</w:t>
      </w:r>
    </w:p>
    <w:p>
      <w:pPr>
        <w:pStyle w:val="SourceNote"/>
      </w:pPr>
      <w:r>
        <w:rPr>
          <w:b/>
        </w:rPr>
        <w:t>Available abstract (not full text):</w:t>
      </w:r>
      <w:r>
        <w:t xml:space="preserve">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900.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r>
        <w:rPr>
          <w:b/>
        </w:rPr>
        <w:t>POSSIBLE 2021:</w:t>
      </w:r>
      <w:r>
        <w:t xml:space="preserve"> Large variability in response to projected climate and land‐use changes among European bumblebee species — https://doi.org/10.1111/gcb.15780</w:t>
      </w:r>
    </w:p>
    <w:p>
      <w:pPr/>
      <w:r>
        <w:rPr>
          <w:b/>
        </w:rPr>
        <w:t>Shared claim-specific concepts:</w:t>
      </w:r>
      <w:r>
        <w:t xml:space="preserve"> use, project, direct; EU scope visible. This is a provisional connection, not an outcome finding.</w:t>
      </w:r>
    </w:p>
    <w:p>
      <w:pPr>
        <w:pStyle w:val="SourceNote"/>
      </w:pPr>
      <w:r>
        <w:rPr>
          <w:b/>
        </w:rPr>
        <w:t>Available abstract (not full text):</w:t>
      </w:r>
      <w:r>
        <w:t xml:space="preserve">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pPr/>
      <w:r>
        <w:rPr>
          <w:b/>
        </w:rPr>
        <w:t>POSSIBLE 2020:</w:t>
      </w:r>
      <w:r>
        <w:t xml:space="preserve"> The Blue Map of Europe: Conservative Parliamentarians and European Integration — https://doi.org/10.1201/9781315037691-4</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pPr/>
      <w:r>
        <w:rPr>
          <w:b/>
        </w:rPr>
        <w:t>POSSIBLE 2020:</w:t>
      </w:r>
      <w:r>
        <w:t xml:space="preserve"> The Blue Fix: What's driving blue growth? — https://doi.org/10.1007/s11625-019-00777-7</w:t>
      </w:r>
    </w:p>
    <w:p>
      <w:pPr/>
      <w:r>
        <w:rPr>
          <w:b/>
        </w:rPr>
        <w:t>Shared claim-specific concepts:</w:t>
      </w:r>
      <w:r>
        <w:t xml:space="preserve"> blue, dimension; EU scope not established. This is a provisional connection, not an outcome finding.</w:t>
      </w:r>
    </w:p>
    <w:p>
      <w:pPr>
        <w:pStyle w:val="SourceNote"/>
      </w:pPr>
      <w:r>
        <w:rPr>
          <w:b/>
        </w:rPr>
        <w:t>Available abstract (not full text):</w:t>
      </w:r>
      <w:r>
        <w:t xml:space="preserve">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pPr/>
      <w:r>
        <w:rPr>
          <w:b/>
        </w:rPr>
        <w:t>POSSIBLE 2020:</w:t>
      </w:r>
      <w:r>
        <w:t xml:space="preserve"> Current practice in project appraisal in Europe — https://doi.org/10.5278/ojs.td.v12i1.5126</w:t>
      </w:r>
    </w:p>
    <w:p>
      <w:pPr/>
      <w:r>
        <w:rPr>
          <w:b/>
        </w:rPr>
        <w:t>Shared claim-specific concepts:</w:t>
      </w:r>
      <w:r>
        <w:t xml:space="preserve"> use, project, dimension, general; EU scope visible. This is a provisional connection, not an outcome finding.</w:t>
      </w:r>
    </w:p>
    <w:p>
      <w:pPr>
        <w:pStyle w:val="SourceNote"/>
      </w:pPr>
      <w:r>
        <w:rPr>
          <w:b/>
        </w:rPr>
        <w:t>Available abstract (not full text):</w:t>
      </w:r>
      <w:r>
        <w:t xml:space="preserve">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pPr/>
      <w:r>
        <w:rPr>
          <w:b/>
        </w:rPr>
        <w:t>POSSIBLE 2018:</w:t>
      </w:r>
      <w:r>
        <w:t xml:space="preserve"> Basilicata and Blue Economy — https://doi.org/10.1432/91440</w:t>
      </w:r>
    </w:p>
    <w:p>
      <w:pPr/>
      <w:r>
        <w:rPr>
          <w:b/>
        </w:rPr>
        <w:t>Shared claim-specific concepts:</w:t>
      </w:r>
      <w:r>
        <w:t xml:space="preserve"> use, blue, maritime; EU scope visible. This is a provisional connection, not an outcome finding.</w:t>
      </w:r>
    </w:p>
    <w:p>
      <w:pPr>
        <w:pStyle w:val="SourceNote"/>
      </w:pPr>
      <w:r>
        <w:rPr>
          <w:b/>
        </w:rPr>
        <w:t>Available abstract (not full text):</w:t>
      </w:r>
      <w:r>
        <w:t xml:space="preserve">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pPr/>
      <w:r>
        <w:rPr>
          <w:b/>
        </w:rPr>
        <w:t>POSSIBLE 2018:</w:t>
      </w:r>
      <w:r>
        <w:t xml:space="preserve"> Blue care: a systematic review of blue space interventions for health and wellbeing — https://doi.org/10.1093/heapro/day103</w:t>
      </w:r>
    </w:p>
    <w:p>
      <w:pPr/>
      <w:r>
        <w:rPr>
          <w:b/>
        </w:rPr>
        <w:t>Shared claim-specific concepts:</w:t>
      </w:r>
      <w:r>
        <w:t xml:space="preserve"> use, blue, direct; EU scope not established. This is a provisional connection, not an outcome finding.</w:t>
      </w:r>
    </w:p>
    <w:p>
      <w:pPr>
        <w:pStyle w:val="SourceNote"/>
      </w:pPr>
      <w:r>
        <w:rPr>
          <w:b/>
        </w:rPr>
        <w:t>Available abstract (not full text):</w:t>
      </w:r>
      <w:r>
        <w:t xml:space="preserve">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pPr/>
      <w:r>
        <w:rPr>
          <w:b/>
        </w:rPr>
        <w:t>POSSIBLE 2018:</w:t>
      </w:r>
      <w:r>
        <w:t xml:space="preserve"> Drivers of Irrational Use of Antibiotics in Europe — https://doi.org/10.3390/ijerph16010027</w:t>
      </w:r>
    </w:p>
    <w:p>
      <w:pPr/>
      <w:r>
        <w:rPr>
          <w:b/>
        </w:rPr>
        <w:t>Shared claim-specific concepts:</w:t>
      </w:r>
      <w:r>
        <w:t xml:space="preserve"> use, aimed, general; EU scope visible. This is a provisional connection, not an outcome finding.</w:t>
      </w:r>
    </w:p>
    <w:p>
      <w:pPr>
        <w:pStyle w:val="SourceNote"/>
      </w:pPr>
      <w:r>
        <w:rPr>
          <w:b/>
        </w:rPr>
        <w:t>Available abstract (not full text):</w:t>
      </w:r>
      <w:r>
        <w:t xml:space="preserve">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901.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902.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903.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r>
        <w:rPr>
          <w:b/>
        </w:rPr>
        <w:t>POSSIBLE 2021:</w:t>
      </w:r>
      <w:r>
        <w:t xml:space="preserve"> Current Wildland Fire Patterns and Challenges in Europe: A Synthesis of National Perspectives — https://doi.org/10.1177/11786221211028185</w:t>
      </w:r>
    </w:p>
    <w:p>
      <w:pPr/>
      <w:r>
        <w:rPr>
          <w:b/>
        </w:rPr>
        <w:t>Shared claim-specific concepts:</w:t>
      </w:r>
      <w:r>
        <w:t xml:space="preserve"> funded, national, science, within, aim, article; EU scope visible. This is a provisional connection, not an outcome finding.</w:t>
      </w:r>
    </w:p>
    <w:p>
      <w:pPr>
        <w:pStyle w:val="SourceNote"/>
      </w:pPr>
      <w:r>
        <w:rPr>
          <w:b/>
        </w:rPr>
        <w:t>Available abstract (not full text):</w:t>
      </w:r>
      <w:r>
        <w:t xml:space="preserve">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pPr/>
      <w:r>
        <w:rPr>
          <w:b/>
        </w:rPr>
        <w:t>POSSIBLE 2020:</w:t>
      </w:r>
      <w:r>
        <w:t xml:space="preserve"> Thematic variations and auctorial foresights: The French National Funding Agency (Agence Nationale de la Recherche - ANR) (Biennial Conference of the European Society for the History of Science, London, UK, 14/09/2018-17/09/2018) — https://openalex.org/W3096754253</w:t>
      </w:r>
    </w:p>
    <w:p>
      <w:pPr/>
      <w:r>
        <w:rPr>
          <w:b/>
        </w:rPr>
        <w:t>Shared claim-specific concepts:</w:t>
      </w:r>
      <w:r>
        <w:t xml:space="preserve"> national, science, shaping; EU scope visible. This is a provisional connection, not an outcome finding.</w:t>
      </w:r>
    </w:p>
    <w:p>
      <w:pPr>
        <w:pStyle w:val="SourceNote"/>
      </w:pPr>
      <w:r>
        <w:rPr>
          <w:b/>
        </w:rPr>
        <w:t>Available abstract (not full text):</w:t>
      </w:r>
      <w:r>
        <w:t xml:space="preserve">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pPr/>
      <w:r>
        <w:rPr>
          <w:b/>
        </w:rPr>
        <w:t>POSSIBLE 2019:</w:t>
      </w:r>
      <w:r>
        <w:t xml:space="preserve"> Funders in Europe and incentivizing Open Science — https://doi.org/10.7557/5.4919</w:t>
      </w:r>
    </w:p>
    <w:p>
      <w:pPr/>
      <w:r>
        <w:rPr>
          <w:b/>
        </w:rPr>
        <w:t>Shared claim-specific concepts:</w:t>
      </w:r>
      <w:r>
        <w:t xml:space="preserve"> national, science, project, present; EU scope visible. This is a provisional connection, not an outcome finding.</w:t>
      </w:r>
    </w:p>
    <w:p>
      <w:pPr>
        <w:pStyle w:val="SourceNote"/>
      </w:pPr>
      <w:r>
        <w:rPr>
          <w:b/>
        </w:rPr>
        <w:t>Available abstract (not full text):</w:t>
      </w:r>
      <w:r>
        <w:t xml:space="preserve"> Watch the VIDEO. Funders across Europe are using scholarly communications to increase the impact of their grant results, thereby incentivizing researchers to share their research more openly. This panel session will start by describing the results of a research study called the RIF Project that gleans insights into the policy, rewards and incentives being employed by European research funders to encourage open access to publications and research data for the research they fund. The panel will then respond to the findings and will present and share experience on their policies. Funders across Europe are using scholarly communications to increase the impact of their grant results. More than 60 funders responded to a survey that was conducted in early Spring 2019 coming from key international funding bodies, national funding agencies, major charities and foundations, and national academies; from over 25 countries. The study was led by SPARC Europe in consultation with Science Europe, ALLEA and the EFC. Research Consulting conducted the research. The survey is the first of its kind, since it includes national funding agencies, academies, foundations and charities in Europe. What kinds of policy choices have funders made to influence how grantees increase open access to their research results with as few restrictions as possible? How can funders contribute to changing the research e</w:t>
      </w:r>
    </w:p>
    <w:p>
      <w:pPr/>
      <w:r>
        <w:rPr>
          <w:b/>
        </w:rPr>
        <w:t>POSSIBLE 2019:</w:t>
      </w:r>
      <w:r>
        <w:t xml:space="preserve"> Insights into European research funder Open policies and practices — https://doi.org/10.5281/zenodo.3401277</w:t>
      </w:r>
    </w:p>
    <w:p>
      <w:pPr/>
      <w:r>
        <w:rPr>
          <w:b/>
        </w:rPr>
        <w:t>Shared claim-specific concepts:</w:t>
      </w:r>
      <w:r>
        <w:t xml:space="preserve"> national, science, centre; EU scope visible. This is a provisional connection, not an outcome finding.</w:t>
      </w:r>
    </w:p>
    <w:p>
      <w:pPr>
        <w:pStyle w:val="SourceNote"/>
      </w:pPr>
      <w:r>
        <w:rPr>
          <w:b/>
        </w:rPr>
        <w:t>Available abstract (not full text):</w:t>
      </w:r>
      <w:r>
        <w:t xml:space="preserve"> This report summarises the results of a survey of European research funders on Open Access (OA) and Research Data (RD) policies, commissioned by SPARC Europe, in consultation with representatives from the following organisations: ALLEA, the European Foundation Centre and Science Europe and a wider advisory group. Launched in the spring of 2019, the survey, which targeted about 400 funders, garnered just over 60 responses from 29 countries. The cohort includes important national funding agencies (almost 50%), pan-European funders, national and regional academies, foundations and philanthropic organisations and research charities.</w:t>
      </w:r>
    </w:p>
    <w:p>
      <w:pPr/>
      <w:r>
        <w:rPr>
          <w:b/>
        </w:rPr>
        <w:t>POSSIBLE 2019:</w:t>
      </w:r>
      <w:r>
        <w:t xml:space="preserve"> Funding cardiovascular research in Europe — https://doi.org/10.1093/eurheartj/ehy817</w:t>
      </w:r>
    </w:p>
    <w:p>
      <w:pPr/>
      <w:r>
        <w:rPr>
          <w:b/>
        </w:rPr>
        <w:t>Shared claim-specific concepts:</w:t>
      </w:r>
      <w:r>
        <w:t xml:space="preserve"> funded, national, poland, within, project, number; EU scope visible. This is a provisional connection, not an outcome finding.</w:t>
      </w:r>
    </w:p>
    <w:p>
      <w:pPr>
        <w:pStyle w:val="SourceNote"/>
      </w:pPr>
      <w:r>
        <w:rPr>
          <w:b/>
        </w:rPr>
        <w:t>Available abstract (not full text):</w:t>
      </w:r>
      <w:r>
        <w:t xml:space="preserve"> The second of a two-part article1 examining funding for cardiovascular research on both sides of the Atlantic Ocean, Mark Nicholls speaks to Professor Axel Pries about the current position within Europe Advances in cardiovascular research are being made at a steadily increasing rate across Europe, but this critical work is underpinned with consistent, reliable, and regular funding to ensure that studies, research and clinical trials can continue to be conducted at a high level. There is an array of sources for funding, and while that can vary from one country to another and there are differences in the way it is distributed, it is all directed towards a common goal: of improving and extending knowledge of cardiovascular disease (CVD) and facilitate world-class research to reduce and treat CVD to deliver better outcomes for patients and reduce mortality. Cardiovascular disease remains a prime source of death, killing over four million people a year in the WHO European Region and 1.9 million in the European Union (EU). It is also estimated to cost the EU economy €196 billion every year. Professor Axel Pries, who is President of the Alliance for Biomedical Research in Europe (BioMed Alliance)—which represents the main European societies in the biomedical field and was co-founded by the ESC—explained that most of the funding for cardiovascular research in the EU comes from governme</w:t>
      </w:r>
    </w:p>
    <w:p>
      <w:pPr/>
      <w:r>
        <w:rPr>
          <w:b/>
        </w:rPr>
        <w:t>POSSIBLE 2018:</w:t>
      </w:r>
      <w:r>
        <w:t xml:space="preserve"> How does undone science get funded? A bibliometric analysis linking rare diseases publications to national and European funding sources — https://doi.org/10.48550/arxiv.1802.05945</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One of the notable features of undone science debates is how formation of new interest groups becomes pivotal in mobilizing and championing emerging research on undone topics. Clearly money is one of the most important mediums through which different types of actors can support and steer scientists to work on undone topics. Yet which actors are more visible in their support for scientific research is something which has seldom been measured. This study delves into research funding in the context of rare diseases research, a topic which has evolved from the margins of medical research into a priority area articulated by many contemporary funding agencies. Rare diseases refer to conditions affecting relatively few people in a population. Given low incidences, interest groups have articulated a lack of attention within medical research compared to more common conditions. The rise to prominence of rare diseases in research funding policies is often explained in the science studies literature in terms of effective lobbying by social movements Likewise, innovative fundraising initiatives, infrastructure building, and close partnerships with research groups are other means through which interested actors have sought to build capacity for research into rare medical conditions. To date however systematic empirical evidence to compare the relative importance of different actors in fundin</w:t>
      </w:r>
    </w:p>
    <w:p>
      <w:pPr/>
      <w:r>
        <w:rPr>
          <w:b/>
        </w:rPr>
        <w:t>POSSIBLE 2016:</w:t>
      </w:r>
      <w:r>
        <w:t xml:space="preserve"> Funding research data management and related infrastructures : Knowledge Exchange and Science Europe briefing paper — https://openalex.org/W2605250119</w:t>
      </w:r>
    </w:p>
    <w:p>
      <w:pPr/>
      <w:r>
        <w:rPr>
          <w:b/>
        </w:rPr>
        <w:t>Shared claim-specific concepts:</w:t>
      </w:r>
      <w:r>
        <w:t xml:space="preserve"> funded, national, science; EU scope visible. This is a provisional connection, not an outcome finding.</w:t>
      </w:r>
    </w:p>
    <w:p>
      <w:pPr>
        <w:pStyle w:val="SourceNote"/>
      </w:pPr>
      <w:r>
        <w:rPr>
          <w:b/>
        </w:rPr>
        <w:t>Available abstract (not full text):</w:t>
      </w:r>
      <w:r>
        <w:t xml:space="preserve"> Research Funding Organisations (RFO) and Research Performing Organisations (RPO) throughout Europe are well aware that science and scholarship increasingly depend on infrastructures supporting sustainable Research Data Management (RDM). In two complementary surveys, the Science Europe Working Group on Research Data and the Knowledge Exchange Research Data Expert Group explored how organisations funding and performing research think and act with respect to the funding of RDM and the related infrastructures. The resulting report illustrates the diversity of the funding landscape with respect to research data in Europe and the critical challenges that this presents. The funding of RDI, enabling RDM, comes from a great variety of sources and institutions that have different responsibilities and that operate at local, national and international levels. Significant parts of the funding have particular disciplinary dimensions. The funding actors, levels and disciplines are not part of a coordinated structure. This situation presents a huge challenge to the sustainability of RDM 3. Some RFOs and most RPOs contribute to the funding of specialised data infrastructure providers, which play key roles in providing RDI and in supporting RDM. Especially among RFOs there is no generally-accepted view on who should be responsible for the sustained funding of such providers; however, providers f</w:t>
      </w:r>
    </w:p>
    <w:p>
      <w:pPr>
        <w:pStyle w:val="Heading2"/>
      </w:pPr>
      <w:r>
        <w:t>904.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2015:</w:t>
      </w:r>
      <w:r>
        <w:t xml:space="preserve"> Residential heating with wood and coal: health impacts and policy options in Europe and North America — https://openalex.org/W2240014870</w:t>
      </w:r>
    </w:p>
    <w:p>
      <w:pPr/>
      <w:r>
        <w:rPr>
          <w:b/>
        </w:rPr>
        <w:t>Shared claim-specific concepts:</w:t>
      </w:r>
      <w:r>
        <w:t xml:space="preserve"> without, emissions; EU scope visible. This is a provisional connection, not an outcome finding.</w:t>
      </w:r>
    </w:p>
    <w:p>
      <w:pPr>
        <w:pStyle w:val="SourceNote"/>
      </w:pPr>
      <w:r>
        <w:rPr>
          <w:b/>
        </w:rPr>
        <w:t>Available abstract (not full text):</w:t>
      </w:r>
      <w:r>
        <w:t xml:space="preserve">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pPr/>
      <w:r>
        <w:rPr>
          <w:b/>
        </w:rPr>
        <w:t>POSSIBLE 2014:</w:t>
      </w:r>
      <w:r>
        <w:t xml:space="preserve"> POLICY OPTIONS FOR THE COMPETITIVENESS OF THE CONSTRUCTION SECTOR IN THE EUROPEAN UNION — https://openalex.org/W2175025550</w:t>
      </w:r>
    </w:p>
    <w:p>
      <w:pPr/>
      <w:r>
        <w:rPr>
          <w:b/>
        </w:rPr>
        <w:t>Shared claim-specific concepts:</w:t>
      </w:r>
      <w:r>
        <w:t xml:space="preserve"> include, general; EU scope visible. This is a provisional connection, not an outcome finding.</w:t>
      </w:r>
    </w:p>
    <w:p>
      <w:pPr>
        <w:pStyle w:val="SourceNote"/>
      </w:pPr>
      <w:r>
        <w:rPr>
          <w:b/>
        </w:rPr>
        <w:t>Available abstract (not full text):</w:t>
      </w:r>
      <w:r>
        <w:t xml:space="preserve">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pPr/>
      <w:r>
        <w:rPr>
          <w:b/>
        </w:rPr>
        <w:t>POSSIBLE 2014:</w:t>
      </w:r>
      <w:r>
        <w:t xml:space="preserve"> 2014 European guideline on the management of syphilis — https://doi.org/10.1111/jdv.12734</w:t>
      </w:r>
    </w:p>
    <w:p>
      <w:pPr/>
      <w:r>
        <w:rPr>
          <w:b/>
        </w:rPr>
        <w:t>Shared claim-specific concepts:</w:t>
      </w:r>
      <w:r>
        <w:t xml:space="preserve"> option, include, countries; EU scope visible. This is a provisional connection, not an outcome finding.</w:t>
      </w:r>
    </w:p>
    <w:p>
      <w:pPr>
        <w:pStyle w:val="SourceNote"/>
      </w:pPr>
      <w:r>
        <w:rPr>
          <w:b/>
        </w:rPr>
        <w:t>Available abstract (not full text):</w:t>
      </w:r>
      <w:r>
        <w:t xml:space="preserve">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pPr/>
      <w:r>
        <w:rPr>
          <w:b/>
        </w:rPr>
        <w:t>POSSIBLE 2014:</w:t>
      </w:r>
      <w:r>
        <w:t xml:space="preserve"> Carbon Emission Option Pricing Calculation and Clean Development Mechanism Strategy of Jiangsu:Based on the Pricing Analysis of B-S Model — https://openalex.org/W2372091501</w:t>
      </w:r>
    </w:p>
    <w:p>
      <w:pPr/>
      <w:r>
        <w:rPr>
          <w:b/>
        </w:rPr>
        <w:t>Shared claim-specific concepts:</w:t>
      </w:r>
      <w:r>
        <w:t xml:space="preserve"> option, cdm, clean, mechanism, emissions; EU scope visible. This is a provisional connection, not an outcome finding.</w:t>
      </w:r>
    </w:p>
    <w:p>
      <w:pPr>
        <w:pStyle w:val="SourceNote"/>
      </w:pPr>
      <w:r>
        <w:rPr>
          <w:b/>
        </w:rPr>
        <w:t>Available abstract (not full text):</w:t>
      </w:r>
      <w:r>
        <w:t xml:space="preserve">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905.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2018:</w:t>
      </w:r>
      <w:r>
        <w:t xml:space="preserve"> Predicting Medical Students’ Current Attitudes Toward Psychiatry, Interest in Psychiatry, and Estimated Likelihood of Working in Psychiatry: A Cross-Sectional Study in Four European Countries — https://doi.org/10.3389/fpsyt.2018.00049</w:t>
      </w:r>
    </w:p>
    <w:p>
      <w:pPr/>
      <w:r>
        <w:rPr>
          <w:b/>
        </w:rPr>
        <w:t>Shared claim-specific concepts:</w:t>
      </w:r>
      <w:r>
        <w:t xml:space="preserve"> current, need, there, countries; EU scope visible. This is a provisional connection, not an outcome finding.</w:t>
      </w:r>
    </w:p>
    <w:p>
      <w:pPr>
        <w:pStyle w:val="SourceNote"/>
      </w:pPr>
      <w:r>
        <w:rPr>
          <w:b/>
        </w:rPr>
        <w:t>Available abstract (not full text):</w:t>
      </w:r>
      <w:r>
        <w:t xml:space="preserve">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pPr/>
      <w:r>
        <w:rPr>
          <w:b/>
        </w:rPr>
        <w:t>POSSIBLE 2018:</w:t>
      </w:r>
      <w:r>
        <w:t xml:space="preserve"> Annual number of candidates for transcatheter aortic valve implantation per country: current estimates and future projections — https://doi.org/10.1093/eurheartj/ehy107</w:t>
      </w:r>
    </w:p>
    <w:p>
      <w:pPr/>
      <w:r>
        <w:rPr>
          <w:b/>
        </w:rPr>
        <w:t>Shared claim-specific concepts:</w:t>
      </w:r>
      <w:r>
        <w:t xml:space="preserve"> current, estimates, predict, countries; EU scope visible. This is a provisional connection, not an outcome finding.</w:t>
      </w:r>
    </w:p>
    <w:p>
      <w:pPr>
        <w:pStyle w:val="SourceNote"/>
      </w:pPr>
      <w:r>
        <w:rPr>
          <w:b/>
        </w:rPr>
        <w:t>Available abstract (not full text):</w:t>
      </w:r>
      <w:r>
        <w:t xml:space="preserve">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pPr/>
      <w:r>
        <w:rPr>
          <w:b/>
        </w:rPr>
        <w:t>POSSIBLE 2015:</w:t>
      </w:r>
      <w:r>
        <w:t xml:space="preserve"> Particulate emissions from residential wood combustion in Europe – revised estimates and an evaluation — https://doi.org/10.5194/acp-15-6503-2015</w:t>
      </w:r>
    </w:p>
    <w:p>
      <w:pPr/>
      <w:r>
        <w:rPr>
          <w:b/>
        </w:rPr>
        <w:t>Shared claim-specific concepts:</w:t>
      </w:r>
      <w:r>
        <w:t xml:space="preserve"> estimates, need, gas, about, especially; EU scope visible. This is a provisional connection, not an outcome finding.</w:t>
      </w:r>
    </w:p>
    <w:p>
      <w:pPr>
        <w:pStyle w:val="SourceNote"/>
      </w:pPr>
      <w:r>
        <w:rPr>
          <w:b/>
        </w:rPr>
        <w:t>Available abstract (not full text):</w:t>
      </w:r>
      <w:r>
        <w:t xml:space="preserve"> Abstract. Currently residential wood combustion (RWC) is increasing in Europe because of rising fossil fuel prices but also due to climate change mitigation policies. However, especially in small-scale applications, RWC may cause high emissions of particulate matter (PM). Recently we have developed a new high-resolution (7 km × 7 km) anthropogenic carbonaceous aerosol emission inventory for Europe. The inventory indicated that about half of the total PM2.5 emission in Europe is carbonaceous aerosol and identified RWC as the largest organic aerosol (OA) source in Europe. The inventory was partly based on national reported PM emissions. Use of this OA inventory as input for two Chemical Transport Models (CTMs), PMCAMx and EMEP MSC-W, revealed major underestimations of OA in winter time, especially for regions dominated by RWC. Interestingly, this was not universal but appeared to differ by country. In the present study we constructed a new bottom-up emission inventory for RWC accounting for the semi-volatile components of the emissions. The new RWC emissions are higher than those in the previous inventory by a factor of 2–3 but with substantial inter-country variation. The new emission inventory served as input for the CTMs and a substantially improved agreement between measured and predicted organic aerosol was found. The new RWC inventory improves the model calculated OA signif</w:t>
      </w:r>
    </w:p>
    <w:p>
      <w:pPr>
        <w:pStyle w:val="Heading2"/>
      </w:pPr>
      <w:r>
        <w:t>906.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r>
        <w:rPr>
          <w:b/>
        </w:rPr>
        <w:t>POSSIBLE 2021:</w:t>
      </w:r>
      <w:r>
        <w:t xml:space="preserve"> Foresight Capacity Building — https://doi.org/10.5281/zenodo.6630549</w:t>
      </w:r>
    </w:p>
    <w:p>
      <w:pPr/>
      <w:r>
        <w:rPr>
          <w:b/>
        </w:rPr>
        <w:t>Shared claim-specific concepts:</w:t>
      </w:r>
      <w:r>
        <w:t xml:space="preserve"> foresight, used, specific, also, related; EU scope visible. This is a provisional connection, not an outcome finding.</w:t>
      </w:r>
    </w:p>
    <w:p>
      <w:pPr>
        <w:pStyle w:val="SourceNote"/>
      </w:pPr>
      <w:r>
        <w:rPr>
          <w:b/>
        </w:rPr>
        <w:t>Available abstract (not full text):</w:t>
      </w:r>
      <w:r>
        <w:t xml:space="preserve">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pPr/>
      <w:r>
        <w:rPr>
          <w:b/>
        </w:rPr>
        <w:t>POSSIBLE 2020:</w:t>
      </w:r>
      <w:r>
        <w:t xml:space="preserve"> Project FORESIGHT: A ten-year retrospective — https://doi.org/10.1016/j.fsisyn.2020.08.005</w:t>
      </w:r>
    </w:p>
    <w:p>
      <w:pPr/>
      <w:r>
        <w:rPr>
          <w:b/>
        </w:rPr>
        <w:t>Shared claim-specific concepts:</w:t>
      </w:r>
      <w:r>
        <w:t xml:space="preserve"> foresight, used, process, also; EU scope not established. This is a provisional connection, not an outcome finding.</w:t>
      </w:r>
    </w:p>
    <w:p>
      <w:pPr>
        <w:pStyle w:val="SourceNote"/>
      </w:pPr>
      <w:r>
        <w:rPr>
          <w:b/>
        </w:rPr>
        <w:t>Available abstract (not full text):</w:t>
      </w:r>
      <w:r>
        <w:t xml:space="preserve">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pPr/>
      <w:r>
        <w:rPr>
          <w:b/>
        </w:rPr>
        <w:t>POSSIBLE 2019:</w:t>
      </w:r>
      <w:r>
        <w:t xml:space="preserve"> Horizon Scanning in Foresight – Why Horizon Scanning is only a part of the game — https://doi.org/10.1002/ffo2.23</w:t>
      </w:r>
    </w:p>
    <w:p>
      <w:pPr/>
      <w:r>
        <w:rPr>
          <w:b/>
        </w:rPr>
        <w:t>Shared claim-specific concepts:</w:t>
      </w:r>
      <w:r>
        <w:t xml:space="preserve"> foresight, projects, used, world, process, also; EU scope visible. This is a provisional connection, not an outcome finding.</w:t>
      </w:r>
    </w:p>
    <w:p>
      <w:pPr>
        <w:pStyle w:val="SourceNote"/>
      </w:pPr>
      <w:r>
        <w:rPr>
          <w:b/>
        </w:rPr>
        <w:t>Available abstract (not full text):</w:t>
      </w:r>
      <w:r>
        <w:t xml:space="preserve">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pPr/>
      <w:r>
        <w:rPr>
          <w:b/>
        </w:rPr>
        <w:t>POSSIBLE 2019:</w:t>
      </w:r>
      <w:r>
        <w:t xml:space="preserve"> European electricity sector decarbonization under different levels of foresight — https://doi.org/10.1016/j.renene.2019.02.099</w:t>
      </w:r>
    </w:p>
    <w:p>
      <w:pPr/>
      <w:r>
        <w:rPr>
          <w:b/>
        </w:rPr>
        <w:t>Shared claim-specific concepts:</w:t>
      </w:r>
      <w:r>
        <w:t xml:space="preserve"> foresight, specific, also; EU scope visible. This is a provisional connection, not an outcome finding.</w:t>
      </w:r>
    </w:p>
    <w:p>
      <w:pPr>
        <w:pStyle w:val="SourceNote"/>
      </w:pPr>
      <w:r>
        <w:rPr>
          <w:b/>
        </w:rPr>
        <w:t>Available abstract (not full text):</w:t>
      </w:r>
      <w:r>
        <w:t xml:space="preserve">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907.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r>
        <w:rPr>
          <w:b/>
        </w:rPr>
        <w:t>POSSIBLE 2022:</w:t>
      </w:r>
      <w:r>
        <w:t xml:space="preserve"> Chemical Looping Combustion and Gasification: A Review and a Focus on European Research Projects — https://doi.org/10.1021/acs.iecr.2c02677</w:t>
      </w:r>
    </w:p>
    <w:p>
      <w:pPr/>
      <w:r>
        <w:rPr>
          <w:b/>
        </w:rPr>
        <w:t>Shared claim-specific concepts:</w:t>
      </w:r>
      <w:r>
        <w:t xml:space="preserve"> focus, they, provide; EU scope visible. This is a provisional connection, not an outcome finding.</w:t>
      </w:r>
    </w:p>
    <w:p>
      <w:pPr>
        <w:pStyle w:val="SourceNote"/>
      </w:pPr>
      <w:r>
        <w:rPr>
          <w:b/>
        </w:rPr>
        <w:t>Available abstract (not full text):</w:t>
      </w:r>
      <w:r>
        <w:t xml:space="preserve">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pPr/>
      <w:r>
        <w:rPr>
          <w:b/>
        </w:rPr>
        <w:t>POSSIBLE 2022:</w:t>
      </w:r>
      <w:r>
        <w:t xml:space="preserve"> Approaches to Implementing National Action Plans on Women, Peace and Security — https://doi.org/10.19088/k4d.2022.049</w:t>
      </w:r>
    </w:p>
    <w:p>
      <w:pPr/>
      <w:r>
        <w:rPr>
          <w:b/>
        </w:rPr>
        <w:t>Shared claim-specific concepts:</w:t>
      </w:r>
      <w:r>
        <w:t xml:space="preserve"> approaches, focus, security, time, support, they; EU scope not established. This is a provisional connection, not an outcome finding.</w:t>
      </w:r>
    </w:p>
    <w:p>
      <w:pPr>
        <w:pStyle w:val="SourceNote"/>
      </w:pPr>
      <w:r>
        <w:rPr>
          <w:b/>
        </w:rPr>
        <w:t>Available abstract (not full text):</w:t>
      </w:r>
      <w:r>
        <w:t xml:space="preserve">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pPr/>
      <w:r>
        <w:rPr>
          <w:b/>
        </w:rPr>
        <w:t>POSSIBLE 2021:</w:t>
      </w:r>
      <w:r>
        <w:t xml:space="preserve"> Project FOCUS: an interdisciplinary approach to monitor disturbances in European forest ecosystems — https://doi.org/10.5281/zenodo.5607114</w:t>
      </w:r>
    </w:p>
    <w:p>
      <w:pPr/>
      <w:r>
        <w:rPr>
          <w:b/>
        </w:rPr>
        <w:t>Shared claim-specific concepts:</w:t>
      </w:r>
      <w:r>
        <w:t xml:space="preserve"> focus, project, environment; EU scope visible. This is a provisional connection, not an outcome finding.</w:t>
      </w:r>
    </w:p>
    <w:p>
      <w:pPr>
        <w:pStyle w:val="SourceNote"/>
      </w:pPr>
      <w:r>
        <w:rPr>
          <w:b/>
        </w:rPr>
        <w:t>Available abstract (not full text):</w:t>
      </w:r>
      <w:r>
        <w:t xml:space="preserve">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pPr/>
      <w:r>
        <w:rPr>
          <w:b/>
        </w:rPr>
        <w:t>POSSIBLE 2020:</w:t>
      </w:r>
      <w:r>
        <w:t xml:space="preserve"> What Is the Future of European Cyber Security? Three Principles of European Cooperation and the Hybrid Joint Strategy of Cyber Defence — https://doi.org/10.33067/se.2.2020.3</w:t>
      </w:r>
    </w:p>
    <w:p>
      <w:pPr/>
      <w:r>
        <w:rPr>
          <w:b/>
        </w:rPr>
        <w:t>Shared claim-specific concepts:</w:t>
      </w:r>
      <w:r>
        <w:t xml:space="preserve"> focus, security, support, environment; EU scope visible. This is a provisional connection, not an outcome finding.</w:t>
      </w:r>
    </w:p>
    <w:p>
      <w:pPr>
        <w:pStyle w:val="SourceNote"/>
      </w:pPr>
      <w:r>
        <w:rPr>
          <w:b/>
        </w:rPr>
        <w:t>Available abstract (not full text):</w:t>
      </w:r>
      <w:r>
        <w:t xml:space="preserve">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pPr/>
      <w:r>
        <w:rPr>
          <w:b/>
        </w:rPr>
        <w:t>POSSIBLE 2019:</w:t>
      </w:r>
      <w:r>
        <w:t xml:space="preserve"> Engineering Education for Sustainable Development: The European Project Semester Approach — https://doi.org/10.1109/te.2019.2926944</w:t>
      </w:r>
    </w:p>
    <w:p>
      <w:pPr/>
      <w:r>
        <w:rPr>
          <w:b/>
        </w:rPr>
        <w:t>Shared claim-specific concepts:</w:t>
      </w:r>
      <w:r>
        <w:t xml:space="preserve"> focus, project, framework; EU scope visible. This is a provisional connection, not an outcome finding.</w:t>
      </w:r>
    </w:p>
    <w:p>
      <w:pPr>
        <w:pStyle w:val="SourceNote"/>
      </w:pPr>
      <w:r>
        <w:rPr>
          <w:b/>
        </w:rPr>
        <w:t>Available abstract (not full text):</w:t>
      </w:r>
      <w:r>
        <w:t xml:space="preserve">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908.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2021:</w:t>
      </w:r>
      <w:r>
        <w:t xml:space="preserve"> Thermal flight performance reveals impact of warming on bumblebee foraging potential — https://doi.org/10.1111/1365-2435.13887</w:t>
      </w:r>
    </w:p>
    <w:p>
      <w:pPr/>
      <w:r>
        <w:rPr>
          <w:b/>
        </w:rPr>
        <w:t>Shared claim-specific concepts:</w:t>
      </w:r>
      <w:r>
        <w:t xml:space="preserve"> warming, species, across; EU scope not established. This is a provisional connection, not an outcome finding.</w:t>
      </w:r>
    </w:p>
    <w:p>
      <w:pPr>
        <w:pStyle w:val="SourceNote"/>
      </w:pPr>
      <w:r>
        <w:rPr>
          <w:b/>
        </w:rPr>
        <w:t>Available abstract (not full text):</w:t>
      </w:r>
      <w:r>
        <w:t xml:space="preserve">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pPr/>
      <w:r>
        <w:rPr>
          <w:b/>
        </w:rPr>
        <w:t>POSSIBLE 2020:</w:t>
      </w:r>
      <w:r>
        <w:t xml:space="preserve"> Paleoclimate records reveal elusive ~200-kyr eccentricity cycle for the first time — https://doi.org/10.1016/j.gloplacha.2020.103296</w:t>
      </w:r>
    </w:p>
    <w:p>
      <w:pPr/>
      <w:r>
        <w:rPr>
          <w:b/>
        </w:rPr>
        <w:t>Shared claim-specific concepts:</w:t>
      </w:r>
      <w:r>
        <w:t xml:space="preserve"> reveal, first, time; EU scope visible. This is a provisional connection, not an outcome finding.</w:t>
      </w:r>
    </w:p>
    <w:p>
      <w:pPr>
        <w:pStyle w:val="SourceNote"/>
      </w:pPr>
      <w:r>
        <w:rPr>
          <w:b/>
        </w:rPr>
        <w:t>Available abstract (not full text):</w:t>
      </w:r>
      <w:r>
        <w:t xml:space="preserve">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pPr/>
      <w:r>
        <w:rPr>
          <w:b/>
        </w:rPr>
        <w:t>POSSIBLE 2020:</w:t>
      </w:r>
      <w:r>
        <w:t xml:space="preserve"> Intraspecific variation in tolerance of warming in fishes — https://doi.org/10.1111/jfb.14620</w:t>
      </w:r>
    </w:p>
    <w:p>
      <w:pPr/>
      <w:r>
        <w:rPr>
          <w:b/>
        </w:rPr>
        <w:t>Shared claim-specific concepts:</w:t>
      </w:r>
      <w:r>
        <w:t xml:space="preserve"> reveal, first, impacts, warming, species, across; EU scope not established. This is a provisional connection, not an outcome finding.</w:t>
      </w:r>
    </w:p>
    <w:p>
      <w:pPr>
        <w:pStyle w:val="SourceNote"/>
      </w:pPr>
      <w:r>
        <w:rPr>
          <w:b/>
        </w:rPr>
        <w:t>Available abstract (not full text):</w:t>
      </w:r>
      <w:r>
        <w:t xml:space="preserve">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pPr/>
      <w:r>
        <w:rPr>
          <w:b/>
        </w:rPr>
        <w:t>POSSIBLE 2020:</w:t>
      </w:r>
      <w:r>
        <w:t xml:space="preserve"> Intraspecific responses to climate reveal nonintuitive warming impacts on a widespread thermophilic conifer — https://doi.org/10.1111/nph.16656</w:t>
      </w:r>
    </w:p>
    <w:p>
      <w:pPr/>
      <w:r>
        <w:rPr>
          <w:b/>
        </w:rPr>
        <w:t>Shared claim-specific concepts:</w:t>
      </w:r>
      <w:r>
        <w:t xml:space="preserve"> reveal, impacts, warming, species, across; EU scope visible. This is a provisional connection, not an outcome finding.</w:t>
      </w:r>
    </w:p>
    <w:p>
      <w:pPr>
        <w:pStyle w:val="SourceNote"/>
      </w:pPr>
      <w:r>
        <w:rPr>
          <w:b/>
        </w:rPr>
        <w:t>Available abstract (not full text):</w:t>
      </w:r>
      <w:r>
        <w:t xml:space="preserve">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pPr/>
      <w:r>
        <w:rPr>
          <w:b/>
        </w:rPr>
        <w:t>POSSIBLE 2020:</w:t>
      </w:r>
      <w:r>
        <w:t xml:space="preserve"> A quantitative framework reveals ecological drivers of grassland microbial community assembly in response to warming — https://doi.org/10.1038/s41467-020-18560-z</w:t>
      </w:r>
    </w:p>
    <w:p>
      <w:pPr/>
      <w:r>
        <w:rPr>
          <w:b/>
        </w:rPr>
        <w:t>Shared claim-specific concepts:</w:t>
      </w:r>
      <w:r>
        <w:t xml:space="preserve"> time, warming, plant, communities, productivity; EU scope not established. This is a provisional connection, not an outcome finding.</w:t>
      </w:r>
    </w:p>
    <w:p>
      <w:pPr>
        <w:pStyle w:val="SourceNote"/>
      </w:pPr>
      <w:r>
        <w:rPr>
          <w:b/>
        </w:rPr>
        <w:t>Available abstract (not full text):</w:t>
      </w:r>
      <w:r>
        <w:t xml:space="preserve">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909.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r>
        <w:rPr>
          <w:b/>
        </w:rPr>
        <w:t>POSSIBLE 2022:</w:t>
      </w:r>
      <w:r>
        <w:t xml:space="preserve"> Privacy and Robustness in Federated Learning: Attacks and Defenses — https://doi.org/10.1109/tnnls.2022.3216981</w:t>
      </w:r>
    </w:p>
    <w:p>
      <w:pPr/>
      <w:r>
        <w:rPr>
          <w:b/>
        </w:rPr>
        <w:t>Shared claim-specific concepts:</w:t>
      </w:r>
      <w:r>
        <w:t xml:space="preserve"> robustness, learning, robust; EU scope not established. This is a provisional connection, not an outcome finding.</w:t>
      </w:r>
    </w:p>
    <w:p>
      <w:pPr>
        <w:pStyle w:val="SourceNote"/>
      </w:pPr>
      <w:r>
        <w:rPr>
          <w:b/>
        </w:rPr>
        <w:t>Available abstract (not full text):</w:t>
      </w:r>
      <w:r>
        <w:t xml:space="preserve">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pPr/>
      <w:r>
        <w:rPr>
          <w:b/>
        </w:rPr>
        <w:t>POSSIBLE 2022:</w:t>
      </w:r>
      <w:r>
        <w:t xml:space="preserve"> Safe Learning in Robotics: From Learning-Based Control to Safe Reinforcement Learning — https://doi.org/10.1146/annurev-control-042920-020211</w:t>
      </w:r>
    </w:p>
    <w:p>
      <w:pPr/>
      <w:r>
        <w:rPr>
          <w:b/>
        </w:rPr>
        <w:t>Shared claim-specific concepts:</w:t>
      </w:r>
      <w:r>
        <w:t xml:space="preserve"> robustness, learning, but; EU scope not established. This is a provisional connection, not an outcome finding.</w:t>
      </w:r>
    </w:p>
    <w:p>
      <w:pPr>
        <w:pStyle w:val="SourceNote"/>
      </w:pPr>
      <w:r>
        <w:rPr>
          <w:b/>
        </w:rPr>
        <w:t>Available abstract (not full text):</w:t>
      </w:r>
      <w:r>
        <w:t xml:space="preserve">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pPr/>
      <w:r>
        <w:rPr>
          <w:b/>
        </w:rPr>
        <w:t>POSSIBLE 2022:</w:t>
      </w:r>
      <w:r>
        <w:t xml:space="preserve"> On Robustness in Optimization-Based Constrained Iterative Learning Control — https://doi.org/10.3929/ethz-b-000549153</w:t>
      </w:r>
    </w:p>
    <w:p>
      <w:pPr/>
      <w:r>
        <w:rPr>
          <w:b/>
        </w:rPr>
        <w:t>Shared claim-specific concepts:</w:t>
      </w:r>
      <w:r>
        <w:t xml:space="preserve"> based, robustness, learning, robust, uncertainty; EU scope not established. This is a provisional connection, not an outcome finding.</w:t>
      </w:r>
    </w:p>
    <w:p>
      <w:pPr>
        <w:pStyle w:val="SourceNote"/>
      </w:pPr>
      <w:r>
        <w:rPr>
          <w:b/>
        </w:rPr>
        <w:t>Available abstract (not full text):</w:t>
      </w:r>
      <w:r>
        <w:t xml:space="preserve">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pPr/>
      <w:r>
        <w:rPr>
          <w:b/>
        </w:rPr>
        <w:t>POSSIBLE 2021:</w:t>
      </w:r>
      <w:r>
        <w:t xml:space="preserve"> Possibilities of the Development of Edible Insect-Based Foods in Europe — https://doi.org/10.3390/foods10040766</w:t>
      </w:r>
    </w:p>
    <w:p>
      <w:pPr/>
      <w:r>
        <w:rPr>
          <w:b/>
        </w:rPr>
        <w:t>Shared claim-specific concepts:</w:t>
      </w:r>
      <w:r>
        <w:t xml:space="preserve"> two, possibilities, but, not;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2021:</w:t>
      </w:r>
      <w:r>
        <w:t xml:space="preserve"> Approval of artificial intelligence and machine learning-based medical devices in the USA and Europe (2015–20): a comparative analysis — https://doi.org/10.1016/s2589-7500(20)30292-2</w:t>
      </w:r>
    </w:p>
    <w:p>
      <w:pPr/>
      <w:r>
        <w:rPr>
          <w:b/>
        </w:rPr>
        <w:t>Shared claim-specific concepts:</w:t>
      </w:r>
      <w:r>
        <w:t xml:space="preserve"> based, learning, increased; EU scope visible. This is a provisional connection, not an outcome finding.</w:t>
      </w:r>
    </w:p>
    <w:p>
      <w:pPr>
        <w:pStyle w:val="SourceNote"/>
      </w:pPr>
      <w:r>
        <w:rPr>
          <w:b/>
        </w:rPr>
        <w:t>Available abstract (not full text):</w:t>
      </w:r>
      <w:r>
        <w:t xml:space="preserve">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pPr/>
      <w:r>
        <w:rPr>
          <w:b/>
        </w:rPr>
        <w:t>POSSIBLE 2021:</w:t>
      </w:r>
      <w:r>
        <w:t xml:space="preserve"> Time-sequencing European options and pricing with deep learning – Analyzing based on interpretable ALE method — https://doi.org/10.1016/j.eswa.2021.115951</w:t>
      </w:r>
    </w:p>
    <w:p>
      <w:pPr/>
      <w:r>
        <w:rPr>
          <w:b/>
        </w:rPr>
        <w:t>Shared claim-specific concepts:</w:t>
      </w:r>
      <w:r>
        <w:t xml:space="preserve"> based, learning, method; EU scope visible. This is a provisional connection, not an outcome finding.</w:t>
      </w:r>
    </w:p>
    <w:p>
      <w:pPr>
        <w:pStyle w:val="SourceNote"/>
      </w:pPr>
      <w:r>
        <w:rPr>
          <w:b/>
        </w:rPr>
        <w:t>Available abstract (not full text):</w:t>
      </w:r>
      <w:r>
        <w:t xml:space="preserve"> Unavailable</w:t>
      </w:r>
    </w:p>
    <w:p>
      <w:pPr>
        <w:pStyle w:val="Heading2"/>
      </w:pPr>
      <w:r>
        <w:t>910.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r>
        <w:rPr>
          <w:b/>
        </w:rPr>
        <w:t>POSSIBLE 2020:</w:t>
      </w:r>
      <w:r>
        <w:t xml:space="preserve"> Public perception of air pollution sources across Europe — https://doi.org/10.1007/s13280-020-01450-5</w:t>
      </w:r>
    </w:p>
    <w:p>
      <w:pPr/>
      <w:r>
        <w:rPr>
          <w:b/>
        </w:rPr>
        <w:t>Shared claim-specific concepts:</w:t>
      </w:r>
      <w:r>
        <w:t xml:space="preserve"> perception, all, one; EU scope visible. This is a provisional connection, not an outcome finding.</w:t>
      </w:r>
    </w:p>
    <w:p>
      <w:pPr>
        <w:pStyle w:val="SourceNote"/>
      </w:pPr>
      <w:r>
        <w:rPr>
          <w:b/>
        </w:rPr>
        <w:t>Available abstract (not full text):</w:t>
      </w:r>
      <w:r>
        <w:t xml:space="preserve">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pPr/>
      <w:r>
        <w:rPr>
          <w:b/>
        </w:rPr>
        <w:t>POSSIBLE 2019:</w:t>
      </w:r>
      <w:r>
        <w:t xml:space="preserve"> Household carbon footprint patterns by the degree of urbanisation in Europe — https://doi.org/10.1088/1748-9326/ab443d</w:t>
      </w:r>
    </w:p>
    <w:p>
      <w:pPr/>
      <w:r>
        <w:rPr>
          <w:b/>
        </w:rPr>
        <w:t>Shared claim-specific concepts:</w:t>
      </w:r>
      <w:r>
        <w:t xml:space="preserve"> all, but, not; EU scope visible. This is a provisional connection, not an outcome finding.</w:t>
      </w:r>
    </w:p>
    <w:p>
      <w:pPr>
        <w:pStyle w:val="SourceNote"/>
      </w:pPr>
      <w:r>
        <w:rPr>
          <w:b/>
        </w:rPr>
        <w:t>Available abstract (not full text):</w:t>
      </w:r>
      <w:r>
        <w:t xml:space="preserve">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pPr/>
      <w:r>
        <w:rPr>
          <w:b/>
        </w:rPr>
        <w:t>POSSIBLE 2019:</w:t>
      </w:r>
      <w:r>
        <w:t xml:space="preserve"> Plantation forests in Europe: challenges and opportunities — https://doi.org/10.36333/fs09</w:t>
      </w:r>
    </w:p>
    <w:p>
      <w:pPr/>
      <w:r>
        <w:rPr>
          <w:b/>
        </w:rPr>
        <w:t>Shared claim-specific concepts:</w:t>
      </w:r>
      <w:r>
        <w:t xml:space="preserve"> there, past, but, policies, not, effective;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2018:</w:t>
      </w:r>
      <w:r>
        <w:t xml:space="preserve"> Europe - a project worthy of being built — https://doi.org/10.21814/unio.4.1.3</w:t>
      </w:r>
    </w:p>
    <w:p>
      <w:pPr/>
      <w:r>
        <w:rPr>
          <w:b/>
        </w:rPr>
        <w:t>Shared claim-specific concepts:</w:t>
      </w:r>
      <w:r>
        <w:t xml:space="preserve"> built, all, but, not, way, second; EU scope visible. This is a provisional connection, not an outcome finding.</w:t>
      </w:r>
    </w:p>
    <w:p>
      <w:pPr>
        <w:pStyle w:val="SourceNote"/>
      </w:pPr>
      <w:r>
        <w:rPr>
          <w:b/>
        </w:rPr>
        <w:t>Available abstract (not full text):</w:t>
      </w:r>
      <w:r>
        <w:t xml:space="preserve">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pPr/>
      <w:r>
        <w:rPr>
          <w:b/>
        </w:rPr>
        <w:t>POSSIBLE 2018:</w:t>
      </w:r>
      <w:r>
        <w:t xml:space="preserve"> The Challenges of Urban Ageing: Making Cities Age-Friendly in Europe — https://doi.org/10.3390/ijerph15112473</w:t>
      </w:r>
    </w:p>
    <w:p>
      <w:pPr/>
      <w:r>
        <w:rPr>
          <w:b/>
        </w:rPr>
        <w:t>Shared claim-specific concepts:</w:t>
      </w:r>
      <w:r>
        <w:t xml:space="preserve"> way, compared, one; EU scope visible. This is a provisional connection, not an outcome finding.</w:t>
      </w:r>
    </w:p>
    <w:p>
      <w:pPr>
        <w:pStyle w:val="SourceNote"/>
      </w:pPr>
      <w:r>
        <w:rPr>
          <w:b/>
        </w:rPr>
        <w:t>Available abstract (not full text):</w:t>
      </w:r>
      <w:r>
        <w:t xml:space="preserve">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911.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2019:</w:t>
      </w:r>
      <w:r>
        <w:t xml:space="preserve"> Parallel clines in native and introduced ragweed populations are likely due to adaptation — https://doi.org/10.1101/773838</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pPr/>
      <w:r>
        <w:rPr>
          <w:b/>
        </w:rPr>
        <w:t>POSSIBLE 2018:</w:t>
      </w:r>
      <w:r>
        <w:t xml:space="preserve"> Intercultural Scale Adaptation Stages, Language and Culture Adaptation: Updated Guideline — https://doi.org/10.26650/fnjn397481</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pPr/>
      <w:r>
        <w:rPr>
          <w:b/>
        </w:rPr>
        <w:t>POSSIBLE 2017:</w:t>
      </w:r>
      <w:r>
        <w:t xml:space="preserve"> The FLC Locus: A Platform for Discoveries in Epigenetics and Adaptation — https://doi.org/10.1146/annurev-cellbio-100616-060546</w:t>
      </w:r>
    </w:p>
    <w:p>
      <w:pPr/>
      <w:r>
        <w:rPr>
          <w:b/>
        </w:rPr>
        <w:t>Shared claim-specific concepts:</w:t>
      </w:r>
      <w:r>
        <w:t xml:space="preserve"> therefore, adaptation, regulate; EU scope not established. This is a provisional connection, not an outcome finding.</w:t>
      </w:r>
    </w:p>
    <w:p>
      <w:pPr>
        <w:pStyle w:val="SourceNote"/>
      </w:pPr>
      <w:r>
        <w:rPr>
          <w:b/>
        </w:rPr>
        <w:t>Available abstract (not full text):</w:t>
      </w:r>
      <w:r>
        <w:t xml:space="preserve">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pPr/>
      <w:r>
        <w:rPr>
          <w:b/>
        </w:rPr>
        <w:t>POSSIBLE 2017:</w:t>
      </w:r>
      <w:r>
        <w:t xml:space="preserve"> Cross-Adaptation: Heat and Cold Adaptation to Improve Physiological and Cellular Responses to Hypoxia — https://doi.org/10.1007/s40279-017-0717-z</w:t>
      </w:r>
    </w:p>
    <w:p>
      <w:pPr/>
      <w:r>
        <w:rPr>
          <w:b/>
        </w:rPr>
        <w:t>Shared claim-specific concepts:</w:t>
      </w:r>
      <w:r>
        <w:t xml:space="preserve"> therefore, likely, adaptation, between; EU scope not established. This is a provisional connection, not an outcome finding.</w:t>
      </w:r>
    </w:p>
    <w:p>
      <w:pPr>
        <w:pStyle w:val="SourceNote"/>
      </w:pPr>
      <w:r>
        <w:rPr>
          <w:b/>
        </w:rPr>
        <w:t>Available abstract (not full text):</w:t>
      </w:r>
      <w:r>
        <w:t xml:space="preserve">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pPr/>
      <w:r>
        <w:rPr>
          <w:b/>
        </w:rPr>
        <w:t>POSSIBLE 2017:</w:t>
      </w:r>
      <w:r>
        <w:t xml:space="preserve"> Epigenetic and Genetic Contributions to Adaptation in Chlamydomonas — https://doi.org/10.1093/molbev/msx166</w:t>
      </w:r>
    </w:p>
    <w:p>
      <w:pPr/>
      <w:r>
        <w:rPr>
          <w:b/>
        </w:rPr>
        <w:t>Shared claim-specific concepts:</w:t>
      </w:r>
      <w:r>
        <w:t xml:space="preserve"> adaptation, between; EU scope not established. This is a provisional connection, not an outcome finding.</w:t>
      </w:r>
    </w:p>
    <w:p>
      <w:pPr>
        <w:pStyle w:val="SourceNote"/>
      </w:pPr>
      <w:r>
        <w:rPr>
          <w:b/>
        </w:rPr>
        <w:t>Available abstract (not full text):</w:t>
      </w:r>
      <w:r>
        <w:t xml:space="preserve">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pPr/>
      <w:r>
        <w:rPr>
          <w:b/>
        </w:rPr>
        <w:t>POSSIBLE 2016:</w:t>
      </w:r>
      <w:r>
        <w:t xml:space="preserve"> An uncertain future, deep uncertainty, scenarios, robustness and adaptation: How do they fit together? — https://doi.org/10.1016/j.envsoft.2016.03.014</w:t>
      </w:r>
    </w:p>
    <w:p>
      <w:pPr/>
      <w:r>
        <w:rPr>
          <w:b/>
        </w:rPr>
        <w:t>Shared claim-specific concepts:</w:t>
      </w:r>
      <w:r>
        <w:t xml:space="preserve"> adaptation, conditions, climate; EU scope not established. This is a provisional connection, not an outcome finding.</w:t>
      </w:r>
    </w:p>
    <w:p>
      <w:pPr>
        <w:pStyle w:val="SourceNote"/>
      </w:pPr>
      <w:r>
        <w:rPr>
          <w:b/>
        </w:rPr>
        <w:t>Available abstract (not full text):</w:t>
      </w:r>
      <w:r>
        <w:t xml:space="preserve">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912.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r>
        <w:rPr>
          <w:b/>
        </w:rPr>
        <w:t>POSSIBLE 2018:</w:t>
      </w:r>
      <w:r>
        <w:t xml:space="preserve"> Drought tolerance during reproductive development is important for increasing wheat yield potential under climate change in Europe — https://doi.org/10.1093/jxb/ery226</w:t>
      </w:r>
    </w:p>
    <w:p>
      <w:pPr/>
      <w:r>
        <w:rPr>
          <w:b/>
        </w:rPr>
        <w:t>Shared claim-specific concepts:</w:t>
      </w:r>
      <w:r>
        <w:t xml:space="preserve"> important, however, used; EU scope visible. This is a provisional connection, not an outcome finding.</w:t>
      </w:r>
    </w:p>
    <w:p>
      <w:pPr>
        <w:pStyle w:val="SourceNote"/>
      </w:pPr>
      <w:r>
        <w:rPr>
          <w:b/>
        </w:rPr>
        <w:t>Available abstract (not full text):</w:t>
      </w:r>
      <w:r>
        <w:t xml:space="preserve">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pPr/>
      <w:r>
        <w:rPr>
          <w:b/>
        </w:rPr>
        <w:t>POSSIBLE 2018:</w:t>
      </w:r>
      <w:r>
        <w:t xml:space="preserve"> Home Exercise Training Improves Exercise Capacity in Cirrhosis Patients: Role of Exercise Adherence — https://doi.org/10.1038/s41598-017-18320-y</w:t>
      </w:r>
    </w:p>
    <w:p>
      <w:pPr/>
      <w:r>
        <w:rPr>
          <w:b/>
        </w:rPr>
        <w:t>Shared claim-specific concepts:</w:t>
      </w:r>
      <w:r>
        <w:t xml:space="preserve"> exercise, objective, used; EU scope not established. This is a provisional connection, not an outcome finding.</w:t>
      </w:r>
    </w:p>
    <w:p>
      <w:pPr>
        <w:pStyle w:val="SourceNote"/>
      </w:pPr>
      <w:r>
        <w:rPr>
          <w:b/>
        </w:rPr>
        <w:t>Available abstract (not full text):</w:t>
      </w:r>
      <w:r>
        <w:t xml:space="preserve">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pPr/>
      <w:r>
        <w:rPr>
          <w:b/>
        </w:rPr>
        <w:t>POSSIBLE 2018:</w:t>
      </w:r>
      <w:r>
        <w:t xml:space="preserve"> Challenges and Action Points to Amplify Agroecology in Europe — https://doi.org/10.3390/su10051598</w:t>
      </w:r>
    </w:p>
    <w:p>
      <w:pPr/>
      <w:r>
        <w:rPr>
          <w:b/>
        </w:rPr>
        <w:t>Shared claim-specific concepts:</w:t>
      </w:r>
      <w:r>
        <w:t xml:space="preserve"> important, exercise, carried, out, present; EU scope visible. This is a provisional connection, not an outcome finding.</w:t>
      </w:r>
    </w:p>
    <w:p>
      <w:pPr>
        <w:pStyle w:val="SourceNote"/>
      </w:pPr>
      <w:r>
        <w:rPr>
          <w:b/>
        </w:rPr>
        <w:t>Available abstract (not full text):</w:t>
      </w:r>
      <w:r>
        <w:t xml:space="preserve">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pPr/>
      <w:r>
        <w:rPr>
          <w:b/>
        </w:rPr>
        <w:t>POSSIBLE 2017:</w:t>
      </w:r>
      <w:r>
        <w:t xml:space="preserve"> Exercise for intermittent claudication — https://doi.org/10.1002/14651858.cd000990.pub4</w:t>
      </w:r>
    </w:p>
    <w:p>
      <w:pPr/>
      <w:r>
        <w:rPr>
          <w:b/>
        </w:rPr>
        <w:t>Shared claim-specific concepts:</w:t>
      </w:r>
      <w:r>
        <w:t xml:space="preserve"> important, however, exercise, case, only, used; EU scope not established. This is a provisional connection, not an outcome finding.</w:t>
      </w:r>
    </w:p>
    <w:p>
      <w:pPr>
        <w:pStyle w:val="SourceNote"/>
      </w:pPr>
      <w:r>
        <w:rPr>
          <w:b/>
        </w:rPr>
        <w:t>Available abstract (not full text):</w:t>
      </w:r>
      <w:r>
        <w:t xml:space="preserve">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pPr/>
      <w:r>
        <w:rPr>
          <w:b/>
        </w:rPr>
        <w:t>POSSIBLE 2016:</w:t>
      </w:r>
      <w:r>
        <w:t xml:space="preserve"> The second gamma-H2AX assay inter-comparison exercise carried out in the framework of the European biodosimetry network (RENEB) — https://doi.org/10.1080/09553002.2016.1207822</w:t>
      </w:r>
    </w:p>
    <w:p>
      <w:pPr/>
      <w:r>
        <w:rPr>
          <w:b/>
        </w:rPr>
        <w:t>Shared claim-specific concepts:</w:t>
      </w:r>
      <w:r>
        <w:t xml:space="preserve"> way, exercise, carried, out, only, purpose; EU scope visible. This is a provisional connection, not an outcome finding.</w:t>
      </w:r>
    </w:p>
    <w:p>
      <w:pPr>
        <w:pStyle w:val="SourceNote"/>
      </w:pPr>
      <w:r>
        <w:rPr>
          <w:b/>
        </w:rPr>
        <w:t>Available abstract (not full text):</w:t>
      </w:r>
      <w:r>
        <w:t xml:space="preserve">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pPr/>
      <w:r>
        <w:rPr>
          <w:b/>
        </w:rPr>
        <w:t>POSSIBLE 2015:</w:t>
      </w:r>
      <w:r>
        <w:t xml:space="preserve"> Epidemiology of traumatic brain injury in Europe — https://doi.org/10.1007/s00701-015-2512-7</w:t>
      </w:r>
    </w:p>
    <w:p>
      <w:pPr/>
      <w:r>
        <w:rPr>
          <w:b/>
        </w:rPr>
        <w:t>Shared claim-specific concepts:</w:t>
      </w:r>
      <w:r>
        <w:t xml:space="preserve"> case, only; EU scope visible. This is a provisional connection, not an outcome finding.</w:t>
      </w:r>
    </w:p>
    <w:p>
      <w:pPr>
        <w:pStyle w:val="SourceNote"/>
      </w:pPr>
      <w:r>
        <w:rPr>
          <w:b/>
        </w:rPr>
        <w:t>Available abstract (not full text):</w:t>
      </w:r>
      <w:r>
        <w:t xml:space="preserve">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913.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Simulating Ecological Functions of Vegetation Using a Dynamic Vegetation Model — https://doi.org/10.3390/f13091464</w:t>
      </w:r>
    </w:p>
    <w:p>
      <w:pPr/>
      <w:r>
        <w:rPr>
          <w:b/>
        </w:rPr>
        <w:t>Shared claim-specific concepts:</w:t>
      </w:r>
      <w:r>
        <w:t xml:space="preserve"> used, vegetation, forest; EU scope not established. This is a provisional connection, not an outcome finding.</w:t>
      </w:r>
    </w:p>
    <w:p>
      <w:pPr>
        <w:pStyle w:val="SourceNote"/>
      </w:pPr>
      <w:r>
        <w:rPr>
          <w:b/>
        </w:rPr>
        <w:t>Available abstract (not full text):</w:t>
      </w:r>
      <w:r>
        <w:t xml:space="preserve">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used, forest, part;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2021:</w:t>
      </w:r>
      <w:r>
        <w:t xml:space="preserve"> Analysing the relationship between drought and soil erosion using vegetation health index and RUSLE models in Godavari middle sub-basin, India — https://doi.org/10.1016/j.gsf.2021.101312</w:t>
      </w:r>
    </w:p>
    <w:p>
      <w:pPr/>
      <w:r>
        <w:rPr>
          <w:b/>
        </w:rPr>
        <w:t>Shared claim-specific concepts:</w:t>
      </w:r>
      <w:r>
        <w:t xml:space="preserve"> vegetation, one; EU scope not established. This is a provisional connection, not an outcome finding.</w:t>
      </w:r>
    </w:p>
    <w:p>
      <w:pPr>
        <w:pStyle w:val="SourceNote"/>
      </w:pPr>
      <w:r>
        <w:rPr>
          <w:b/>
        </w:rPr>
        <w:t>Available abstract (not full text):</w:t>
      </w:r>
      <w:r>
        <w:t xml:space="preserve">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pPr/>
      <w:r>
        <w:rPr>
          <w:b/>
        </w:rPr>
        <w:t>POSSIBLE 2020:</w:t>
      </w:r>
      <w:r>
        <w:t xml:space="preserve"> Sentinel-1 Cross Ratio and Vegetation Optical Depth: A Comparison over Europe — https://doi.org/10.3390/rs12203404</w:t>
      </w:r>
    </w:p>
    <w:p>
      <w:pPr/>
      <w:r>
        <w:rPr>
          <w:b/>
        </w:rPr>
        <w:t>Shared claim-specific concepts:</w:t>
      </w:r>
      <w:r>
        <w:t xml:space="preserve"> used, vegetation, one; EU scope visible. This is a provisional connection, not an outcome finding.</w:t>
      </w:r>
    </w:p>
    <w:p>
      <w:pPr>
        <w:pStyle w:val="SourceNote"/>
      </w:pPr>
      <w:r>
        <w:rPr>
          <w:b/>
        </w:rPr>
        <w:t>Available abstract (not full text):</w:t>
      </w:r>
      <w:r>
        <w:t xml:space="preserve">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pPr/>
      <w:r>
        <w:rPr>
          <w:b/>
        </w:rPr>
        <w:t>POSSIBLE 2017:</w:t>
      </w:r>
      <w:r>
        <w:t xml:space="preserve"> Vegetation dynamics and fire history at the southern boundary of the forest vegetation zone in European Russia during the middle and late Holocene — https://doi.org/10.1177/0959683617721331</w:t>
      </w:r>
    </w:p>
    <w:p>
      <w:pPr/>
      <w:r>
        <w:rPr>
          <w:b/>
        </w:rPr>
        <w:t>Shared claim-specific concepts:</w:t>
      </w:r>
      <w:r>
        <w:t xml:space="preserve"> vegetation, forest, part, russia; EU scope visible. This is a provisional connection, not an outcome finding.</w:t>
      </w:r>
    </w:p>
    <w:p>
      <w:pPr>
        <w:pStyle w:val="SourceNote"/>
      </w:pPr>
      <w:r>
        <w:rPr>
          <w:b/>
        </w:rPr>
        <w:t>Available abstract (not full text):</w:t>
      </w:r>
      <w:r>
        <w:t xml:space="preserve">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pPr/>
      <w:r>
        <w:rPr>
          <w:b/>
        </w:rPr>
        <w:t>POSSIBLE 2015:</w:t>
      </w:r>
      <w:r>
        <w:t xml:space="preserve"> A Conceptual Model of Vegetation–hydrogeomorphology Interactions Within River Corridors — https://doi.org/10.1002/rra.2928</w:t>
      </w:r>
    </w:p>
    <w:p>
      <w:pPr/>
      <w:r>
        <w:rPr>
          <w:b/>
        </w:rPr>
        <w:t>Shared claim-specific concepts:</w:t>
      </w:r>
      <w:r>
        <w:t xml:space="preserve"> vegetation, one; EU scope visible. This is a provisional connection, not an outcome finding.</w:t>
      </w:r>
    </w:p>
    <w:p>
      <w:pPr>
        <w:pStyle w:val="SourceNote"/>
      </w:pPr>
      <w:r>
        <w:rPr>
          <w:b/>
        </w:rPr>
        <w:t>Available abstract (not full text):</w:t>
      </w:r>
      <w:r>
        <w:t xml:space="preserve">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914.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2023:</w:t>
      </w:r>
      <w:r>
        <w:t xml:space="preserve"> Emerging threats and opportunities to managed bee species in European agricultural systems: a horizon scan — https://doi.org/10.1038/s41598-023-45279-w</w:t>
      </w:r>
    </w:p>
    <w:p>
      <w:pPr/>
      <w:r>
        <w:rPr>
          <w:b/>
        </w:rPr>
        <w:t>Shared claim-specific concepts:</w:t>
      </w:r>
      <w:r>
        <w:t xml:space="preserve"> issues, horizon, scanning, exercise; EU scope visible. This is a provisional connection, not an outcome finding.</w:t>
      </w:r>
    </w:p>
    <w:p>
      <w:pPr>
        <w:pStyle w:val="SourceNote"/>
      </w:pPr>
      <w:r>
        <w:rPr>
          <w:b/>
        </w:rPr>
        <w:t>Available abstract (not full text):</w:t>
      </w:r>
      <w:r>
        <w:t xml:space="preserve">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pPr/>
      <w:r>
        <w:rPr>
          <w:b/>
        </w:rPr>
        <w:t>POSSIBLE 2022:</w:t>
      </w:r>
      <w:r>
        <w:t xml:space="preserve"> Health horizons: Future trends and technologies from the European Medicines Agency’s horizon scanning collaborations — https://doi.org/10.3389/fmed.2022.1064003</w:t>
      </w:r>
    </w:p>
    <w:p>
      <w:pPr/>
      <w:r>
        <w:rPr>
          <w:b/>
        </w:rPr>
        <w:t>Shared claim-specific concepts:</w:t>
      </w:r>
      <w:r>
        <w:t xml:space="preserve"> horizon, scanning, light, challenges; EU scope visible. This is a provisional connection, not an outcome finding.</w:t>
      </w:r>
    </w:p>
    <w:p>
      <w:pPr>
        <w:pStyle w:val="SourceNote"/>
      </w:pPr>
      <w:r>
        <w:rPr>
          <w:b/>
        </w:rPr>
        <w:t>Available abstract (not full text):</w:t>
      </w:r>
      <w:r>
        <w:t xml:space="preserve">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pPr/>
      <w:r>
        <w:rPr>
          <w:b/>
        </w:rPr>
        <w:t>POSSIBLE 2022:</w:t>
      </w:r>
      <w:r>
        <w:t xml:space="preserve"> AI hyped? A horizon scan of discourse on artificial intelligence in education (AIED) and development — https://doi.org/10.1080/17439884.2022.2095568</w:t>
      </w:r>
    </w:p>
    <w:p>
      <w:pPr/>
      <w:r>
        <w:rPr>
          <w:b/>
        </w:rPr>
        <w:t>Shared claim-specific concepts:</w:t>
      </w:r>
      <w:r>
        <w:t xml:space="preserve"> key, horizon; EU scope not established. This is a provisional connection, not an outcome finding.</w:t>
      </w:r>
    </w:p>
    <w:p>
      <w:pPr>
        <w:pStyle w:val="SourceNote"/>
      </w:pPr>
      <w:r>
        <w:rPr>
          <w:b/>
        </w:rPr>
        <w:t>Available abstract (not full text):</w:t>
      </w:r>
      <w:r>
        <w:t xml:space="preserve">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pPr/>
      <w:r>
        <w:rPr>
          <w:b/>
        </w:rPr>
        <w:t>POSSIBLE 2021:</w:t>
      </w:r>
      <w:r>
        <w:t xml:space="preserve"> Issues that mobilize Europe. The role of key policy issues for voter turnout in the 2019 European Parliament election — https://doi.org/10.1177/14651165211040337</w:t>
      </w:r>
    </w:p>
    <w:p>
      <w:pPr/>
      <w:r>
        <w:rPr>
          <w:b/>
        </w:rPr>
        <w:t>Shared claim-specific concepts:</w:t>
      </w:r>
      <w:r>
        <w:t xml:space="preserve"> key, issues, systemic, light; EU scope visible. This is a provisional connection, not an outcome finding.</w:t>
      </w:r>
    </w:p>
    <w:p>
      <w:pPr>
        <w:pStyle w:val="SourceNote"/>
      </w:pPr>
      <w:r>
        <w:rPr>
          <w:b/>
        </w:rPr>
        <w:t>Available abstract (not full text):</w:t>
      </w:r>
      <w:r>
        <w:t xml:space="preserve">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pPr/>
      <w:r>
        <w:rPr>
          <w:b/>
        </w:rPr>
        <w:t>POSSIBLE 2021:</w:t>
      </w:r>
      <w:r>
        <w:t xml:space="preserve"> The Imperative to Discuss European Islam: A Response to Grinell and Črnič — https://doi.org/10.1017/s1062798721000193</w:t>
      </w:r>
    </w:p>
    <w:p>
      <w:pPr/>
      <w:r>
        <w:rPr>
          <w:b/>
        </w:rPr>
        <w:t>Shared claim-specific concepts:</w:t>
      </w:r>
      <w:r>
        <w:t xml:space="preserve"> discuss, key, issues; EU scope visible. This is a provisional connection, not an outcome finding.</w:t>
      </w:r>
    </w:p>
    <w:p>
      <w:pPr>
        <w:pStyle w:val="SourceNote"/>
      </w:pPr>
      <w:r>
        <w:rPr>
          <w:b/>
        </w:rPr>
        <w:t>Available abstract (not full text):</w:t>
      </w:r>
      <w:r>
        <w:t xml:space="preserve">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915.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r>
        <w:rPr>
          <w:b/>
        </w:rPr>
        <w:t>POSSIBLE 2020:</w:t>
      </w:r>
      <w:r>
        <w:t xml:space="preserve"> Effects of global ship emissions on European air pollution levels — https://doi.org/10.5194/acp-20-11399-2020</w:t>
      </w:r>
    </w:p>
    <w:p>
      <w:pPr/>
      <w:r>
        <w:rPr>
          <w:b/>
        </w:rPr>
        <w:t>Shared claim-specific concepts:</w:t>
      </w:r>
      <w:r>
        <w:t xml:space="preserve"> air, pollution, both, but; EU scope visible. This is a provisional connection, not an outcome finding.</w:t>
      </w:r>
    </w:p>
    <w:p>
      <w:pPr>
        <w:pStyle w:val="SourceNote"/>
      </w:pPr>
      <w:r>
        <w:rPr>
          <w:b/>
        </w:rPr>
        <w:t>Available abstract (not full text):</w:t>
      </w:r>
      <w:r>
        <w:t xml:space="preserve">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pPr/>
      <w:r>
        <w:rPr>
          <w:b/>
        </w:rPr>
        <w:t>POSSIBLE 2019:</w:t>
      </w:r>
      <w:r>
        <w:t xml:space="preserve"> Cardiovascular disease burden from ambient air pollution in Europe reassessed using novel hazard ratio functions — https://doi.org/10.1093/eurheartj/ehz135</w:t>
      </w:r>
    </w:p>
    <w:p>
      <w:pPr/>
      <w:r>
        <w:rPr>
          <w:b/>
        </w:rPr>
        <w:t>Shared claim-specific concepts:</w:t>
      </w:r>
      <w:r>
        <w:t xml:space="preserve"> air, pollution, leading, about; EU scope visible. This is a provisional connection, not an outcome finding.</w:t>
      </w:r>
    </w:p>
    <w:p>
      <w:pPr>
        <w:pStyle w:val="SourceNote"/>
      </w:pPr>
      <w:r>
        <w:rPr>
          <w:b/>
        </w:rPr>
        <w:t>Available abstract (not full text):</w:t>
      </w:r>
      <w:r>
        <w:t xml:space="preserve">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pPr/>
      <w:r>
        <w:rPr>
          <w:b/>
        </w:rPr>
        <w:t>POSSIBLE 2017:</w:t>
      </w:r>
      <w:r>
        <w:t xml:space="preserve"> Air pollution and social inequality in the European Union — https://openalex.org/W2897528287</w:t>
      </w:r>
    </w:p>
    <w:p>
      <w:pPr/>
      <w:r>
        <w:rPr>
          <w:b/>
        </w:rPr>
        <w:t>Shared claim-specific concepts:</w:t>
      </w:r>
      <w:r>
        <w:t xml:space="preserve"> air, pollution, but, about; EU scope visible. This is a provisional connection, not an outcome finding.</w:t>
      </w:r>
    </w:p>
    <w:p>
      <w:pPr>
        <w:pStyle w:val="SourceNote"/>
      </w:pPr>
      <w:r>
        <w:rPr>
          <w:b/>
        </w:rPr>
        <w:t>Available abstract (not full text):</w:t>
      </w:r>
      <w:r>
        <w:t xml:space="preserve">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916.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2017:</w:t>
      </w:r>
      <w:r>
        <w:t xml:space="preserve"> Migrating Huns and modified heads: Eigenshape analysis comparing intentionally modified crania from Hungary and Georgia in the Migration Period of Europe — https://doi.org/10.1371/journal.pone.0171064</w:t>
      </w:r>
    </w:p>
    <w:p>
      <w:pPr/>
      <w:r>
        <w:rPr>
          <w:b/>
        </w:rPr>
        <w:t>Shared claim-specific concepts:</w:t>
      </w:r>
      <w:r>
        <w:t xml:space="preserve"> comparing, baseline, period; EU scope visible. This is a provisional connection, not an outcome finding.</w:t>
      </w:r>
    </w:p>
    <w:p>
      <w:pPr>
        <w:pStyle w:val="SourceNote"/>
      </w:pPr>
      <w:r>
        <w:rPr>
          <w:b/>
        </w:rPr>
        <w:t>Available abstract (not full text):</w:t>
      </w:r>
      <w:r>
        <w:t xml:space="preserve">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pPr/>
      <w:r>
        <w:rPr>
          <w:b/>
        </w:rPr>
        <w:t>POSSIBLE 2016:</w:t>
      </w:r>
      <w:r>
        <w:t xml:space="preserve"> Time trends of contact allergy to the European baseline series in Lithuania — https://doi.org/10.1111/cod.12726</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pPr/>
      <w:r>
        <w:rPr>
          <w:b/>
        </w:rPr>
        <w:t>POSSIBLE 2015:</w:t>
      </w:r>
      <w:r>
        <w:t xml:space="preserve"> Influenza surveillance in E urope: comparing intensity levels calculated using the moving epidemic method — https://doi.org/10.1111/irv.12330</w:t>
      </w:r>
    </w:p>
    <w:p>
      <w:pPr/>
      <w:r>
        <w:rPr>
          <w:b/>
        </w:rPr>
        <w:t>Shared claim-specific concepts:</w:t>
      </w:r>
      <w:r>
        <w:t xml:space="preserve"> comparing, baseline, period, belgium, spain; EU scope visible. This is a provisional connection, not an outcome finding.</w:t>
      </w:r>
    </w:p>
    <w:p>
      <w:pPr>
        <w:pStyle w:val="SourceNote"/>
      </w:pPr>
      <w:r>
        <w:rPr>
          <w:b/>
        </w:rPr>
        <w:t>Available abstract (not full text):</w:t>
      </w:r>
      <w:r>
        <w:t xml:space="preserve">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pPr/>
      <w:r>
        <w:rPr>
          <w:b/>
        </w:rPr>
        <w:t>POSSIBLE 2014:</w:t>
      </w:r>
      <w:r>
        <w:t xml:space="preserve"> The Importance of Baseline Surveys of Near-Surface Gas Geochemistry for CCS Monitoring, as Shown from Onshore Case Studies in Northern and Southern Europe — https://doi.org/10.2516/ogst/2014009</w:t>
      </w:r>
    </w:p>
    <w:p>
      <w:pPr/>
      <w:r>
        <w:rPr>
          <w:b/>
        </w:rPr>
        <w:t>Shared claim-specific concepts:</w:t>
      </w:r>
      <w:r>
        <w:t xml:space="preserve"> baseline, much, larger, climate; EU scope visible. This is a provisional connection, not an outcome finding.</w:t>
      </w:r>
    </w:p>
    <w:p>
      <w:pPr>
        <w:pStyle w:val="SourceNote"/>
      </w:pPr>
      <w:r>
        <w:rPr>
          <w:b/>
        </w:rPr>
        <w:t>Available abstract (not full text):</w:t>
      </w:r>
      <w:r>
        <w:t xml:space="preserve">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917.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r>
        <w:rPr>
          <w:b/>
        </w:rPr>
        <w:t>POSSIBLE 2021:</w:t>
      </w:r>
      <w:r>
        <w:t xml:space="preserve"> A Model for Examining Challenges and Opportunities in Use of Cloud Computing for Health Information Systems — https://doi.org/10.3390/asi4010015</w:t>
      </w:r>
    </w:p>
    <w:p>
      <w:pPr/>
      <w:r>
        <w:rPr>
          <w:b/>
        </w:rPr>
        <w:t>Shared claim-specific concepts:</w:t>
      </w:r>
      <w:r>
        <w:t xml:space="preserve"> systems, but, not, technology; EU scope not established. This is a provisional connection, not an outcome finding.</w:t>
      </w:r>
    </w:p>
    <w:p>
      <w:pPr>
        <w:pStyle w:val="SourceNote"/>
      </w:pPr>
      <w:r>
        <w:rPr>
          <w:b/>
        </w:rPr>
        <w:t>Available abstract (not full text):</w:t>
      </w:r>
      <w:r>
        <w:t xml:space="preserve">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pPr/>
      <w:r>
        <w:rPr>
          <w:b/>
        </w:rPr>
        <w:t>POSSIBLE 2020:</w:t>
      </w:r>
      <w:r>
        <w:t xml:space="preserve"> Applying focused ethnographic methods: examining implications of intracultural diversity for nutrition interventions — https://doi.org/10.1093/nutrit/nuaa002</w:t>
      </w:r>
    </w:p>
    <w:p>
      <w:pPr/>
      <w:r>
        <w:rPr>
          <w:b/>
        </w:rPr>
        <w:t>Shared claim-specific concepts:</w:t>
      </w:r>
      <w:r>
        <w:t xml:space="preserve"> then, examines, implications, approach, but; EU scope not established. This is a provisional connection, not an outcome finding.</w:t>
      </w:r>
    </w:p>
    <w:p>
      <w:pPr>
        <w:pStyle w:val="SourceNote"/>
      </w:pPr>
      <w:r>
        <w:rPr>
          <w:b/>
        </w:rPr>
        <w:t>Available abstract (not full text):</w:t>
      </w:r>
      <w:r>
        <w:t xml:space="preserve">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pPr/>
      <w:r>
        <w:rPr>
          <w:b/>
        </w:rPr>
        <w:t>POSSIBLE 2018:</w:t>
      </w:r>
      <w:r>
        <w:t xml:space="preserve"> Measuring learning gains and examining implications for student success in STEM — https://doi.org/10.1080/23752696.2018.1425096</w:t>
      </w:r>
    </w:p>
    <w:p>
      <w:pPr/>
      <w:r>
        <w:rPr>
          <w:b/>
        </w:rPr>
        <w:t>Shared claim-specific concepts:</w:t>
      </w:r>
      <w:r>
        <w:t xml:space="preserve"> implications, technology, mix; EU scope not established. This is a provisional connection, not an outcome finding.</w:t>
      </w:r>
    </w:p>
    <w:p>
      <w:pPr>
        <w:pStyle w:val="SourceNote"/>
      </w:pPr>
      <w:r>
        <w:rPr>
          <w:b/>
        </w:rPr>
        <w:t>Available abstract (not full text):</w:t>
      </w:r>
      <w:r>
        <w:t xml:space="preserve">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pPr/>
      <w:r>
        <w:rPr>
          <w:b/>
        </w:rPr>
        <w:t>POSSIBLE 2016:</w:t>
      </w:r>
      <w:r>
        <w:t xml:space="preserve"> Commodification of natural resources and forest ecosystem services: examining implications for forest protection — https://doi.org/10.1017/s0376892916000436</w:t>
      </w:r>
    </w:p>
    <w:p>
      <w:pPr/>
      <w:r>
        <w:rPr>
          <w:b/>
        </w:rPr>
        <w:t>Shared claim-specific concepts:</w:t>
      </w:r>
      <w:r>
        <w:t xml:space="preserve"> implications, approach; EU scope not established. This is a provisional connection, not an outcome finding.</w:t>
      </w:r>
    </w:p>
    <w:p>
      <w:pPr>
        <w:pStyle w:val="SourceNote"/>
      </w:pPr>
      <w:r>
        <w:rPr>
          <w:b/>
        </w:rPr>
        <w:t>Available abstract (not full text):</w:t>
      </w:r>
      <w:r>
        <w:t xml:space="preserve">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pPr/>
      <w:r>
        <w:rPr>
          <w:b/>
        </w:rPr>
        <w:t>POSSIBLE 2014:</w:t>
      </w:r>
      <w:r>
        <w:t xml:space="preserve"> RFID integrated systems in libraries: extending TAM model for empirically examining the use — https://doi.org/10.1108/jeim-10-2013-0079</w:t>
      </w:r>
    </w:p>
    <w:p>
      <w:pPr/>
      <w:r>
        <w:rPr>
          <w:b/>
        </w:rPr>
        <w:t>Shared claim-specific concepts:</w:t>
      </w:r>
      <w:r>
        <w:t xml:space="preserve"> systems, approach, significantly, technology; EU scope not established. This is a provisional connection, not an outcome finding.</w:t>
      </w:r>
    </w:p>
    <w:p>
      <w:pPr>
        <w:pStyle w:val="SourceNote"/>
      </w:pPr>
      <w:r>
        <w:rPr>
          <w:b/>
        </w:rPr>
        <w:t>Available abstract (not full text):</w:t>
      </w:r>
      <w:r>
        <w:t xml:space="preserve">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918.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r>
        <w:rPr>
          <w:b/>
        </w:rPr>
        <w:t>POSSIBLE 2023:</w:t>
      </w:r>
      <w:r>
        <w:t xml:space="preserve"> RAND Methodological Guidance for Conducting and Critically Appraising Delphi Panels — https://doi.org/10.7249/tla3082-1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pPr/>
      <w:r>
        <w:rPr>
          <w:b/>
        </w:rPr>
        <w:t>POSSIBLE 2023:</w:t>
      </w:r>
      <w:r>
        <w:t xml:space="preserve"> Z-Delphi: A Z-Number-Based Delphi Technique for Technological Forecasting to Reduce Optimism/Pessimism Bias in Experts’ Convergent Opinions — https://doi.org/10.1007/s44196-023-00270-1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pPr/>
      <w:r>
        <w:rPr>
          <w:b/>
        </w:rPr>
        <w:t>POSSIBLE 2022:</w:t>
      </w:r>
      <w:r>
        <w:t xml:space="preserve"> A Conceptual Framework for Determining Quality Requirements for Mobile Learning Applications Using Delphi Method — https://doi.org/10.3390/electronics11050788</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pPr/>
      <w:r>
        <w:rPr>
          <w:b/>
        </w:rPr>
        <w:t>POSSIBLE 2022:</w:t>
      </w:r>
      <w:r>
        <w:t xml:space="preserve"> Grand Challenges in global eye health: a global prioritisation process using Delphi method — https://doi.org/10.1016/s2666-7568(21)00302-0</w:t>
      </w:r>
    </w:p>
    <w:p>
      <w:pPr/>
      <w:r>
        <w:rPr>
          <w:b/>
        </w:rPr>
        <w:t>Shared claim-specific concepts:</w:t>
      </w:r>
      <w:r>
        <w:t xml:space="preserve"> used, delphi, method, systems, each; EU scope visible. This is a provisional connection, not an outcome finding.</w:t>
      </w:r>
    </w:p>
    <w:p>
      <w:pPr>
        <w:pStyle w:val="SourceNote"/>
      </w:pPr>
      <w:r>
        <w:rPr>
          <w:b/>
        </w:rPr>
        <w:t>Available abstract (not full text):</w:t>
      </w:r>
      <w:r>
        <w:t xml:space="preserve">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pPr/>
      <w:r>
        <w:rPr>
          <w:b/>
        </w:rPr>
        <w:t>POSSIBLE 2022:</w:t>
      </w:r>
      <w:r>
        <w:t xml:space="preserve"> Forecasting Food Innovations with a Delphi Study — https://doi.org/10.3390/foods11223723</w:t>
      </w:r>
    </w:p>
    <w:p>
      <w:pPr/>
      <w:r>
        <w:rPr>
          <w:b/>
        </w:rPr>
        <w:t>Shared claim-specific concepts:</w:t>
      </w:r>
      <w:r>
        <w:t xml:space="preserve"> delphi, method, food; EU scope not established. This is a provisional connection, not an outcome finding.</w:t>
      </w:r>
    </w:p>
    <w:p>
      <w:pPr>
        <w:pStyle w:val="SourceNote"/>
      </w:pPr>
      <w:r>
        <w:rPr>
          <w:b/>
        </w:rPr>
        <w:t>Available abstract (not full text):</w:t>
      </w:r>
      <w:r>
        <w:t xml:space="preserve">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pPr/>
      <w:r>
        <w:rPr>
          <w:b/>
        </w:rPr>
        <w:t>POSSIBLE 2021:</w:t>
      </w:r>
      <w:r>
        <w:t xml:space="preserve"> A Study on the Classification of Autonomous Functions of Unmanned Aircraft Using Delphi Method — https://doi.org/10.25052/kscm.2021.05.21.1.55</w:t>
      </w:r>
    </w:p>
    <w:p>
      <w:pPr/>
      <w:r>
        <w:rPr>
          <w:b/>
        </w:rPr>
        <w:t>Shared claim-specific concepts:</w:t>
      </w:r>
      <w:r>
        <w:t xml:space="preserve"> delphi, method, systems, each; EU scope not established. This is a provisional connection, not an outcome finding.</w:t>
      </w:r>
    </w:p>
    <w:p>
      <w:pPr>
        <w:pStyle w:val="SourceNote"/>
      </w:pPr>
      <w:r>
        <w:rPr>
          <w:b/>
        </w:rPr>
        <w:t>Available abstract (not full text):</w:t>
      </w:r>
      <w:r>
        <w:t xml:space="preserve">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pPr/>
      <w:r>
        <w:rPr>
          <w:b/>
        </w:rPr>
        <w:t>POSSIBLE 2021:</w:t>
      </w:r>
      <w:r>
        <w:t xml:space="preserve"> Conceptual framework for task shifting and task sharing: an international Delphi study — https://doi.org/10.1186/s12960-021-00605-z</w:t>
      </w:r>
    </w:p>
    <w:p>
      <w:pPr/>
      <w:r>
        <w:rPr>
          <w:b/>
        </w:rPr>
        <w:t>Shared claim-specific concepts:</w:t>
      </w:r>
      <w:r>
        <w:t xml:space="preserve"> used, delphi, within; EU scope not established. This is a provisional connection, not an outcome finding.</w:t>
      </w:r>
    </w:p>
    <w:p>
      <w:pPr>
        <w:pStyle w:val="SourceNote"/>
      </w:pPr>
      <w:r>
        <w:rPr>
          <w:b/>
        </w:rPr>
        <w:t>Available abstract (not full text):</w:t>
      </w:r>
      <w:r>
        <w:t xml:space="preserve">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919.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r>
        <w:rPr>
          <w:b/>
        </w:rPr>
        <w:t>POSSIBLE 2021:</w:t>
      </w:r>
      <w:r>
        <w:t xml:space="preserve"> PROJECT ACTIVITIES OF STUDENTS AND CRITERIA FOR EVALUATING RESULTS — https://doi.org/10.33989/2075-146x.2020.26.227655</w:t>
      </w:r>
    </w:p>
    <w:p>
      <w:pPr/>
      <w:r>
        <w:rPr>
          <w:b/>
        </w:rPr>
        <w:t>Shared claim-specific concepts:</w:t>
      </w:r>
      <w:r>
        <w:t xml:space="preserve"> projects, evaluation, thinking, between, activities; EU scope not established. This is a provisional connection, not an outcome finding.</w:t>
      </w:r>
    </w:p>
    <w:p>
      <w:pPr>
        <w:pStyle w:val="SourceNote"/>
      </w:pPr>
      <w:r>
        <w:rPr>
          <w:b/>
        </w:rPr>
        <w:t>Available abstract (not full text):</w:t>
      </w:r>
      <w:r>
        <w:t xml:space="preserve">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pPr/>
      <w:r>
        <w:rPr>
          <w:b/>
        </w:rPr>
        <w:t>POSSIBLE 2021:</w:t>
      </w:r>
      <w:r>
        <w:t xml:space="preserve"> Urban-PLUMBER model evaluation project: initial results — https://doi.org/10.5194/egusphere-egu21-15230</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pPr/>
      <w:r>
        <w:rPr>
          <w:b/>
        </w:rPr>
        <w:t>POSSIBLE 2020:</w:t>
      </w:r>
      <w:r>
        <w:t xml:space="preserve"> Results of the Collaborative International Evaluated Library Organisation (CIELO) Project — https://doi.org/10.1051/epjconf/202023915003</w:t>
      </w:r>
    </w:p>
    <w:p>
      <w:pPr/>
      <w:r>
        <w:rPr>
          <w:b/>
        </w:rPr>
        <w:t>Shared claim-specific concepts:</w:t>
      </w:r>
      <w:r>
        <w:t xml:space="preserve"> projects, evaluation, data, between, activities; EU scope visible. This is a provisional connection, not an outcome finding.</w:t>
      </w:r>
    </w:p>
    <w:p>
      <w:pPr>
        <w:pStyle w:val="SourceNote"/>
      </w:pPr>
      <w:r>
        <w:rPr>
          <w:b/>
        </w:rPr>
        <w:t>Available abstract (not full text):</w:t>
      </w:r>
      <w:r>
        <w:t xml:space="preserve">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pPr/>
      <w:r>
        <w:rPr>
          <w:b/>
        </w:rPr>
        <w:t>POSSIBLE 2020:</w:t>
      </w:r>
      <w:r>
        <w:t xml:space="preserve"> Optimization of Time and Cost for a Research Project by Project Crashing Method — https://doi.org/10.1088/1757-899x/998/1/012057</w:t>
      </w:r>
    </w:p>
    <w:p>
      <w:pPr/>
      <w:r>
        <w:rPr>
          <w:b/>
        </w:rPr>
        <w:t>Shared claim-specific concepts:</w:t>
      </w:r>
      <w:r>
        <w:t xml:space="preserve"> current, between, activities; EU scope not established. This is a provisional connection, not an outcome finding.</w:t>
      </w:r>
    </w:p>
    <w:p>
      <w:pPr>
        <w:pStyle w:val="SourceNote"/>
      </w:pPr>
      <w:r>
        <w:rPr>
          <w:b/>
        </w:rPr>
        <w:t>Available abstract (not full text):</w:t>
      </w:r>
      <w:r>
        <w:t xml:space="preserve">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920.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2018:</w:t>
      </w:r>
      <w:r>
        <w:t xml:space="preserve"> Compact or spread? A quantitative spatial model of urban areas in Europe since 1990 — https://doi.org/10.1371/journal.pone.0192326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pPr/>
      <w:r>
        <w:rPr>
          <w:b/>
        </w:rPr>
        <w:t>POSSIBLE 2018:</w:t>
      </w:r>
      <w:r>
        <w:t xml:space="preserve"> Quantitative Sovereign Default Models and the European Debt Crisis — https://doi.org/10.3386/w24981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pPr/>
      <w:r>
        <w:rPr>
          <w:b/>
        </w:rPr>
        <w:t>POSSIBLE 2016:</w:t>
      </w:r>
      <w:r>
        <w:t xml:space="preserve"> Reducing burden of disease from residential indoor air exposures in Europe (HEALTHVENT project) — https://doi.org/10.1186/s12940-016-0101-8</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pPr/>
      <w:r>
        <w:rPr>
          <w:b/>
        </w:rPr>
        <w:t>POSSIBLE 2016:</w:t>
      </w:r>
      <w:r>
        <w:t xml:space="preserve"> Congestion management in power systems - Long-term modeling framework and large-scale application — https://openalex.org/W3122947640</w:t>
      </w:r>
    </w:p>
    <w:p>
      <w:pPr/>
      <w:r>
        <w:rPr>
          <w:b/>
        </w:rPr>
        <w:t>Shared claim-specific concepts:</w:t>
      </w:r>
      <w:r>
        <w:t xml:space="preserve"> framework, analyzing, long-term; EU scope visible. This is a provisional connection, not an outcome finding.</w:t>
      </w:r>
    </w:p>
    <w:p>
      <w:pPr>
        <w:pStyle w:val="SourceNote"/>
      </w:pPr>
      <w:r>
        <w:rPr>
          <w:b/>
        </w:rPr>
        <w:t>Available abstract (not full text):</w:t>
      </w:r>
      <w:r>
        <w:t xml:space="preserve">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pPr/>
      <w:r>
        <w:rPr>
          <w:b/>
        </w:rPr>
        <w:t>POSSIBLE 2013:</w:t>
      </w:r>
      <w:r>
        <w:t xml:space="preserve"> Continental-scale assessment of provisioning soil functions in Europe — https://doi.org/10.1186/2192-1709-2-32</w:t>
      </w:r>
    </w:p>
    <w:p>
      <w:pPr/>
      <w:r>
        <w:rPr>
          <w:b/>
        </w:rPr>
        <w:t>Shared claim-specific concepts:</w:t>
      </w:r>
      <w:r>
        <w:t xml:space="preserve"> quantitative, framework; EU scope visible. This is a provisional connection, not an outcome finding.</w:t>
      </w:r>
    </w:p>
    <w:p>
      <w:pPr>
        <w:pStyle w:val="SourceNote"/>
      </w:pPr>
      <w:r>
        <w:rPr>
          <w:b/>
        </w:rPr>
        <w:t>Available abstract (not full text):</w:t>
      </w:r>
      <w:r>
        <w:t xml:space="preserve">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921.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r>
        <w:rPr>
          <w:b/>
        </w:rPr>
        <w:t>POSSIBLE 2025:</w:t>
      </w:r>
      <w:r>
        <w:t xml:space="preserve"> Advantages and pitfalls of green public procurement as a European strategic tool — https://openalex.org/W7116591833</w:t>
      </w:r>
    </w:p>
    <w:p>
      <w:pPr/>
      <w:r>
        <w:rPr>
          <w:b/>
        </w:rPr>
        <w:t>Shared claim-specific concepts:</w:t>
      </w:r>
      <w:r>
        <w:t xml:space="preserve"> tool, strategic, support, sector; EU scope visible. This is a provisional connection, not an outcome finding.</w:t>
      </w:r>
    </w:p>
    <w:p>
      <w:pPr>
        <w:pStyle w:val="SourceNote"/>
      </w:pPr>
      <w:r>
        <w:rPr>
          <w:b/>
        </w:rPr>
        <w:t>Available abstract (not full text):</w:t>
      </w:r>
      <w:r>
        <w:t xml:space="preserve">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pPr/>
      <w:r>
        <w:rPr>
          <w:b/>
        </w:rPr>
        <w:t>POSSIBLE 2025:</w:t>
      </w:r>
      <w:r>
        <w:t xml:space="preserve"> ENHANCING REGIONAL COMPETITIVENESS THROUGH STRATEGIC MANAGEMENT OF TOURISM CLUSTERS: EVIDENCE FROM EUROPEAN COUNTRIES — https://openalex.org/W7220001405</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pPr/>
      <w:r>
        <w:rPr>
          <w:b/>
        </w:rPr>
        <w:t>POSSIBLE 2024:</w:t>
      </w:r>
      <w:r>
        <w:t xml:space="preserve"> Digital Tools in Strategic Global Sports Brand Management — https://doi.org/10.2478/jec-2024-0029</w:t>
      </w:r>
    </w:p>
    <w:p>
      <w:pPr/>
      <w:r>
        <w:rPr>
          <w:b/>
        </w:rPr>
        <w:t>Shared claim-specific concepts:</w:t>
      </w:r>
      <w:r>
        <w:t xml:space="preserve"> qualitative, tool, strategic, findings; EU scope visible. This is a provisional connection, not an outcome finding.</w:t>
      </w:r>
    </w:p>
    <w:p>
      <w:pPr>
        <w:pStyle w:val="SourceNote"/>
      </w:pPr>
      <w:r>
        <w:rPr>
          <w:b/>
        </w:rPr>
        <w:t>Available abstract (not full text):</w:t>
      </w:r>
      <w:r>
        <w:t xml:space="preserve">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pPr/>
      <w:r>
        <w:rPr>
          <w:b/>
        </w:rPr>
        <w:t>POSSIBLE 2024:</w:t>
      </w:r>
      <w:r>
        <w:t xml:space="preserve"> Rethinking Barriers and Enablers in Qualitative Health Research: Limitations, Alternatives, and Enhancements — https://doi.org/10.1177/10497323241230890</w:t>
      </w:r>
    </w:p>
    <w:p>
      <w:pPr/>
      <w:r>
        <w:rPr>
          <w:b/>
        </w:rPr>
        <w:t>Shared claim-specific concepts:</w:t>
      </w:r>
      <w:r>
        <w:t xml:space="preserve"> qualitative, researchers, findings; EU scope not established. This is a provisional connection, not an outcome finding.</w:t>
      </w:r>
    </w:p>
    <w:p>
      <w:pPr>
        <w:pStyle w:val="SourceNote"/>
      </w:pPr>
      <w:r>
        <w:rPr>
          <w:b/>
        </w:rPr>
        <w:t>Available abstract (not full text):</w:t>
      </w:r>
      <w:r>
        <w:t xml:space="preserve">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pPr/>
      <w:r>
        <w:rPr>
          <w:b/>
        </w:rPr>
        <w:t>POSSIBLE 2024:</w:t>
      </w:r>
      <w:r>
        <w:t xml:space="preserve"> Attitudes of European psychiatrists on psychedelics: a qualitative study — https://doi.org/10.3389/fpsyt.2024.1411234</w:t>
      </w:r>
    </w:p>
    <w:p>
      <w:pPr/>
      <w:r>
        <w:rPr>
          <w:b/>
        </w:rPr>
        <w:t>Shared claim-specific concepts:</w:t>
      </w:r>
      <w:r>
        <w:t xml:space="preserve"> qualitative, main, findings; EU scope visible. This is a provisional connection, not an outcome finding.</w:t>
      </w:r>
    </w:p>
    <w:p>
      <w:pPr>
        <w:pStyle w:val="SourceNote"/>
      </w:pPr>
      <w:r>
        <w:rPr>
          <w:b/>
        </w:rPr>
        <w:t>Available abstract (not full text):</w:t>
      </w:r>
      <w:r>
        <w:t xml:space="preserve">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pPr/>
      <w:r>
        <w:rPr>
          <w:b/>
        </w:rPr>
        <w:t>POSSIBLE 2023:</w:t>
      </w:r>
      <w:r>
        <w:t xml:space="preserve"> 4 Research Methods: Quantitative and Qualitative Approaches — https://doi.org/10.21832/9781800417151-006</w:t>
      </w:r>
    </w:p>
    <w:p>
      <w:pPr/>
      <w:r>
        <w:rPr>
          <w:b/>
        </w:rPr>
        <w:t>Shared claim-specific concepts:</w:t>
      </w:r>
      <w:r>
        <w:t xml:space="preserve"> qualitative, identify, discussed; EU scope not established. This is a provisional connection, not an outcome finding.</w:t>
      </w:r>
    </w:p>
    <w:p>
      <w:pPr>
        <w:pStyle w:val="SourceNote"/>
      </w:pPr>
      <w:r>
        <w:rPr>
          <w:b/>
        </w:rPr>
        <w:t>Available abstract (not full text):</w:t>
      </w:r>
      <w:r>
        <w:t xml:space="preserve">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922.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r>
        <w:rPr>
          <w:b/>
        </w:rPr>
        <w:t>POSSIBLE 2020:</w:t>
      </w:r>
      <w:r>
        <w:t xml:space="preserve"> Twenty-seven-year time trends in dementia incidence in Europe and the United States — https://doi.org/10.1212/wnl.0000000000010022</w:t>
      </w:r>
    </w:p>
    <w:p>
      <w:pPr/>
      <w:r>
        <w:rPr>
          <w:b/>
        </w:rPr>
        <w:t>Shared claim-specific concepts:</w:t>
      </w:r>
      <w:r>
        <w:t xml:space="preserve"> similar, trends, increased, over, north; EU scope visible. This is a provisional connection, not an outcome finding.</w:t>
      </w:r>
    </w:p>
    <w:p>
      <w:pPr>
        <w:pStyle w:val="SourceNote"/>
      </w:pPr>
      <w:r>
        <w:rPr>
          <w:b/>
        </w:rPr>
        <w:t>Available abstract (not full text):</w:t>
      </w:r>
      <w:r>
        <w:t xml:space="preserve">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pPr/>
      <w:r>
        <w:rPr>
          <w:b/>
        </w:rPr>
        <w:t>POSSIBLE 2020:</w:t>
      </w:r>
      <w:r>
        <w:t xml:space="preserve"> Flood trends in Europe: are changes in small and big floods different? — https://doi.org/10.5194/hess-24-1805-2020</w:t>
      </w:r>
    </w:p>
    <w:p>
      <w:pPr/>
      <w:r>
        <w:rPr>
          <w:b/>
        </w:rPr>
        <w:t>Shared claim-specific concepts:</w:t>
      </w:r>
      <w:r>
        <w:t xml:space="preserve"> trends, over, southern, distribution, related; EU scope visible. This is a provisional connection, not an outcome finding.</w:t>
      </w:r>
    </w:p>
    <w:p>
      <w:pPr>
        <w:pStyle w:val="SourceNote"/>
      </w:pPr>
      <w:r>
        <w:rPr>
          <w:b/>
        </w:rPr>
        <w:t>Available abstract (not full text):</w:t>
      </w:r>
      <w:r>
        <w:t xml:space="preserve">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pPr/>
      <w:r>
        <w:rPr>
          <w:b/>
        </w:rPr>
        <w:t>POSSIBLE 2020:</w:t>
      </w:r>
      <w:r>
        <w:t xml:space="preserve"> Differing Trends in United States and European Severe Thunderstorm Environments in a Warming Climate — https://doi.org/10.1175/bams-d-20-0004.1</w:t>
      </w:r>
    </w:p>
    <w:p>
      <w:pPr/>
      <w:r>
        <w:rPr>
          <w:b/>
        </w:rPr>
        <w:t>Shared claim-specific concepts:</w:t>
      </w:r>
      <w:r>
        <w:t xml:space="preserve"> trends, likely, over, southern, conditions, north; EU scope visible. This is a provisional connection, not an outcome finding.</w:t>
      </w:r>
    </w:p>
    <w:p>
      <w:pPr>
        <w:pStyle w:val="SourceNote"/>
      </w:pPr>
      <w:r>
        <w:rPr>
          <w:b/>
        </w:rPr>
        <w:t>Available abstract (not full text):</w:t>
      </w:r>
      <w:r>
        <w:t xml:space="preserve">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pPr/>
      <w:r>
        <w:rPr>
          <w:b/>
        </w:rPr>
        <w:t>POSSIBLE 2020:</w:t>
      </w:r>
      <w:r>
        <w:t xml:space="preserve"> Climate change impacts on trends and extremes in future heating and cooling demands over Europe — https://doi.org/10.1016/j.enbuild.2020.110397</w:t>
      </w:r>
    </w:p>
    <w:p>
      <w:pPr/>
      <w:r>
        <w:rPr>
          <w:b/>
        </w:rPr>
        <w:t>Shared claim-specific concepts:</w:t>
      </w:r>
      <w:r>
        <w:t xml:space="preserve"> trends, increased, over, decreased, distribution; EU scope visible. This is a provisional connection, not an outcome finding.</w:t>
      </w:r>
    </w:p>
    <w:p>
      <w:pPr>
        <w:pStyle w:val="SourceNote"/>
      </w:pPr>
      <w:r>
        <w:rPr>
          <w:b/>
        </w:rPr>
        <w:t>Available abstract (not full text):</w:t>
      </w:r>
      <w:r>
        <w:t xml:space="preserve">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923.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924.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r>
        <w:rPr>
          <w:b/>
        </w:rPr>
        <w:t>POSSIBLE 2019:</w:t>
      </w:r>
      <w:r>
        <w:t xml:space="preserve"> Design of a Novel Piezoelectric Energy Harvester Based on Integrated Multistage Force Amplification Frame — https://doi.org/10.1109/tmech.2019.2906999</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pPr/>
      <w:r>
        <w:rPr>
          <w:b/>
        </w:rPr>
        <w:t>POSSIBLE 2018:</w:t>
      </w:r>
      <w:r>
        <w:t xml:space="preserve">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Unavailable</w:t>
      </w:r>
    </w:p>
    <w:p>
      <w:pPr/>
      <w:r>
        <w:rPr>
          <w:b/>
        </w:rPr>
        <w:t>POSSIBLE 2018:</w:t>
      </w:r>
      <w:r>
        <w:t xml:space="preserve"> The integrated motivational–volitional model of suicidal behaviour — https://doi.org/10.1098/rstb.2017.0268</w:t>
      </w:r>
    </w:p>
    <w:p>
      <w:pPr/>
      <w:r>
        <w:rPr>
          <w:b/>
        </w:rPr>
        <w:t>Shared claim-specific concepts:</w:t>
      </w:r>
      <w:r>
        <w:t xml:space="preserve"> integrated, about; EU scope not established. This is a provisional connection, not an outcome finding.</w:t>
      </w:r>
    </w:p>
    <w:p>
      <w:pPr>
        <w:pStyle w:val="SourceNote"/>
      </w:pPr>
      <w:r>
        <w:rPr>
          <w:b/>
        </w:rPr>
        <w:t>Available abstract (not full text):</w:t>
      </w:r>
      <w:r>
        <w:t xml:space="preserve">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pPr/>
      <w:r>
        <w:rPr>
          <w:b/>
        </w:rPr>
        <w:t>POSSIBLE 2018:</w:t>
      </w:r>
      <w:r>
        <w:t xml:space="preserve"> An integrated phenology modelling framework in r — https://doi.org/10.1111/2041-210x.12970</w:t>
      </w:r>
    </w:p>
    <w:p>
      <w:pPr/>
      <w:r>
        <w:rPr>
          <w:b/>
        </w:rPr>
        <w:t>Shared claim-specific concepts:</w:t>
      </w:r>
      <w:r>
        <w:t xml:space="preserve"> integrated, first, climate, show; EU scope visible. This is a provisional connection, not an outcome finding.</w:t>
      </w:r>
    </w:p>
    <w:p>
      <w:pPr>
        <w:pStyle w:val="SourceNote"/>
      </w:pPr>
      <w:r>
        <w:rPr>
          <w:b/>
        </w:rPr>
        <w:t>Available abstract (not full text):</w:t>
      </w:r>
      <w:r>
        <w:t xml:space="preserve">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pPr/>
      <w:r>
        <w:rPr>
          <w:b/>
        </w:rPr>
        <w:t>POSSIBLE 2018:</w:t>
      </w:r>
      <w:r>
        <w:t xml:space="preserve"> An Integrated Cytoskeletal Model of Neurite Outgrowth — https://doi.org/10.3389/fncel.2018.00447</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925.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2019:</w:t>
      </w:r>
      <w:r>
        <w:t xml:space="preserve"> From Moscow to Simferopol: How the Russian Cubo-Futurists Accessed the Provinces — https://doi.org/10.1353/ths.2019.0003</w:t>
      </w:r>
    </w:p>
    <w:p>
      <w:pPr/>
      <w:r>
        <w:rPr>
          <w:b/>
        </w:rPr>
        <w:t>Shared claim-specific concepts:</w:t>
      </w:r>
      <w:r>
        <w:t xml:space="preserve"> futurists, radically, different, but, also, project; EU scope not established. This is a provisional connection, not an outcome finding.</w:t>
      </w:r>
    </w:p>
    <w:p>
      <w:pPr>
        <w:pStyle w:val="SourceNote"/>
      </w:pPr>
      <w:r>
        <w:rPr>
          <w:b/>
        </w:rPr>
        <w:t>Available abstract (not full text):</w:t>
      </w:r>
      <w:r>
        <w:t xml:space="preserve">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pPr/>
      <w:r>
        <w:rPr>
          <w:b/>
        </w:rPr>
        <w:t>POSSIBLE 2017:</w:t>
      </w:r>
      <w:r>
        <w:t xml:space="preserve"> The Anti-Neutral Suit: international legal futurists, 1914–2017 — https://doi.org/10.1093/lril/lrw023</w:t>
      </w:r>
    </w:p>
    <w:p>
      <w:pPr/>
      <w:r>
        <w:rPr>
          <w:b/>
        </w:rPr>
        <w:t>Shared claim-specific concepts:</w:t>
      </w:r>
      <w:r>
        <w:t xml:space="preserve"> futurists, not, but; EU scope not established. This is a provisional connection, not an outcome finding.</w:t>
      </w:r>
    </w:p>
    <w:p>
      <w:pPr>
        <w:pStyle w:val="SourceNote"/>
      </w:pPr>
      <w:r>
        <w:rPr>
          <w:b/>
        </w:rPr>
        <w:t>Available abstract (not full text):</w:t>
      </w:r>
      <w:r>
        <w:t xml:space="preserve">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pPr/>
      <w:r>
        <w:rPr>
          <w:b/>
        </w:rPr>
        <w:t>POSSIBLE 2016:</w:t>
      </w:r>
      <w:r>
        <w:t xml:space="preserve"> Futurist Painting Sculpture (Plastic Dynamism) — https://openalex.org/W2753318073</w:t>
      </w:r>
    </w:p>
    <w:p>
      <w:pPr/>
      <w:r>
        <w:rPr>
          <w:b/>
        </w:rPr>
        <w:t>Shared claim-specific concepts:</w:t>
      </w:r>
      <w:r>
        <w:t xml:space="preserve"> futurists, not, only, but, also, political; EU scope visible. This is a provisional connection, not an outcome finding.</w:t>
      </w:r>
    </w:p>
    <w:p>
      <w:pPr>
        <w:pStyle w:val="SourceNote"/>
      </w:pPr>
      <w:r>
        <w:rPr>
          <w:b/>
        </w:rPr>
        <w:t>Available abstract (not full text):</w:t>
      </w:r>
      <w:r>
        <w:t xml:space="preserve">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926.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2018:</w:t>
      </w:r>
      <w:r>
        <w:t xml:space="preserve"> Is a 100% renewable European power system feasible by 2050? — https://doi.org/10.1016/j.apenergy.2018.08.109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pPr/>
      <w:r>
        <w:rPr>
          <w:b/>
        </w:rPr>
        <w:t>POSSIBLE 2017:</w:t>
      </w:r>
      <w:r>
        <w:t xml:space="preserve"> Gap assessment in current soil monitoring networks across Europe for measuring soil functions — https://doi.org/10.1088/1748-9326/aa9c5c</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pPr/>
      <w:r>
        <w:rPr>
          <w:b/>
        </w:rPr>
        <w:t>POSSIBLE 2017:</w:t>
      </w:r>
      <w:r>
        <w:t xml:space="preserve"> Current state of the plastic waste recycling system in the European Union and in Germany — https://openalex.org/W2802287539</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pPr/>
      <w:r>
        <w:rPr>
          <w:b/>
        </w:rPr>
        <w:t>POSSIBLE 2015:</w:t>
      </w:r>
      <w:r>
        <w:t xml:space="preserve"> Current Trends in Urolithiasis Treatment in Various European Health Systems — https://doi.org/10.1159/000441041</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927.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r>
        <w:rPr>
          <w:b/>
        </w:rPr>
        <w:t>POSSIBLE 2020:</w:t>
      </w:r>
      <w:r>
        <w:t xml:space="preserve"> Ethical Challenges in European Parliamentary Debates with Regards to Audiovisual Sexual Risks on the Internet — https://doi.org/10.17576/jkmjc-2020-3602-17</w:t>
      </w:r>
    </w:p>
    <w:p>
      <w:pPr/>
      <w:r>
        <w:rPr>
          <w:b/>
        </w:rPr>
        <w:t>Shared claim-specific concepts:</w:t>
      </w:r>
      <w:r>
        <w:t xml:space="preserve"> regards, assumption; EU scope visible. This is a provisional connection, not an outcome finding.</w:t>
      </w:r>
    </w:p>
    <w:p>
      <w:pPr>
        <w:pStyle w:val="SourceNote"/>
      </w:pPr>
      <w:r>
        <w:rPr>
          <w:b/>
        </w:rPr>
        <w:t>Available abstract (not full text):</w:t>
      </w:r>
      <w:r>
        <w:t xml:space="preserve">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pPr/>
      <w:r>
        <w:rPr>
          <w:b/>
        </w:rPr>
        <w:t>POSSIBLE 2020:</w:t>
      </w:r>
      <w:r>
        <w:t xml:space="preserve"> A linguistically-informed way of introducing Japanese verbs to second language learners — https://doi.org/10.1515/jjl-2019-2017</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pPr/>
      <w:r>
        <w:rPr>
          <w:b/>
        </w:rPr>
        <w:t>POSSIBLE 2020:</w:t>
      </w:r>
      <w:r>
        <w:t xml:space="preserve"> Life’s Simple 7 and Incident Hypertension: The REGARDS Study — https://doi.org/10.1161/jaha.120.016482</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pPr/>
      <w:r>
        <w:rPr>
          <w:b/>
        </w:rPr>
        <w:t>POSSIBLE 2019:</w:t>
      </w:r>
      <w:r>
        <w:t xml:space="preserve"> Modelling Associative-Semantic Content as Regards the Logic-of-Semantics Dimension of the Adolescents’ Speech — https://doi.org/10.31470/2309-1797-2019-26-1-324-341</w:t>
      </w:r>
    </w:p>
    <w:p>
      <w:pPr/>
      <w:r>
        <w:rPr>
          <w:b/>
        </w:rPr>
        <w:t>Shared claim-specific concepts:</w:t>
      </w:r>
      <w:r>
        <w:t xml:space="preserve"> regards, modelling, activity, potential, strategies; EU scope not established. This is a provisional connection, not an outcome finding.</w:t>
      </w:r>
    </w:p>
    <w:p>
      <w:pPr>
        <w:pStyle w:val="SourceNote"/>
      </w:pPr>
      <w:r>
        <w:rPr>
          <w:b/>
        </w:rPr>
        <w:t>Available abstract (not full text):</w:t>
      </w:r>
      <w:r>
        <w:t xml:space="preserve">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928.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r>
        <w:rPr>
          <w:b/>
        </w:rPr>
        <w:t>POSSIBLE 2020:</w:t>
      </w:r>
      <w:r>
        <w:t xml:space="preserve"> Knowledge workers’ stated preferences for important characteristics of activity-based workspaces — https://doi.org/10.1080/09613218.2020.1726169</w:t>
      </w:r>
    </w:p>
    <w:p>
      <w:pPr/>
      <w:r>
        <w:rPr>
          <w:b/>
        </w:rPr>
        <w:t>Shared claim-specific concepts:</w:t>
      </w:r>
      <w:r>
        <w:t xml:space="preserve"> important, different, possible; EU scope not established. This is a provisional connection, not an outcome finding.</w:t>
      </w:r>
    </w:p>
    <w:p>
      <w:pPr>
        <w:pStyle w:val="SourceNote"/>
      </w:pPr>
      <w:r>
        <w:rPr>
          <w:b/>
        </w:rPr>
        <w:t>Available abstract (not full text):</w:t>
      </w:r>
      <w:r>
        <w:t xml:space="preserve">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pPr/>
      <w:r>
        <w:rPr>
          <w:b/>
        </w:rPr>
        <w:t>POSSIBLE 2020:</w:t>
      </w:r>
      <w:r>
        <w:t xml:space="preserve"> Possible Roles for Basal Levels of (p)ppGpp: Growth Efficiency Vs. Surviving Stress — https://doi.org/10.3389/fmicb.2020.592718</w:t>
      </w:r>
    </w:p>
    <w:p>
      <w:pPr/>
      <w:r>
        <w:rPr>
          <w:b/>
        </w:rPr>
        <w:t>Shared claim-specific concepts:</w:t>
      </w:r>
      <w:r>
        <w:t xml:space="preserve"> important, different, possible, over; EU scope not established. This is a provisional connection, not an outcome finding.</w:t>
      </w:r>
    </w:p>
    <w:p>
      <w:pPr>
        <w:pStyle w:val="SourceNote"/>
      </w:pPr>
      <w:r>
        <w:rPr>
          <w:b/>
        </w:rPr>
        <w:t>Available abstract (not full text):</w:t>
      </w:r>
      <w:r>
        <w:t xml:space="preserve">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pPr/>
      <w:r>
        <w:rPr>
          <w:b/>
        </w:rPr>
        <w:t>POSSIBLE 2020:</w:t>
      </w:r>
      <w:r>
        <w:t xml:space="preserve"> Performance Comparison of Gesture Recognition System Based on Different Classifiers — https://doi.org/10.1109/tcds.2020.2969297</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pPr/>
      <w:r>
        <w:rPr>
          <w:b/>
        </w:rPr>
        <w:t>POSSIBLE 2019:</w:t>
      </w:r>
      <w:r>
        <w:t xml:space="preserve"> Comparing different supervised machine learning algorithms for disease prediction — https://doi.org/10.1186/s12911-019-1004-8</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929.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r>
        <w:rPr>
          <w:b/>
        </w:rPr>
        <w:t>POSSIBLE 2017:</w:t>
      </w:r>
      <w:r>
        <w:t xml:space="preserve"> Reforming the European Union Emissions Trading System (EU ETS) — https://doi.org/10.14279/depositonce-5946</w:t>
      </w:r>
    </w:p>
    <w:p>
      <w:pPr/>
      <w:r>
        <w:rPr>
          <w:b/>
        </w:rPr>
        <w:t>Shared claim-specific concepts:</w:t>
      </w:r>
      <w:r>
        <w:t xml:space="preserve"> governance, three; EU scope visible. This is a provisional connection, not an outcome finding.</w:t>
      </w:r>
    </w:p>
    <w:p>
      <w:pPr>
        <w:pStyle w:val="SourceNote"/>
      </w:pPr>
      <w:r>
        <w:rPr>
          <w:b/>
        </w:rPr>
        <w:t>Available abstract (not full text):</w:t>
      </w:r>
      <w:r>
        <w:t xml:space="preserve">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pPr/>
      <w:r>
        <w:rPr>
          <w:b/>
        </w:rPr>
        <w:t>POSSIBLE 2016:</w:t>
      </w:r>
      <w:r>
        <w:t xml:space="preserve"> THE REFORM OF NATIONAL SOCIAL-ECONOMIC SYSTEMS AND EUROPEAN REFORM — https://openalex.org/W4381135264</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pPr/>
      <w:r>
        <w:rPr>
          <w:b/>
        </w:rPr>
        <w:t>POSSIBLE 2016:</w:t>
      </w:r>
      <w:r>
        <w:t xml:space="preserve"> From National Enclaves to Supporting Offices: an Analysis of the 1999 Reform of European Commissioners’ Cabinets — https://doi.org/10.30950/jcer.v12i3.724</w:t>
      </w:r>
    </w:p>
    <w:p>
      <w:pPr/>
      <w:r>
        <w:rPr>
          <w:b/>
        </w:rPr>
        <w:t>Shared claim-specific concepts:</w:t>
      </w:r>
      <w:r>
        <w:t xml:space="preserve"> reforms, article, three; EU scope visible. This is a provisional connection, not an outcome finding.</w:t>
      </w:r>
    </w:p>
    <w:p>
      <w:pPr>
        <w:pStyle w:val="SourceNote"/>
      </w:pPr>
      <w:r>
        <w:rPr>
          <w:b/>
        </w:rPr>
        <w:t>Available abstract (not full text):</w:t>
      </w:r>
      <w:r>
        <w:t xml:space="preserve">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pPr/>
      <w:r>
        <w:rPr>
          <w:b/>
        </w:rPr>
        <w:t>POSSIBLE 2014:</w:t>
      </w:r>
      <w:r>
        <w:t xml:space="preserve"> Reforming the European Union’s Common Fisheries Policy: Why was there a successful reform of the Common Fisheries Policy possible in 2013, after years of ineffective policy and unsuccessful attempts at reforms? — https://openalex.org/W1500832518</w:t>
      </w:r>
    </w:p>
    <w:p>
      <w:pPr/>
      <w:r>
        <w:rPr>
          <w:b/>
        </w:rPr>
        <w:t>Shared claim-specific concepts:</w:t>
      </w:r>
      <w:r>
        <w:t xml:space="preserve"> reforms, agreed, possible; EU scope visible. This is a provisional connection, not an outcome finding.</w:t>
      </w:r>
    </w:p>
    <w:p>
      <w:pPr>
        <w:pStyle w:val="SourceNote"/>
      </w:pPr>
      <w:r>
        <w:rPr>
          <w:b/>
        </w:rPr>
        <w:t>Available abstract (not full text):</w:t>
      </w:r>
      <w:r>
        <w:t xml:space="preserve">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930.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r>
        <w:rPr>
          <w:b/>
        </w:rPr>
        <w:t>POSSIBLE 2022:</w:t>
      </w:r>
      <w:r>
        <w:t xml:space="preserve"> 21st Century water withdrawal decoupling: A pathway to a more water-wise world? — https://doi.org/10.1016/j.wre.2022.100197</w:t>
      </w:r>
    </w:p>
    <w:p>
      <w:pPr/>
      <w:r>
        <w:rPr>
          <w:b/>
        </w:rPr>
        <w:t>Shared claim-specific concepts:</w:t>
      </w:r>
      <w:r>
        <w:t xml:space="preserve"> water, withdrawals, increase, increasing, resources; EU scope not established. This is a provisional connection, not an outcome finding.</w:t>
      </w:r>
    </w:p>
    <w:p>
      <w:pPr>
        <w:pStyle w:val="SourceNote"/>
      </w:pPr>
      <w:r>
        <w:rPr>
          <w:b/>
        </w:rPr>
        <w:t>Available abstract (not full text):</w:t>
      </w:r>
      <w:r>
        <w:t xml:space="preserve">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pPr/>
      <w:r>
        <w:rPr>
          <w:b/>
        </w:rPr>
        <w:t>POSSIBLE 2022:</w:t>
      </w:r>
      <w:r>
        <w:t xml:space="preserve"> The delusive accuracy of global irrigation water withdrawal estimates — https://doi.org/10.1038/s41467-022-30731-8</w:t>
      </w:r>
    </w:p>
    <w:p>
      <w:pPr/>
      <w:r>
        <w:rPr>
          <w:b/>
        </w:rPr>
        <w:t>Shared claim-specific concepts:</w:t>
      </w:r>
      <w:r>
        <w:t xml:space="preserve"> water, withdrawals, freshwater; EU scope not established. This is a provisional connection, not an outcome finding.</w:t>
      </w:r>
    </w:p>
    <w:p>
      <w:pPr>
        <w:pStyle w:val="SourceNote"/>
      </w:pPr>
      <w:r>
        <w:rPr>
          <w:b/>
        </w:rPr>
        <w:t>Available abstract (not full text):</w:t>
      </w:r>
      <w:r>
        <w:t xml:space="preserve">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pPr/>
      <w:r>
        <w:rPr>
          <w:b/>
        </w:rPr>
        <w:t>POSSIBLE 2021:</w:t>
      </w:r>
      <w:r>
        <w:t xml:space="preserve"> Irrigated areas drive irrigation water withdrawals — https://doi.org/10.1038/s41467-021-24508-8</w:t>
      </w:r>
    </w:p>
    <w:p>
      <w:pPr/>
      <w:r>
        <w:rPr>
          <w:b/>
        </w:rPr>
        <w:t>Shared claim-specific concepts:</w:t>
      </w:r>
      <w:r>
        <w:t xml:space="preserve"> water, withdrawals, freshwater, resources; EU scope not established. This is a provisional connection, not an outcome finding.</w:t>
      </w:r>
    </w:p>
    <w:p>
      <w:pPr>
        <w:pStyle w:val="SourceNote"/>
      </w:pPr>
      <w:r>
        <w:rPr>
          <w:b/>
        </w:rPr>
        <w:t>Available abstract (not full text):</w:t>
      </w:r>
      <w:r>
        <w:t xml:space="preserve">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pPr/>
      <w:r>
        <w:rPr>
          <w:b/>
        </w:rPr>
        <w:t>POSSIBLE 2021:</w:t>
      </w:r>
      <w:r>
        <w:t xml:space="preserve"> Global water scarcity including surface water quality and expansions of clean water technologies — https://doi.org/10.1088/1748-9326/abbfc3</w:t>
      </w:r>
    </w:p>
    <w:p>
      <w:pPr/>
      <w:r>
        <w:rPr>
          <w:b/>
        </w:rPr>
        <w:t>Shared claim-specific concepts:</w:t>
      </w:r>
      <w:r>
        <w:t xml:space="preserve"> water, withdrawals, increase; EU scope not established. This is a provisional connection, not an outcome finding.</w:t>
      </w:r>
    </w:p>
    <w:p>
      <w:pPr>
        <w:pStyle w:val="SourceNote"/>
      </w:pPr>
      <w:r>
        <w:rPr>
          <w:b/>
        </w:rPr>
        <w:t>Available abstract (not full text):</w:t>
      </w:r>
      <w:r>
        <w:t xml:space="preserve">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931.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2019:</w:t>
      </w:r>
      <w:r>
        <w:t xml:space="preserve"> Facial recognition technology in schools: critical questions and concerns — https://doi.org/10.1080/17439884.2020.1686014</w:t>
      </w:r>
    </w:p>
    <w:p>
      <w:pPr/>
      <w:r>
        <w:rPr>
          <w:b/>
        </w:rPr>
        <w:t>Shared claim-specific concepts:</w:t>
      </w:r>
      <w:r>
        <w:t xml:space="preserve"> critical, question, article, whether; EU scope not established. This is a provisional connection, not an outcome finding.</w:t>
      </w:r>
    </w:p>
    <w:p>
      <w:pPr>
        <w:pStyle w:val="SourceNote"/>
      </w:pPr>
      <w:r>
        <w:rPr>
          <w:b/>
        </w:rPr>
        <w:t>Available abstract (not full text):</w:t>
      </w:r>
      <w:r>
        <w:t xml:space="preserve">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pPr/>
      <w:r>
        <w:rPr>
          <w:b/>
        </w:rPr>
        <w:t>POSSIBLE 2018:</w:t>
      </w:r>
      <w:r>
        <w:t xml:space="preserve"> Some critical questions — https://doi.org/10.4324/9780429431333-4</w:t>
      </w:r>
    </w:p>
    <w:p>
      <w:pPr/>
      <w:r>
        <w:rPr>
          <w:b/>
        </w:rPr>
        <w:t>Shared claim-specific concepts:</w:t>
      </w:r>
      <w:r>
        <w:t xml:space="preserve"> critical, question, considered, whether; EU scope not established. This is a provisional connection, not an outcome finding.</w:t>
      </w:r>
    </w:p>
    <w:p>
      <w:pPr>
        <w:pStyle w:val="SourceNote"/>
      </w:pPr>
      <w:r>
        <w:rPr>
          <w:b/>
        </w:rPr>
        <w:t>Available abstract (not full text):</w:t>
      </w:r>
      <w:r>
        <w:t xml:space="preserve">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pPr/>
      <w:r>
        <w:rPr>
          <w:b/>
        </w:rPr>
        <w:t>POSSIBLE 2017:</w:t>
      </w:r>
      <w:r>
        <w:t xml:space="preserve"> On Critical Service Recovery After Massive Network Failures — https://doi.org/10.1109/tnet.2017.2688330</w:t>
      </w:r>
    </w:p>
    <w:p>
      <w:pPr/>
      <w:r>
        <w:rPr>
          <w:b/>
        </w:rPr>
        <w:t>Shared claim-specific concepts:</w:t>
      </w:r>
      <w:r>
        <w:t xml:space="preserve"> critical, massive, use; EU scope not established. This is a provisional connection, not an outcome finding.</w:t>
      </w:r>
    </w:p>
    <w:p>
      <w:pPr>
        <w:pStyle w:val="SourceNote"/>
      </w:pPr>
      <w:r>
        <w:rPr>
          <w:b/>
        </w:rPr>
        <w:t>Available abstract (not full text):</w:t>
      </w:r>
      <w:r>
        <w:t xml:space="preserve">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pPr/>
      <w:r>
        <w:rPr>
          <w:b/>
        </w:rPr>
        <w:t>POSSIBLE 2017:</w:t>
      </w:r>
      <w:r>
        <w:t xml:space="preserve"> Critical discussions on the Massive Open Online Course (MOOC) in India and China — https://openalex.org/W2780843825</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932.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2019:</w:t>
      </w:r>
      <w:r>
        <w:t xml:space="preserve"> How Does Credit Supply Expansion Affect the Real Economy? The Productive Capacity and Household Demand Channels — https://doi.org/10.1111/jofi.12869</w:t>
      </w:r>
    </w:p>
    <w:p>
      <w:pPr/>
      <w:r>
        <w:rPr>
          <w:b/>
        </w:rPr>
        <w:t>Shared claim-specific concepts:</w:t>
      </w:r>
      <w:r>
        <w:t xml:space="preserve"> expansion, increasing; EU scope not established. This is a provisional connection, not an outcome finding.</w:t>
      </w:r>
    </w:p>
    <w:p>
      <w:pPr>
        <w:pStyle w:val="SourceNote"/>
      </w:pPr>
      <w:r>
        <w:rPr>
          <w:b/>
        </w:rPr>
        <w:t>Available abstract (not full text):</w:t>
      </w:r>
      <w:r>
        <w:t xml:space="preserve">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pPr/>
      <w:r>
        <w:rPr>
          <w:b/>
        </w:rPr>
        <w:t>POSSIBLE 2019:</w:t>
      </w:r>
      <w:r>
        <w:t xml:space="preserve"> Stam Portugal and its expansion through Europe — https://openalex.org/W2971433702</w:t>
      </w:r>
    </w:p>
    <w:p>
      <w:pPr/>
      <w:r>
        <w:rPr>
          <w:b/>
        </w:rPr>
        <w:t>Shared claim-specific concepts:</w:t>
      </w:r>
      <w:r>
        <w:t xml:space="preserve"> expansion, increasing, gap; EU scope visible. This is a provisional connection, not an outcome finding.</w:t>
      </w:r>
    </w:p>
    <w:p>
      <w:pPr>
        <w:pStyle w:val="SourceNote"/>
      </w:pPr>
      <w:r>
        <w:rPr>
          <w:b/>
        </w:rPr>
        <w:t>Available abstract (not full text):</w:t>
      </w:r>
      <w:r>
        <w:t xml:space="preserve">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pPr/>
      <w:r>
        <w:rPr>
          <w:b/>
        </w:rPr>
        <w:t>POSSIBLE 2018:</w:t>
      </w:r>
      <w:r>
        <w:t xml:space="preserve"> Robust demand should continue in 2018 — https://doi.org/10.1021/cen-09602-cover9</w:t>
      </w:r>
    </w:p>
    <w:p>
      <w:pPr/>
      <w:r>
        <w:rPr>
          <w:b/>
        </w:rPr>
        <w:t>Shared claim-specific concepts:</w:t>
      </w:r>
      <w:r>
        <w:t xml:space="preserve"> likely, continued, expansion, production; EU scope visible. This is a provisional connection, not an outcome finding.</w:t>
      </w:r>
    </w:p>
    <w:p>
      <w:pPr>
        <w:pStyle w:val="SourceNote"/>
      </w:pPr>
      <w:r>
        <w:rPr>
          <w:b/>
        </w:rPr>
        <w:t>Available abstract (not full text):</w:t>
      </w:r>
      <w:r>
        <w:t xml:space="preserve">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pPr/>
      <w:r>
        <w:rPr>
          <w:b/>
        </w:rPr>
        <w:t>POSSIBLE 2018:</w:t>
      </w:r>
      <w:r>
        <w:t xml:space="preserve"> A review of demand side flexibility potential in Northern Europe — https://doi.org/10.1016/j.rser.2018.03.104</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pPr/>
      <w:r>
        <w:rPr>
          <w:b/>
        </w:rPr>
        <w:t>POSSIBLE 2018:</w:t>
      </w:r>
      <w:r>
        <w:t xml:space="preserve"> Cereal yield gaps across Europe — https://doi.org/10.1016/j.eja.2018.09.003</w:t>
      </w:r>
    </w:p>
    <w:p>
      <w:pPr/>
      <w:r>
        <w:rPr>
          <w:b/>
        </w:rPr>
        <w:t>Shared claim-specific concepts:</w:t>
      </w:r>
      <w:r>
        <w:t xml:space="preserve"> whether, increasing, production, gap, between, food; EU scope visible. This is a provisional connection, not an outcome finding.</w:t>
      </w:r>
    </w:p>
    <w:p>
      <w:pPr>
        <w:pStyle w:val="SourceNote"/>
      </w:pPr>
      <w:r>
        <w:rPr>
          <w:b/>
        </w:rPr>
        <w:t>Available abstract (not full text):</w:t>
      </w:r>
      <w:r>
        <w:t xml:space="preserve">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pPr/>
      <w:r>
        <w:rPr>
          <w:b/>
        </w:rPr>
        <w:t>POSSIBLE 2016:</w:t>
      </w:r>
      <w:r>
        <w:t xml:space="preserve"> Impacts of +2 °C global warming on winter tourism demand in Europe — https://doi.org/10.1016/j.cliser.2016.07.003</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pPr/>
      <w:r>
        <w:rPr>
          <w:b/>
        </w:rPr>
        <w:t>POSSIBLE 2015:</w:t>
      </w:r>
      <w:r>
        <w:t xml:space="preserve"> Global biomass production potentials exceed expected future demand without the need for cropland expansion — https://doi.org/10.1038/ncomms9946</w:t>
      </w:r>
    </w:p>
    <w:p>
      <w:pPr/>
      <w:r>
        <w:rPr>
          <w:b/>
        </w:rPr>
        <w:t>Shared claim-specific concepts:</w:t>
      </w:r>
      <w:r>
        <w:t xml:space="preserve"> expansion, increasing, production, between; EU scope not established. This is a provisional connection, not an outcome finding.</w:t>
      </w:r>
    </w:p>
    <w:p>
      <w:pPr>
        <w:pStyle w:val="SourceNote"/>
      </w:pPr>
      <w:r>
        <w:rPr>
          <w:b/>
        </w:rPr>
        <w:t>Available abstract (not full text):</w:t>
      </w:r>
      <w:r>
        <w:t xml:space="preserve">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933.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2020:</w:t>
      </w:r>
      <w:r>
        <w:t xml:space="preserve"> Migrants’ and refugees’ health status and healthcare in Europe: a scoping literature review — https://doi.org/10.1186/s12889-020-08749-8</w:t>
      </w:r>
    </w:p>
    <w:p>
      <w:pPr/>
      <w:r>
        <w:rPr>
          <w:b/>
        </w:rPr>
        <w:t>Shared claim-specific concepts:</w:t>
      </w:r>
      <w:r>
        <w:t xml:space="preserve"> literature, difficult, population; EU scope visible. This is a provisional connection, not an outcome finding.</w:t>
      </w:r>
    </w:p>
    <w:p>
      <w:pPr>
        <w:pStyle w:val="SourceNote"/>
      </w:pPr>
      <w:r>
        <w:rPr>
          <w:b/>
        </w:rPr>
        <w:t>Available abstract (not full text):</w:t>
      </w:r>
      <w:r>
        <w:t xml:space="preserve">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pPr/>
      <w:r>
        <w:rPr>
          <w:b/>
        </w:rPr>
        <w:t>POSSIBLE 2018:</w:t>
      </w:r>
      <w:r>
        <w:t xml:space="preserve"> The European media discourse on immigration and its effects: a literature review — https://doi.org/10.1080/23808985.2018.1497452</w:t>
      </w:r>
    </w:p>
    <w:p>
      <w:pPr/>
      <w:r>
        <w:rPr>
          <w:b/>
        </w:rPr>
        <w:t>Shared claim-specific concepts:</w:t>
      </w:r>
      <w:r>
        <w:t xml:space="preserve"> literature, shown, leads, negative; EU scope visible. This is a provisional connection, not an outcome finding.</w:t>
      </w:r>
    </w:p>
    <w:p>
      <w:pPr>
        <w:pStyle w:val="SourceNote"/>
      </w:pPr>
      <w:r>
        <w:rPr>
          <w:b/>
        </w:rPr>
        <w:t>Available abstract (not full text):</w:t>
      </w:r>
      <w:r>
        <w:t xml:space="preserve">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pPr/>
      <w:r>
        <w:rPr>
          <w:b/>
        </w:rPr>
        <w:t>POSSIBLE 2018:</w:t>
      </w:r>
      <w:r>
        <w:t xml:space="preserve"> Oral Health Impact Profile in Celiac Patients: Analysis of Recent Findings in a Literature Review — https://doi.org/10.1155/2018/7848735</w:t>
      </w:r>
    </w:p>
    <w:p>
      <w:pPr/>
      <w:r>
        <w:rPr>
          <w:b/>
        </w:rPr>
        <w:t>Shared claim-specific concepts:</w:t>
      </w:r>
      <w:r>
        <w:t xml:space="preserve"> recent, literature, according; EU scope not established. This is a provisional connection, not an outcome finding.</w:t>
      </w:r>
    </w:p>
    <w:p>
      <w:pPr>
        <w:pStyle w:val="SourceNote"/>
      </w:pPr>
      <w:r>
        <w:rPr>
          <w:b/>
        </w:rPr>
        <w:t>Available abstract (not full text):</w:t>
      </w:r>
      <w:r>
        <w:t xml:space="preserve">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pPr/>
      <w:r>
        <w:rPr>
          <w:b/>
        </w:rPr>
        <w:t>POSSIBLE 2017:</w:t>
      </w:r>
      <w:r>
        <w:t xml:space="preserve"> Hyperemesis Gravidarum: A Review of Recent Literature — https://doi.org/10.1159/000477853</w:t>
      </w:r>
    </w:p>
    <w:p>
      <w:pPr/>
      <w:r>
        <w:rPr>
          <w:b/>
        </w:rPr>
        <w:t>Shared claim-specific concepts:</w:t>
      </w:r>
      <w:r>
        <w:t xml:space="preserve"> recent, literature, difficult; EU scope not established. This is a provisional connection, not an outcome finding.</w:t>
      </w:r>
    </w:p>
    <w:p>
      <w:pPr>
        <w:pStyle w:val="SourceNote"/>
      </w:pPr>
      <w:r>
        <w:rPr>
          <w:b/>
        </w:rPr>
        <w:t>Available abstract (not full text):</w:t>
      </w:r>
      <w:r>
        <w:t xml:space="preserve">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pPr/>
      <w:r>
        <w:rPr>
          <w:b/>
        </w:rPr>
        <w:t>POSSIBLE 2017:</w:t>
      </w:r>
      <w:r>
        <w:t xml:space="preserve"> Personality Traits of Entrepreneurs: A Review of Recent Literature — https://doi.org/10.3386/w24097</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pPr/>
      <w:r>
        <w:rPr>
          <w:b/>
        </w:rPr>
        <w:t>POSSIBLE 2017:</w:t>
      </w:r>
      <w:r>
        <w:t xml:space="preserve"> Hazardous waste and health impact: a systematic review of the scientific literature — https://doi.org/10.1186/s12940-017-0311-8</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934.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r>
        <w:rPr>
          <w:b/>
        </w:rPr>
        <w:t>POSSIBLE 2022:</w:t>
      </w:r>
      <w:r>
        <w:t xml:space="preserve"> Depression and anxiety among children and adolescents during the COVID-19 pandemic in Europe: A systematic review protocol — https://doi.org/10.21203/rs.3.rs-1638547/v1</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pPr/>
      <w:r>
        <w:rPr>
          <w:b/>
        </w:rPr>
        <w:t>POSSIBLE 2022:</w:t>
      </w:r>
      <w:r>
        <w:t xml:space="preserve"> Depression and anxiety among children and adolescents during the COVID-19 pandemic in Europe: A systematic review protocol — https://doi.org/10.21203/rs.3.rs-1638547/v2</w:t>
      </w:r>
    </w:p>
    <w:p>
      <w:pPr/>
      <w:r>
        <w:rPr>
          <w:b/>
        </w:rPr>
        <w:t>Shared claim-specific concepts:</w:t>
      </w:r>
      <w:r>
        <w:t xml:space="preserve"> abstract, adapted, during; EU scope visible. This is a provisional connection, not an outcome finding.</w:t>
      </w:r>
    </w:p>
    <w:p>
      <w:pPr>
        <w:pStyle w:val="SourceNote"/>
      </w:pPr>
      <w:r>
        <w:rPr>
          <w:b/>
        </w:rPr>
        <w:t>Available abstract (not full text):</w:t>
      </w:r>
      <w:r>
        <w:t xml:space="preserve">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pPr/>
      <w:r>
        <w:rPr>
          <w:b/>
        </w:rPr>
        <w:t>POSSIBLE 2022:</w:t>
      </w:r>
      <w:r>
        <w:t xml:space="preserve"> The 2018–2020 Multi‐Year Drought Sets a New Benchmark in Europe — https://doi.org/10.1029/2021ef002394</w:t>
      </w:r>
    </w:p>
    <w:p>
      <w:pPr/>
      <w:r>
        <w:rPr>
          <w:b/>
        </w:rPr>
        <w:t>Shared claim-specific concepts:</w:t>
      </w:r>
      <w:r>
        <w:t xml:space="preserve"> abstract, during, climate, conditions, but;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2021:</w:t>
      </w:r>
      <w:r>
        <w:t xml:space="preserve"> Mapping species richness of plant families in European vegetation — https://doi.org/10.1111/jvs.13035</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pPr/>
      <w:r>
        <w:rPr>
          <w:b/>
        </w:rPr>
        <w:t>POSSIBLE 2021:</w:t>
      </w:r>
      <w:r>
        <w:t xml:space="preserve"> The critical role of tree species and human disturbance in determining the macrofungal diversity in Europe — https://doi.org/10.1111/geb.13372</w:t>
      </w:r>
    </w:p>
    <w:p>
      <w:pPr/>
      <w:r>
        <w:rPr>
          <w:b/>
        </w:rPr>
        <w:t>Shared claim-specific concepts:</w:t>
      </w:r>
      <w:r>
        <w:t xml:space="preserve"> abstract, aim, species, climate, remains; EU scope visible. This is a provisional connection, not an outcome finding.</w:t>
      </w:r>
    </w:p>
    <w:p>
      <w:pPr>
        <w:pStyle w:val="SourceNote"/>
      </w:pPr>
      <w:r>
        <w:rPr>
          <w:b/>
        </w:rPr>
        <w:t>Available abstract (not full text):</w:t>
      </w:r>
      <w:r>
        <w:t xml:space="preserve">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pPr/>
      <w:r>
        <w:rPr>
          <w:b/>
        </w:rPr>
        <w:t>POSSIBLE 2021:</w:t>
      </w:r>
      <w:r>
        <w:t xml:space="preserve"> Introduction, spread, and impacts of invasive alien mammal species in Europe — https://doi.org/10.1111/mam.12277</w:t>
      </w:r>
    </w:p>
    <w:p>
      <w:pPr/>
      <w:r>
        <w:rPr>
          <w:b/>
        </w:rPr>
        <w:t>Shared claim-specific concepts:</w:t>
      </w:r>
      <w:r>
        <w:t xml:space="preserve"> abstract, species, ranges; EU scope visible. This is a provisional connection, not an outcome finding.</w:t>
      </w:r>
    </w:p>
    <w:p>
      <w:pPr>
        <w:pStyle w:val="SourceNote"/>
      </w:pPr>
      <w:r>
        <w:rPr>
          <w:b/>
        </w:rPr>
        <w:t>Available abstract (not full text):</w:t>
      </w:r>
      <w:r>
        <w:t xml:space="preserve">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pPr/>
      <w:r>
        <w:rPr>
          <w:b/>
        </w:rPr>
        <w:t>POSSIBLE 2021:</w:t>
      </w:r>
      <w:r>
        <w:t xml:space="preserve"> Recent pension reforms in Europe: More challenges, new directions. An overview — https://doi.org/10.1111/spol.12712</w:t>
      </w:r>
    </w:p>
    <w:p>
      <w:pPr/>
      <w:r>
        <w:rPr>
          <w:b/>
        </w:rPr>
        <w:t>Shared claim-specific concepts:</w:t>
      </w:r>
      <w:r>
        <w:t xml:space="preserve"> abstract, adapted, during, recent; EU scope visible. This is a provisional connection, not an outcome finding.</w:t>
      </w:r>
    </w:p>
    <w:p>
      <w:pPr>
        <w:pStyle w:val="SourceNote"/>
      </w:pPr>
      <w:r>
        <w:rPr>
          <w:b/>
        </w:rPr>
        <w:t>Available abstract (not full text):</w:t>
      </w:r>
      <w:r>
        <w:t xml:space="preserve">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pPr/>
      <w:r>
        <w:rPr>
          <w:b/>
        </w:rPr>
        <w:t>POSSIBLE 2021:</w:t>
      </w:r>
      <w:r>
        <w:t xml:space="preserve"> Adapting a Circular Economy in Regional Strategies of the European Union — https://doi.org/10.3390/su13031518</w:t>
      </w:r>
    </w:p>
    <w:p>
      <w:pPr/>
      <w:r>
        <w:rPr>
          <w:b/>
        </w:rPr>
        <w:t>Shared claim-specific concepts:</w:t>
      </w:r>
      <w:r>
        <w:t xml:space="preserve"> but, keep; EU scope visible. This is a provisional connection, not an outcome finding.</w:t>
      </w:r>
    </w:p>
    <w:p>
      <w:pPr>
        <w:pStyle w:val="SourceNote"/>
      </w:pPr>
      <w:r>
        <w:rPr>
          <w:b/>
        </w:rPr>
        <w:t>Available abstract (not full text):</w:t>
      </w:r>
      <w:r>
        <w:t xml:space="preserve">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935.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r>
        <w:rPr>
          <w:b/>
        </w:rPr>
        <w:t>POSSIBLE 2023:</w:t>
      </w:r>
      <w:r>
        <w:t xml:space="preserve"> Blockchain and Business Process Management (BPM) Synergy: A Comparative Analysis of Modeling Approaches — https://doi.org/10.3390/info15010009</w:t>
      </w:r>
    </w:p>
    <w:p>
      <w:pPr/>
      <w:r>
        <w:rPr>
          <w:b/>
        </w:rPr>
        <w:t>Shared claim-specific concepts:</w:t>
      </w:r>
      <w:r>
        <w:t xml:space="preserve"> bpm, part, investigating; EU scope not established. This is a provisional connection, not an outcome finding.</w:t>
      </w:r>
    </w:p>
    <w:p>
      <w:pPr>
        <w:pStyle w:val="SourceNote"/>
      </w:pPr>
      <w:r>
        <w:rPr>
          <w:b/>
        </w:rPr>
        <w:t>Available abstract (not full text):</w:t>
      </w:r>
      <w:r>
        <w:t xml:space="preserve">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pPr/>
      <w:r>
        <w:rPr>
          <w:b/>
        </w:rPr>
        <w:t>POSSIBLE 2022:</w:t>
      </w:r>
      <w:r>
        <w:t xml:space="preserve"> Tackling the translational challenges of multi-omics research in the realm of European personalised medicine: A workshop report — https://doi.org/10.3389/fmolb.2022.974799</w:t>
      </w:r>
    </w:p>
    <w:p>
      <w:pPr/>
      <w:r>
        <w:rPr>
          <w:b/>
        </w:rPr>
        <w:t>Shared claim-specific concepts:</w:t>
      </w:r>
      <w:r>
        <w:t xml:space="preserve"> article, reflects, workshop; EU scope visible. This is a provisional connection, not an outcome finding.</w:t>
      </w:r>
    </w:p>
    <w:p>
      <w:pPr>
        <w:pStyle w:val="SourceNote"/>
      </w:pPr>
      <w:r>
        <w:rPr>
          <w:b/>
        </w:rPr>
        <w:t>Available abstract (not full text):</w:t>
      </w:r>
      <w:r>
        <w:t xml:space="preserve">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pPr/>
      <w:r>
        <w:rPr>
          <w:b/>
        </w:rPr>
        <w:t>POSSIBLE 2022:</w:t>
      </w:r>
      <w:r>
        <w:t xml:space="preserve"> The influence of BPM-supportive culture and individual process orientation on process conformance — https://doi.org/10.1108/bpmj-08-2020-0363</w:t>
      </w:r>
    </w:p>
    <w:p>
      <w:pPr/>
      <w:r>
        <w:rPr>
          <w:b/>
        </w:rPr>
        <w:t>Shared claim-specific concepts:</w:t>
      </w:r>
      <w:r>
        <w:t xml:space="preserve"> bpm, conducted, contribute; EU scope not established. This is a provisional connection, not an outcome finding.</w:t>
      </w:r>
    </w:p>
    <w:p>
      <w:pPr>
        <w:pStyle w:val="SourceNote"/>
      </w:pPr>
      <w:r>
        <w:rPr>
          <w:b/>
        </w:rPr>
        <w:t>Available abstract (not full text):</w:t>
      </w:r>
      <w:r>
        <w:t xml:space="preserve">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pPr/>
      <w:r>
        <w:rPr>
          <w:b/>
        </w:rPr>
        <w:t>POSSIBLE 2019:</w:t>
      </w:r>
      <w:r>
        <w:t xml:space="preserve"> Workshop: Developing interventions to improve migrants’ healthcare access in Europe — https://doi.org/10.1093/eurpub/ckz185.089</w:t>
      </w:r>
    </w:p>
    <w:p>
      <w:pPr/>
      <w:r>
        <w:rPr>
          <w:b/>
        </w:rPr>
        <w:t>Shared claim-specific concepts:</w:t>
      </w:r>
      <w:r>
        <w:t xml:space="preserve"> workshop, countries, information; EU scope visible. This is a provisional connection, not an outcome finding.</w:t>
      </w:r>
    </w:p>
    <w:p>
      <w:pPr>
        <w:pStyle w:val="SourceNote"/>
      </w:pPr>
      <w:r>
        <w:rPr>
          <w:b/>
        </w:rPr>
        <w:t>Available abstract (not full text):</w:t>
      </w:r>
      <w:r>
        <w:t xml:space="preserve">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pPr/>
      <w:r>
        <w:rPr>
          <w:b/>
        </w:rPr>
        <w:t>POSSIBLE 2019:</w:t>
      </w:r>
      <w:r>
        <w:t xml:space="preserve"> Green BPM as a Business-Oriented Discipline: A Systematic Mapping Study and Research Agenda — https://doi.org/10.3390/su11154200</w:t>
      </w:r>
    </w:p>
    <w:p>
      <w:pPr/>
      <w:r>
        <w:rPr>
          <w:b/>
        </w:rPr>
        <w:t>Shared claim-specific concepts:</w:t>
      </w:r>
      <w:r>
        <w:t xml:space="preserve"> article, bpm, researchers; EU scope not established. This is a provisional connection, not an outcome finding.</w:t>
      </w:r>
    </w:p>
    <w:p>
      <w:pPr>
        <w:pStyle w:val="SourceNote"/>
      </w:pPr>
      <w:r>
        <w:rPr>
          <w:b/>
        </w:rPr>
        <w:t>Available abstract (not full text):</w:t>
      </w:r>
      <w:r>
        <w:t xml:space="preserve">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936.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2020:</w:t>
      </w:r>
      <w:r>
        <w:t xml:space="preserve"> An annotated checklist of bryophytes of Europe, Macaronesia and Cyprus — https://doi.org/10.1080/03736687.2019.1694329</w:t>
      </w:r>
    </w:p>
    <w:p>
      <w:pPr/>
      <w:r>
        <w:rPr>
          <w:b/>
        </w:rPr>
        <w:t>Shared claim-specific concepts:</w:t>
      </w:r>
      <w:r>
        <w:t xml:space="preserve"> over, next, few, many; EU scope visible. This is a provisional connection, not an outcome finding.</w:t>
      </w:r>
    </w:p>
    <w:p>
      <w:pPr>
        <w:pStyle w:val="SourceNote"/>
      </w:pPr>
      <w:r>
        <w:rPr>
          <w:b/>
        </w:rPr>
        <w:t>Available abstract (not full text):</w:t>
      </w:r>
      <w:r>
        <w:t xml:space="preserve">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pPr/>
      <w:r>
        <w:rPr>
          <w:b/>
        </w:rPr>
        <w:t>POSSIBLE 2020:</w:t>
      </w:r>
      <w:r>
        <w:t xml:space="preserve"> Diverging hydrological drought traits over Europe with global warming — https://doi.org/10.5194/hess-24-5919-2020</w:t>
      </w:r>
    </w:p>
    <w:p>
      <w:pPr/>
      <w:r>
        <w:rPr>
          <w:b/>
        </w:rPr>
        <w:t>Shared claim-specific concepts:</w:t>
      </w:r>
      <w:r>
        <w:t xml:space="preserve"> over, many, large; EU scope visible. This is a provisional connection, not an outcome finding.</w:t>
      </w:r>
    </w:p>
    <w:p>
      <w:pPr>
        <w:pStyle w:val="SourceNote"/>
      </w:pPr>
      <w:r>
        <w:rPr>
          <w:b/>
        </w:rPr>
        <w:t>Available abstract (not full text):</w:t>
      </w:r>
      <w:r>
        <w:t xml:space="preserve">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pPr/>
      <w:r>
        <w:rPr>
          <w:b/>
        </w:rPr>
        <w:t>POSSIBLE 2019:</w:t>
      </w:r>
      <w:r>
        <w:t xml:space="preserve"> Explaining carsharing supply across Western European cities — https://doi.org/10.1080/15568318.2018.1542756</w:t>
      </w:r>
    </w:p>
    <w:p>
      <w:pPr/>
      <w:r>
        <w:rPr>
          <w:b/>
        </w:rPr>
        <w:t>Shared claim-specific concepts:</w:t>
      </w:r>
      <w:r>
        <w:t xml:space="preserve"> many, western, countries, striking; EU scope visible. This is a provisional connection, not an outcome finding.</w:t>
      </w:r>
    </w:p>
    <w:p>
      <w:pPr>
        <w:pStyle w:val="SourceNote"/>
      </w:pPr>
      <w:r>
        <w:rPr>
          <w:b/>
        </w:rPr>
        <w:t>Available abstract (not full text):</w:t>
      </w:r>
      <w:r>
        <w:t xml:space="preserve">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pPr/>
      <w:r>
        <w:rPr>
          <w:b/>
        </w:rPr>
        <w:t>POSSIBLE 2017:</w:t>
      </w:r>
      <w:r>
        <w:t xml:space="preserve"> Prevalence of Age-Related Macular Degeneration in Europe — https://doi.org/10.1016/j.ophtha.2017.05.035</w:t>
      </w:r>
    </w:p>
    <w:p>
      <w:pPr/>
      <w:r>
        <w:rPr>
          <w:b/>
        </w:rPr>
        <w:t>Shared claim-specific concepts:</w:t>
      </w:r>
      <w:r>
        <w:t xml:space="preserve"> over, next, decades, countries; EU scope visible. This is a provisional connection, not an outcome finding.</w:t>
      </w:r>
    </w:p>
    <w:p>
      <w:pPr>
        <w:pStyle w:val="SourceNote"/>
      </w:pPr>
      <w:r>
        <w:rPr>
          <w:b/>
        </w:rPr>
        <w:t>Available abstract (not full text):</w:t>
      </w:r>
      <w:r>
        <w:t xml:space="preserve">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pPr/>
      <w:r>
        <w:rPr>
          <w:b/>
        </w:rPr>
        <w:t>POSSIBLE 2017:</w:t>
      </w:r>
      <w:r>
        <w:t xml:space="preserve"> Children’s health in Europe - challenges for the next decades — https://doi.org/10.1093/heapro/dax023</w:t>
      </w:r>
    </w:p>
    <w:p>
      <w:pPr/>
      <w:r>
        <w:rPr>
          <w:b/>
        </w:rPr>
        <w:t>Shared claim-specific concepts:</w:t>
      </w:r>
      <w:r>
        <w:t xml:space="preserve"> over, next, decades, many; EU scope visible. This is a provisional connection, not an outcome finding.</w:t>
      </w:r>
    </w:p>
    <w:p>
      <w:pPr>
        <w:pStyle w:val="SourceNote"/>
      </w:pPr>
      <w:r>
        <w:rPr>
          <w:b/>
        </w:rPr>
        <w:t>Available abstract (not full text):</w:t>
      </w:r>
      <w:r>
        <w:t xml:space="preserve">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pPr/>
      <w:r>
        <w:rPr>
          <w:b/>
        </w:rPr>
        <w:t>POSSIBLE 2016:</w:t>
      </w:r>
      <w:r>
        <w:t xml:space="preserve"> Understanding the rapid summer warming and changes in temperature extremes since the mid-1990s over Western Europe — https://doi.org/10.1007/s00382-016-3158-8</w:t>
      </w:r>
    </w:p>
    <w:p>
      <w:pPr/>
      <w:r>
        <w:rPr>
          <w:b/>
        </w:rPr>
        <w:t>Shared claim-specific concepts:</w:t>
      </w:r>
      <w:r>
        <w:t xml:space="preserve"> over, next, few, decades, many, western; EU scope visible. This is a provisional connection, not an outcome finding.</w:t>
      </w:r>
    </w:p>
    <w:p>
      <w:pPr>
        <w:pStyle w:val="SourceNote"/>
      </w:pPr>
      <w:r>
        <w:rPr>
          <w:b/>
        </w:rPr>
        <w:t>Available abstract (not full text):</w:t>
      </w:r>
      <w:r>
        <w:t xml:space="preserve">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pPr/>
      <w:r>
        <w:rPr>
          <w:b/>
        </w:rPr>
        <w:t>POSSIBLE 2016:</w:t>
      </w:r>
      <w:r>
        <w:t xml:space="preserve"> An overview of the progress and challenges of peatland restoration in Western Europe — https://doi.org/10.1111/rec.12415</w:t>
      </w:r>
    </w:p>
    <w:p>
      <w:pPr/>
      <w:r>
        <w:rPr>
          <w:b/>
        </w:rPr>
        <w:t>Shared claim-specific concepts:</w:t>
      </w:r>
      <w:r>
        <w:t xml:space="preserve"> over, many, western, countries; EU scope visible. This is a provisional connection, not an outcome finding.</w:t>
      </w:r>
    </w:p>
    <w:p>
      <w:pPr>
        <w:pStyle w:val="SourceNote"/>
      </w:pPr>
      <w:r>
        <w:rPr>
          <w:b/>
        </w:rPr>
        <w:t>Available abstract (not full text):</w:t>
      </w:r>
      <w:r>
        <w:t xml:space="preserve">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pPr/>
      <w:r>
        <w:rPr>
          <w:b/>
        </w:rPr>
        <w:t>POSSIBLE 2015:</w:t>
      </w:r>
      <w:r>
        <w:t xml:space="preserve"> Pneumococcal serotype evolution in Western Europe — https://doi.org/10.1186/s12879-015-1147-x</w:t>
      </w:r>
    </w:p>
    <w:p>
      <w:pPr/>
      <w:r>
        <w:rPr>
          <w:b/>
        </w:rPr>
        <w:t>Shared claim-specific concepts:</w:t>
      </w:r>
      <w:r>
        <w:t xml:space="preserve"> many, western, countries, introduced; EU scope visible. This is a provisional connection, not an outcome finding.</w:t>
      </w:r>
    </w:p>
    <w:p>
      <w:pPr>
        <w:pStyle w:val="SourceNote"/>
      </w:pPr>
      <w:r>
        <w:rPr>
          <w:b/>
        </w:rPr>
        <w:t>Available abstract (not full text):</w:t>
      </w:r>
      <w:r>
        <w:t xml:space="preserve">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937.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r>
        <w:rPr>
          <w:b/>
        </w:rPr>
        <w:t>POSSIBLE 2021:</w:t>
      </w:r>
      <w:r>
        <w:t xml:space="preserve"> S26 An assessment of short-acting β2-agonist (SABA) use and subsequent greenhouse gas (GHG) emissions in five European countries and the consequence of their potential overuse for asthma in the UK — https://doi.org/10.1136/thorax-2020-btsabstracts.32</w:t>
      </w:r>
    </w:p>
    <w:p>
      <w:pPr/>
      <w:r>
        <w:rPr>
          <w:b/>
        </w:rPr>
        <w:t>Shared claim-specific concepts:</w:t>
      </w:r>
      <w:r>
        <w:t xml:space="preserve"> consequence, ghg, emissions, compared, reference, period; EU scope visible. This is a provisional connection, not an outcome finding.</w:t>
      </w:r>
    </w:p>
    <w:p>
      <w:pPr>
        <w:pStyle w:val="SourceNote"/>
      </w:pPr>
      <w:r>
        <w:rPr>
          <w:b/>
        </w:rPr>
        <w:t>Available abstract (not full text):</w:t>
      </w:r>
      <w:r>
        <w:t xml:space="preserve">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pPr/>
      <w:r>
        <w:rPr>
          <w:b/>
        </w:rPr>
        <w:t>POSSIBLE 2021:</w:t>
      </w:r>
      <w:r>
        <w:t xml:space="preserve"> Perceptions of GHG emissions and renewable energy sources in Europe, Australia and the USA — https://doi.org/10.1007/s11356-021-15935-7</w:t>
      </w:r>
    </w:p>
    <w:p>
      <w:pPr/>
      <w:r>
        <w:rPr>
          <w:b/>
        </w:rPr>
        <w:t>Shared claim-specific concepts:</w:t>
      </w:r>
      <w:r>
        <w:t xml:space="preserve"> ghg, emissions,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Assessment of the Dependence of GHG Emissions on the Support and Taxes in the EU Countries — https://doi.org/10.3390/su13147650</w:t>
      </w:r>
    </w:p>
    <w:p>
      <w:pPr/>
      <w:r>
        <w:rPr>
          <w:b/>
        </w:rPr>
        <w:t>Shared claim-specific concepts:</w:t>
      </w:r>
      <w:r>
        <w:t xml:space="preserve"> ghg, emissions, compared, applied, energy; EU scope visible. This is a provisional connection, not an outcome finding.</w:t>
      </w:r>
    </w:p>
    <w:p>
      <w:pPr>
        <w:pStyle w:val="SourceNote"/>
      </w:pPr>
      <w:r>
        <w:rPr>
          <w:b/>
        </w:rPr>
        <w:t>Available abstract (not full text):</w:t>
      </w:r>
      <w:r>
        <w:t xml:space="preserve">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pPr/>
      <w:r>
        <w:rPr>
          <w:b/>
        </w:rPr>
        <w:t>POSSIBLE 2021:</w:t>
      </w:r>
      <w:r>
        <w:t xml:space="preserve"> Greenhouse Gas Emissions and Health in the Countries of the European Union — https://doi.org/10.3389/fpubh.2021.756652</w:t>
      </w:r>
    </w:p>
    <w:p>
      <w:pPr/>
      <w:r>
        <w:rPr>
          <w:b/>
        </w:rPr>
        <w:t>Shared claim-specific concepts:</w:t>
      </w:r>
      <w:r>
        <w:t xml:space="preserve"> ghg, emissions, compared, expected; EU scope visible. This is a provisional connection, not an outcome finding.</w:t>
      </w:r>
    </w:p>
    <w:p>
      <w:pPr>
        <w:pStyle w:val="SourceNote"/>
      </w:pPr>
      <w:r>
        <w:rPr>
          <w:b/>
        </w:rPr>
        <w:t>Available abstract (not full text):</w:t>
      </w:r>
      <w:r>
        <w:t xml:space="preserve">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r>
        <w:rPr>
          <w:b/>
        </w:rPr>
        <w:t>POSSIBLE 2021:</w:t>
      </w:r>
      <w:r>
        <w:t xml:space="preserve"> Economic Analysis of Measures for GHG Emission Reduction — https://doi.org/10.3390/su13041712</w:t>
      </w:r>
    </w:p>
    <w:p>
      <w:pPr/>
      <w:r>
        <w:rPr>
          <w:b/>
        </w:rPr>
        <w:t>Shared claim-specific concepts:</w:t>
      </w:r>
      <w:r>
        <w:t xml:space="preserve"> ghg, emissions, period, expected, energy; EU scope visible. This is a provisional connection, not an outcome finding.</w:t>
      </w:r>
    </w:p>
    <w:p>
      <w:pPr>
        <w:pStyle w:val="SourceNote"/>
      </w:pPr>
      <w:r>
        <w:rPr>
          <w:b/>
        </w:rPr>
        <w:t>Available abstract (not full text):</w:t>
      </w:r>
      <w:r>
        <w:t xml:space="preserve">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pPr/>
      <w:r>
        <w:rPr>
          <w:b/>
        </w:rPr>
        <w:t>POSSIBLE 2021:</w:t>
      </w:r>
      <w:r>
        <w:t xml:space="preserve"> The influence of ore grade decline on energy consumption and GhG emissions: The case of gold — https://doi.org/10.1016/j.envdev.2021.100683</w:t>
      </w:r>
    </w:p>
    <w:p>
      <w:pPr/>
      <w:r>
        <w:rPr>
          <w:b/>
        </w:rPr>
        <w:t>Shared claim-specific concepts:</w:t>
      </w:r>
      <w:r>
        <w:t xml:space="preserve"> ghg, emissions, decline, energy; EU scope not established. This is a provisional connection, not an outcome finding.</w:t>
      </w:r>
    </w:p>
    <w:p>
      <w:pPr>
        <w:pStyle w:val="SourceNote"/>
      </w:pPr>
      <w:r>
        <w:rPr>
          <w:b/>
        </w:rPr>
        <w:t>Available abstract (not full text):</w:t>
      </w:r>
      <w:r>
        <w:t xml:space="preserve"> Unavailable</w:t>
      </w:r>
    </w:p>
    <w:p>
      <w:pPr/>
      <w:r>
        <w:rPr>
          <w:b/>
        </w:rPr>
        <w:t>POSSIBLE 2020:</w:t>
      </w:r>
      <w:r>
        <w:t xml:space="preserve"> GHG Emissions Performance: Alternative Accounting Approaches for the European Union — https://doi.org/10.18267/j.pep.761</w:t>
      </w:r>
    </w:p>
    <w:p>
      <w:pPr/>
      <w:r>
        <w:rPr>
          <w:b/>
        </w:rPr>
        <w:t>Shared claim-specific concepts:</w:t>
      </w:r>
      <w:r>
        <w:t xml:space="preserve"> ghg, emissions, period; EU scope visible. This is a provisional connection, not an outcome finding.</w:t>
      </w:r>
    </w:p>
    <w:p>
      <w:pPr>
        <w:pStyle w:val="SourceNote"/>
      </w:pPr>
      <w:r>
        <w:rPr>
          <w:b/>
        </w:rPr>
        <w:t>Available abstract (not full text):</w:t>
      </w:r>
      <w:r>
        <w:t xml:space="preserve">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pPr/>
      <w:r>
        <w:rPr>
          <w:b/>
        </w:rPr>
        <w:t>POSSIBLE 2020:</w:t>
      </w:r>
      <w:r>
        <w:t xml:space="preserve"> How photovoltaics can contribute to GHG emission reductions of 55% in the EU by 2030 — https://doi.org/10.1016/j.rser.2020.109836</w:t>
      </w:r>
    </w:p>
    <w:p>
      <w:pPr/>
      <w:r>
        <w:rPr>
          <w:b/>
        </w:rPr>
        <w:t>Shared claim-specific concepts:</w:t>
      </w:r>
      <w:r>
        <w:t xml:space="preserve"> ghg, emissions, long-term, energy; EU scope visible. This is a provisional connection, not an outcome finding.</w:t>
      </w:r>
    </w:p>
    <w:p>
      <w:pPr>
        <w:pStyle w:val="SourceNote"/>
      </w:pPr>
      <w:r>
        <w:rPr>
          <w:b/>
        </w:rPr>
        <w:t>Available abstract (not full text):</w:t>
      </w:r>
      <w:r>
        <w:t xml:space="preserve">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938.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2017:</w:t>
      </w:r>
      <w:r>
        <w:t xml:space="preserve"> Stakeholder Participation in European Standardization: A Mapping and an Assessment of Three Categories of Regulation — https://doi.org/10.54648/leie2017021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pPr/>
      <w:r>
        <w:rPr>
          <w:b/>
        </w:rPr>
        <w:t>POSSIBLE 2016:</w:t>
      </w:r>
      <w:r>
        <w:t xml:space="preserve"> Different antisemitisms: on three distinct forms of antisemitism in contemporary Europe. With special focus on Sweden — https://doi.org/10.30752/nj.67611</w:t>
      </w:r>
    </w:p>
    <w:p>
      <w:pPr/>
      <w:r>
        <w:rPr>
          <w:b/>
        </w:rPr>
        <w:t>Shared claim-specific concepts:</w:t>
      </w:r>
      <w:r>
        <w:t xml:space="preserve"> three, different, kinds, based, country; EU scope visible. This is a provisional connection, not an outcome finding.</w:t>
      </w:r>
    </w:p>
    <w:p>
      <w:pPr>
        <w:pStyle w:val="SourceNote"/>
      </w:pPr>
      <w:r>
        <w:rPr>
          <w:b/>
        </w:rPr>
        <w:t>Available abstract (not full text):</w:t>
      </w:r>
      <w:r>
        <w:t xml:space="preserve">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pPr/>
      <w:r>
        <w:rPr>
          <w:b/>
        </w:rPr>
        <w:t>POSSIBLE 2015:</w:t>
      </w:r>
      <w:r>
        <w:t xml:space="preserve"> Educational Genres in Eastern Europe: A Comparison of the Genres in the Humanities Departments of three Countries of Three Different Universities in Three Different Countries — https://doi.org/10.18552/joaw.v5i1.164</w:t>
      </w:r>
    </w:p>
    <w:p>
      <w:pPr/>
      <w:r>
        <w:rPr>
          <w:b/>
        </w:rPr>
        <w:t>Shared claim-specific concepts:</w:t>
      </w:r>
      <w:r>
        <w:t xml:space="preserve"> three, different, country; EU scope visible. This is a provisional connection, not an outcome finding.</w:t>
      </w:r>
    </w:p>
    <w:p>
      <w:pPr>
        <w:pStyle w:val="SourceNote"/>
      </w:pPr>
      <w:r>
        <w:rPr>
          <w:b/>
        </w:rPr>
        <w:t>Available abstract (not full text):</w:t>
      </w:r>
      <w:r>
        <w:t xml:space="preserve">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pPr/>
      <w:r>
        <w:rPr>
          <w:b/>
        </w:rPr>
        <w:t>POSSIBLE 2015:</w:t>
      </w:r>
      <w:r>
        <w:t xml:space="preserve"> A process-based 222 radon flux map for Europe and its comparison to long-term observations — https://doi.org/10.5194/acp-15-12845-2015</w:t>
      </w:r>
    </w:p>
    <w:p>
      <w:pPr/>
      <w:r>
        <w:rPr>
          <w:b/>
        </w:rPr>
        <w:t>Shared claim-specific concepts:</w:t>
      </w:r>
      <w:r>
        <w:t xml:space="preserve"> different, based, transport; EU scope visible. This is a provisional connection, not an outcome finding.</w:t>
      </w:r>
    </w:p>
    <w:p>
      <w:pPr>
        <w:pStyle w:val="SourceNote"/>
      </w:pPr>
      <w:r>
        <w:rPr>
          <w:b/>
        </w:rPr>
        <w:t>Available abstract (not full text):</w:t>
      </w:r>
      <w:r>
        <w:t xml:space="preserve">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939.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2018:</w:t>
      </w:r>
      <w:r>
        <w:t xml:space="preserve"> Europe since 1970 — https://doi.org/10.5040/9781474207775.093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2017:</w:t>
      </w:r>
      <w:r>
        <w:t xml:space="preserve"> Benchmarking Framework to Encourage Energy Efficiency Investments in South Europe. The Trust EPC South Approach — https://doi.org/10.1016/j.proenv.2017.03.125</w:t>
      </w:r>
    </w:p>
    <w:p>
      <w:pPr/>
      <w:r>
        <w:rPr>
          <w:b/>
        </w:rPr>
        <w:t>Shared claim-specific concepts:</w:t>
      </w:r>
      <w:r>
        <w:t xml:space="preserve"> all, since, order, national, large; EU scope visible. This is a provisional connection, not an outcome finding.</w:t>
      </w:r>
    </w:p>
    <w:p>
      <w:pPr>
        <w:pStyle w:val="SourceNote"/>
      </w:pPr>
      <w:r>
        <w:rPr>
          <w:b/>
        </w:rPr>
        <w:t>Available abstract (not full text):</w:t>
      </w:r>
      <w:r>
        <w:t xml:space="preserve">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pPr/>
      <w:r>
        <w:rPr>
          <w:b/>
        </w:rPr>
        <w:t>POSSIBLE 2015:</w:t>
      </w:r>
      <w:r>
        <w:t xml:space="preserve"> Modelling recent and future climatic suitability for fasciolosis in Europe — https://doi.org/10.4081/gh.2015.352</w:t>
      </w:r>
    </w:p>
    <w:p>
      <w:pPr/>
      <w:r>
        <w:rPr>
          <w:b/>
        </w:rPr>
        <w:t>Shared claim-specific concepts:</w:t>
      </w:r>
      <w:r>
        <w:t xml:space="preserve"> all, since, appears, order, programmes; EU scope visible. This is a provisional connection, not an outcome finding.</w:t>
      </w:r>
    </w:p>
    <w:p>
      <w:pPr>
        <w:pStyle w:val="SourceNote"/>
      </w:pPr>
      <w:r>
        <w:rPr>
          <w:b/>
        </w:rPr>
        <w:t>Available abstract (not full text):</w:t>
      </w:r>
      <w:r>
        <w:t xml:space="preserve">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pPr/>
      <w:r>
        <w:rPr>
          <w:b/>
        </w:rPr>
        <w:t>POSSIBLE 2014:</w:t>
      </w:r>
      <w:r>
        <w:t xml:space="preserve"> Fauna Europaea – all European animal species on the web — https://doi.org/10.3897/bdj.2.e4034</w:t>
      </w:r>
    </w:p>
    <w:p>
      <w:pPr/>
      <w:r>
        <w:rPr>
          <w:b/>
        </w:rPr>
        <w:t>Shared claim-specific concepts:</w:t>
      </w:r>
      <w:r>
        <w:t xml:space="preserve"> all, governments, large; EU scope visible. This is a provisional connection, not an outcome finding.</w:t>
      </w:r>
    </w:p>
    <w:p>
      <w:pPr>
        <w:pStyle w:val="SourceNote"/>
      </w:pPr>
      <w:r>
        <w:rPr>
          <w:b/>
        </w:rPr>
        <w:t>Available abstract (not full text):</w:t>
      </w:r>
      <w:r>
        <w:t xml:space="preserve">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pPr/>
      <w:r>
        <w:rPr>
          <w:b/>
        </w:rPr>
        <w:t>POSSIBLE 2014:</w:t>
      </w:r>
      <w:r>
        <w:t xml:space="preserve"> Benchmarking Beam Envelope Models for the European Spallation Source — https://doi.org/10.18429/jacow-ipac2014-tupro061</w:t>
      </w:r>
    </w:p>
    <w:p>
      <w:pPr/>
      <w:r>
        <w:rPr>
          <w:b/>
        </w:rPr>
        <w:t>Shared claim-specific concepts:</w:t>
      </w:r>
      <w:r>
        <w:t xml:space="preserve"> all, since, benchmark, order; EU scope visible. This is a provisional connection, not an outcome finding.</w:t>
      </w:r>
    </w:p>
    <w:p>
      <w:pPr>
        <w:pStyle w:val="SourceNote"/>
      </w:pPr>
      <w:r>
        <w:rPr>
          <w:b/>
        </w:rPr>
        <w:t>Available abstract (not full text):</w:t>
      </w:r>
      <w:r>
        <w:t xml:space="preserve">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pPr/>
      <w:r>
        <w:rPr>
          <w:b/>
        </w:rPr>
        <w:t>POSSIBLE 2014:</w:t>
      </w:r>
      <w:r>
        <w:t xml:space="preserve"> The Multimodal Brain Tumor Image Segmentation Benchmark (BRATS) — https://doi.org/10.1109/tmi.2014.2377694</w:t>
      </w:r>
    </w:p>
    <w:p>
      <w:pPr/>
      <w:r>
        <w:rPr>
          <w:b/>
        </w:rPr>
        <w:t>Shared claim-specific concepts:</w:t>
      </w:r>
      <w:r>
        <w:t xml:space="preserve"> all, good, benchmark; EU scope not established. This is a provisional connection, not an outcome finding.</w:t>
      </w:r>
    </w:p>
    <w:p>
      <w:pPr>
        <w:pStyle w:val="SourceNote"/>
      </w:pPr>
      <w:r>
        <w:rPr>
          <w:b/>
        </w:rPr>
        <w:t>Available abstract (not full text):</w:t>
      </w:r>
      <w:r>
        <w:t xml:space="preserve">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pPr/>
      <w:r>
        <w:rPr>
          <w:b/>
        </w:rPr>
        <w:t>POSSIBLE 2012:</w:t>
      </w:r>
      <w:r>
        <w:t xml:space="preserve"> Income Inequality in the European Union — https://doi.org/10.1787/5k9bdt47q5zt-en</w:t>
      </w:r>
    </w:p>
    <w:p>
      <w:pPr/>
      <w:r>
        <w:rPr>
          <w:b/>
        </w:rPr>
        <w:t>Shared claim-specific concepts:</w:t>
      </w:r>
      <w:r>
        <w:t xml:space="preserve"> all, since, appears, reduce, national, large; EU scope visible. This is a provisional connection, not an outcome finding.</w:t>
      </w:r>
    </w:p>
    <w:p>
      <w:pPr>
        <w:pStyle w:val="SourceNote"/>
      </w:pPr>
      <w:r>
        <w:rPr>
          <w:b/>
        </w:rPr>
        <w:t>Available abstract (not full text):</w:t>
      </w:r>
      <w:r>
        <w:t xml:space="preserve">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pPr/>
      <w:r>
        <w:rPr>
          <w:b/>
        </w:rPr>
        <w:t>POSSIBLE 2012:</w:t>
      </w:r>
      <w:r>
        <w:t xml:space="preserve"> Management, regulation and environmental impacts of nitrogen fertilization in northwestern Europe under the Nitrates Directive; a benchmark study — https://doi.org/10.5194/bg-9-5143-2012</w:t>
      </w:r>
    </w:p>
    <w:p>
      <w:pPr/>
      <w:r>
        <w:rPr>
          <w:b/>
        </w:rPr>
        <w:t>Shared claim-specific concepts:</w:t>
      </w:r>
      <w:r>
        <w:t xml:space="preserve"> since, benchmark, national; EU scope visible. This is a provisional connection, not an outcome finding.</w:t>
      </w:r>
    </w:p>
    <w:p>
      <w:pPr>
        <w:pStyle w:val="SourceNote"/>
      </w:pPr>
      <w:r>
        <w:rPr>
          <w:b/>
        </w:rPr>
        <w:t>Available abstract (not full text):</w:t>
      </w:r>
      <w:r>
        <w:t xml:space="preserve">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940.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941.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2020:</w:t>
      </w:r>
      <w:r>
        <w:t xml:space="preserve"> The Humanistic and Economic Burden of Migraine in Europe: A Cross-Sectional Survey in Five Countries — https://doi.org/10.1007/s40120-020-00196-2</w:t>
      </w:r>
    </w:p>
    <w:p>
      <w:pPr/>
      <w:r>
        <w:rPr>
          <w:b/>
        </w:rPr>
        <w:t>Shared claim-specific concepts:</w:t>
      </w:r>
      <w:r>
        <w:t xml:space="preserve"> aim, five, methods; EU scope visible. This is a provisional connection, not an outcome finding.</w:t>
      </w:r>
    </w:p>
    <w:p>
      <w:pPr>
        <w:pStyle w:val="SourceNote"/>
      </w:pPr>
      <w:r>
        <w:rPr>
          <w:b/>
        </w:rPr>
        <w:t>Available abstract (not full text):</w:t>
      </w:r>
      <w:r>
        <w:t xml:space="preserve">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pPr/>
      <w:r>
        <w:rPr>
          <w:b/>
        </w:rPr>
        <w:t>POSSIBLE 2018:</w:t>
      </w:r>
      <w:r>
        <w:t xml:space="preserve"> European In-Situ Snow Measurements: Practices and Purposes — https://doi.org/10.3390/s18072016</w:t>
      </w:r>
    </w:p>
    <w:p>
      <w:pPr/>
      <w:r>
        <w:rPr>
          <w:b/>
        </w:rPr>
        <w:t>Shared claim-specific concepts:</w:t>
      </w:r>
      <w:r>
        <w:t xml:space="preserve"> describe, methods, range; EU scope visible. This is a provisional connection, not an outcome finding.</w:t>
      </w:r>
    </w:p>
    <w:p>
      <w:pPr>
        <w:pStyle w:val="SourceNote"/>
      </w:pPr>
      <w:r>
        <w:rPr>
          <w:b/>
        </w:rPr>
        <w:t>Available abstract (not full text):</w:t>
      </w:r>
      <w:r>
        <w:t xml:space="preserve">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pPr/>
      <w:r>
        <w:rPr>
          <w:b/>
        </w:rPr>
        <w:t>POSSIBLE 2018:</w:t>
      </w:r>
      <w:r>
        <w:t xml:space="preserve"> A longitudinal and comparative analysis of competitive balance in five European football leagues — https://doi.org/10.1108/tpm-09-2017-0055</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pPr/>
      <w:r>
        <w:rPr>
          <w:b/>
        </w:rPr>
        <w:t>POSSIBLE 2017:</w:t>
      </w:r>
      <w:r>
        <w:t xml:space="preserve"> The search for an appropriate end-of-life formula for the purpose of the European Commission Environmental Footprint initiative — https://doi.org/10.1007/s11367-016-1244-0</w:t>
      </w:r>
    </w:p>
    <w:p>
      <w:pPr/>
      <w:r>
        <w:rPr>
          <w:b/>
        </w:rPr>
        <w:t>Shared claim-specific concepts:</w:t>
      </w:r>
      <w:r>
        <w:t xml:space="preserve"> purpose, aim, methods, approach; EU scope visible. This is a provisional connection, not an outcome finding.</w:t>
      </w:r>
    </w:p>
    <w:p>
      <w:pPr>
        <w:pStyle w:val="SourceNote"/>
      </w:pPr>
      <w:r>
        <w:rPr>
          <w:b/>
        </w:rPr>
        <w:t>Available abstract (not full text):</w:t>
      </w:r>
      <w:r>
        <w:t xml:space="preserve">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pPr/>
      <w:r>
        <w:rPr>
          <w:b/>
        </w:rPr>
        <w:t>POSSIBLE 2017:</w:t>
      </w:r>
      <w:r>
        <w:t xml:space="preserve"> Regional differences in insulin therapy regimens in five European countries — https://doi.org/10.5414/cp202906</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pPr/>
      <w:r>
        <w:rPr>
          <w:b/>
        </w:rPr>
        <w:t>POSSIBLE 2016:</w:t>
      </w:r>
      <w:r>
        <w:t xml:space="preserve"> Forestry applications of UAVs in Europe: a review — https://doi.org/10.1080/01431161.2016.1252477</w:t>
      </w:r>
    </w:p>
    <w:p>
      <w:pPr/>
      <w:r>
        <w:rPr>
          <w:b/>
        </w:rPr>
        <w:t>Shared claim-specific concepts:</w:t>
      </w:r>
      <w:r>
        <w:t xml:space="preserve"> aim, use, used; EU scope visible. This is a provisional connection, not an outcome finding.</w:t>
      </w:r>
    </w:p>
    <w:p>
      <w:pPr>
        <w:pStyle w:val="SourceNote"/>
      </w:pPr>
      <w:r>
        <w:rPr>
          <w:b/>
        </w:rPr>
        <w:t>Available abstract (not full text):</w:t>
      </w:r>
      <w:r>
        <w:t xml:space="preserve">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pPr/>
      <w:r>
        <w:rPr>
          <w:b/>
        </w:rPr>
        <w:t>POSSIBLE 2016:</w:t>
      </w:r>
      <w:r>
        <w:t xml:space="preserve"> Moving beyond the “Five Freedoms” by Updating the “Five Provisions” and Introducing Aligned “Animal Welfare Aims” — https://doi.org/10.3390/ani6100059</w:t>
      </w:r>
    </w:p>
    <w:p>
      <w:pPr/>
      <w:r>
        <w:rPr>
          <w:b/>
        </w:rPr>
        <w:t>Shared claim-specific concepts:</w:t>
      </w:r>
      <w:r>
        <w:t xml:space="preserve"> five, application, range, first; EU scope visible. This is a provisional connection, not an outcome finding.</w:t>
      </w:r>
    </w:p>
    <w:p>
      <w:pPr>
        <w:pStyle w:val="SourceNote"/>
      </w:pPr>
      <w:r>
        <w:rPr>
          <w:b/>
        </w:rPr>
        <w:t>Available abstract (not full text):</w:t>
      </w:r>
      <w:r>
        <w:t xml:space="preserve">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942.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r>
        <w:rPr>
          <w:b/>
        </w:rPr>
        <w:t>POSSIBLE 2023:</w:t>
      </w:r>
      <w:r>
        <w:t xml:space="preserve"> Four ways blue foods can help achieve food system ambitions across nations — https://doi.org/10.1038/s41586-023-05737-x</w:t>
      </w:r>
    </w:p>
    <w:p>
      <w:pPr/>
      <w:r>
        <w:rPr>
          <w:b/>
        </w:rPr>
        <w:t>Shared claim-specific concepts:</w:t>
      </w:r>
      <w:r>
        <w:t xml:space="preserve"> findings, four, help, people, south; EU scope not established. This is a provisional connection, not an outcome finding.</w:t>
      </w:r>
    </w:p>
    <w:p>
      <w:pPr>
        <w:pStyle w:val="SourceNote"/>
      </w:pPr>
      <w:r>
        <w:rPr>
          <w:b/>
        </w:rPr>
        <w:t>Available abstract (not full text):</w:t>
      </w:r>
      <w:r>
        <w:t xml:space="preserve">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pPr/>
      <w:r>
        <w:rPr>
          <w:b/>
        </w:rPr>
        <w:t>POSSIBLE 2023:</w:t>
      </w:r>
      <w:r>
        <w:t xml:space="preserve"> Current Antibiotic Use Among Hospitals in the sub-Saharan Africa Region; Findings and Implications — https://doi.org/10.2147/idr.s398223</w:t>
      </w:r>
    </w:p>
    <w:p>
      <w:pPr/>
      <w:r>
        <w:rPr>
          <w:b/>
        </w:rPr>
        <w:t>Shared claim-specific concepts:</w:t>
      </w:r>
      <w:r>
        <w:t xml:space="preserve"> findings, region, longer, south; EU scope not established. This is a provisional connection, not an outcome finding.</w:t>
      </w:r>
    </w:p>
    <w:p>
      <w:pPr>
        <w:pStyle w:val="SourceNote"/>
      </w:pPr>
      <w:r>
        <w:rPr>
          <w:b/>
        </w:rPr>
        <w:t>Available abstract (not full text):</w:t>
      </w:r>
      <w:r>
        <w:t xml:space="preserve">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pPr/>
      <w:r>
        <w:rPr>
          <w:b/>
        </w:rPr>
        <w:t>POSSIBLE 2022:</w:t>
      </w:r>
      <w:r>
        <w:t xml:space="preserve"> Developing a scale to measure problems in finding a good fit — https://doi.org/10.1108/jfmm-11-2021-0302</w:t>
      </w:r>
    </w:p>
    <w:p>
      <w:pPr/>
      <w:r>
        <w:rPr>
          <w:b/>
        </w:rPr>
        <w:t>Shared claim-specific concepts:</w:t>
      </w:r>
      <w:r>
        <w:t xml:space="preserve"> findings, four, purpose; EU scope not established. This is a provisional connection, not an outcome finding.</w:t>
      </w:r>
    </w:p>
    <w:p>
      <w:pPr>
        <w:pStyle w:val="SourceNote"/>
      </w:pPr>
      <w:r>
        <w:rPr>
          <w:b/>
        </w:rPr>
        <w:t>Available abstract (not full text):</w:t>
      </w:r>
      <w:r>
        <w:t xml:space="preserve">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pPr/>
      <w:r>
        <w:rPr>
          <w:b/>
        </w:rPr>
        <w:t>POSSIBLE 2020:</w:t>
      </w:r>
      <w:r>
        <w:t xml:space="preserve"> Region-specific sex differences in the hippocampus — https://doi.org/10.1016/j.neuroimage.2020.116781</w:t>
      </w:r>
    </w:p>
    <w:p>
      <w:pPr/>
      <w:r>
        <w:rPr>
          <w:b/>
        </w:rPr>
        <w:t>Shared claim-specific concepts:</w:t>
      </w:r>
      <w:r>
        <w:t xml:space="preserve"> findings, four, region, help, young; EU scope not established. This is a provisional connection, not an outcome finding.</w:t>
      </w:r>
    </w:p>
    <w:p>
      <w:pPr>
        <w:pStyle w:val="SourceNote"/>
      </w:pPr>
      <w:r>
        <w:rPr>
          <w:b/>
        </w:rPr>
        <w:t>Available abstract (not full text):</w:t>
      </w:r>
      <w:r>
        <w:t xml:space="preserve">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pPr/>
      <w:r>
        <w:rPr>
          <w:b/>
        </w:rPr>
        <w:t>POSSIBLE 2020:</w:t>
      </w:r>
      <w:r>
        <w:t xml:space="preserve"> Variations in newspaper reporting of suicidal behavior in the WHO–South-East Asian region — https://doi.org/10.1093/pubmed/fdaa139</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pPr/>
      <w:r>
        <w:rPr>
          <w:b/>
        </w:rPr>
        <w:t>POSSIBLE 2019:</w:t>
      </w:r>
      <w:r>
        <w:t xml:space="preserve"> Seeking help for sexual difficulties: findings from a study with older adults in four European countries — https://doi.org/10.1007/s10433-019-00536-8</w:t>
      </w:r>
    </w:p>
    <w:p>
      <w:pPr/>
      <w:r>
        <w:rPr>
          <w:b/>
        </w:rPr>
        <w:t>Shared claim-specific concepts:</w:t>
      </w:r>
      <w:r>
        <w:t xml:space="preserve"> findings, four, help, inform; EU scope visible. This is a provisional connection, not an outcome finding.</w:t>
      </w:r>
    </w:p>
    <w:p>
      <w:pPr>
        <w:pStyle w:val="SourceNote"/>
      </w:pPr>
      <w:r>
        <w:rPr>
          <w:b/>
        </w:rPr>
        <w:t>Available abstract (not full text):</w:t>
      </w:r>
      <w:r>
        <w:t xml:space="preserve">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pPr/>
      <w:r>
        <w:rPr>
          <w:b/>
        </w:rPr>
        <w:t>POSSIBLE 2018:</w:t>
      </w:r>
      <w:r>
        <w:t xml:space="preserve"> Applying GRADE-CERQual to qualitative evidence synthesis findings—paper 2: how to make an overall CERQual assessment of confidence and create a Summary of Qualitative Findings table — https://doi.org/10.1186/s13012-017-0689-2</w:t>
      </w:r>
    </w:p>
    <w:p>
      <w:pPr/>
      <w:r>
        <w:rPr>
          <w:b/>
        </w:rPr>
        <w:t>Shared claim-specific concepts:</w:t>
      </w:r>
      <w:r>
        <w:t xml:space="preserve"> findings, four, developed, making; EU scope not established. This is a provisional connection, not an outcome finding.</w:t>
      </w:r>
    </w:p>
    <w:p>
      <w:pPr>
        <w:pStyle w:val="SourceNote"/>
      </w:pPr>
      <w:r>
        <w:rPr>
          <w:b/>
        </w:rPr>
        <w:t>Available abstract (not full text):</w:t>
      </w:r>
      <w:r>
        <w:t xml:space="preserve">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pPr/>
      <w:r>
        <w:rPr>
          <w:b/>
        </w:rPr>
        <w:t>POSSIBLE 2018:</w:t>
      </w:r>
      <w:r>
        <w:t xml:space="preserve"> Real time four channel phase comparison direction finding method — https://doi.org/10.1109/siu.2018.8404590</w:t>
      </w:r>
    </w:p>
    <w:p>
      <w:pPr/>
      <w:r>
        <w:rPr>
          <w:b/>
        </w:rPr>
        <w:t>Shared claim-specific concepts:</w:t>
      </w:r>
      <w:r>
        <w:t xml:space="preserve"> four, developed, possible; EU scope not established. This is a provisional connection, not an outcome finding.</w:t>
      </w:r>
    </w:p>
    <w:p>
      <w:pPr>
        <w:pStyle w:val="SourceNote"/>
      </w:pPr>
      <w:r>
        <w:rPr>
          <w:b/>
        </w:rPr>
        <w:t>Available abstract (not full text):</w:t>
      </w:r>
      <w:r>
        <w:t xml:space="preserve">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943.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r>
        <w:rPr>
          <w:b/>
        </w:rPr>
        <w:t>POSSIBLE 2015:</w:t>
      </w:r>
      <w:r>
        <w:t xml:space="preserve"> Modelling the Potential Biogas Productivity Range from a MSW Landfill for Its Sustainable Exploitation — https://doi.org/10.3390/su7010482</w:t>
      </w:r>
    </w:p>
    <w:p>
      <w:pPr/>
      <w:r>
        <w:rPr>
          <w:b/>
        </w:rPr>
        <w:t>Shared claim-specific concepts:</w:t>
      </w:r>
      <w:r>
        <w:t xml:space="preserve"> then, countries, italy; EU scope visible. This is a provisional connection, not an outcome finding.</w:t>
      </w:r>
    </w:p>
    <w:p>
      <w:pPr>
        <w:pStyle w:val="SourceNote"/>
      </w:pPr>
      <w:r>
        <w:rPr>
          <w:b/>
        </w:rPr>
        <w:t>Available abstract (not full text):</w:t>
      </w:r>
      <w:r>
        <w:t xml:space="preserve">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pPr/>
      <w:r>
        <w:rPr>
          <w:b/>
        </w:rPr>
        <w:t>POSSIBLE 2013:</w:t>
      </w:r>
      <w:r>
        <w:t xml:space="preserve"> Maintenance strategies and local impact of MSW incinerators — https://doi.org/10.2495/esus130201</w:t>
      </w:r>
    </w:p>
    <w:p>
      <w:pPr/>
      <w:r>
        <w:rPr>
          <w:b/>
        </w:rPr>
        <w:t>Shared claim-specific concepts:</w:t>
      </w:r>
      <w:r>
        <w:t xml:space="preserve"> incinerators, italy; EU scope visible. This is a provisional connection, not an outcome finding.</w:t>
      </w:r>
    </w:p>
    <w:p>
      <w:pPr>
        <w:pStyle w:val="SourceNote"/>
      </w:pPr>
      <w:r>
        <w:rPr>
          <w:b/>
        </w:rPr>
        <w:t>Available abstract (not full text):</w:t>
      </w:r>
      <w:r>
        <w:t xml:space="preserve">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pPr/>
      <w:r>
        <w:rPr>
          <w:b/>
        </w:rPr>
        <w:t>POSSIBLE 2013:</w:t>
      </w:r>
      <w:r>
        <w:t xml:space="preserve"> The ultimate sacrifice : a comparative study of self-immolation as a tactic of political protest in India and South Korea. — https://doi.org/10.18297/etd/508</w:t>
      </w:r>
    </w:p>
    <w:p>
      <w:pPr/>
      <w:r>
        <w:rPr>
          <w:b/>
        </w:rPr>
        <w:t>Shared claim-specific concepts:</w:t>
      </w:r>
      <w:r>
        <w:t xml:space="preserve"> moderately, three; EU scope not established. This is a provisional connection, not an outcome finding.</w:t>
      </w:r>
    </w:p>
    <w:p>
      <w:pPr>
        <w:pStyle w:val="SourceNote"/>
      </w:pPr>
      <w:r>
        <w:rPr>
          <w:b/>
        </w:rPr>
        <w:t>Available abstract (not full text):</w:t>
      </w:r>
      <w:r>
        <w:t xml:space="preserve">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pPr/>
      <w:r>
        <w:rPr>
          <w:b/>
        </w:rPr>
        <w:t>POSSIBLE 2012:</w:t>
      </w:r>
      <w:r>
        <w:t xml:space="preserve"> Cancer mortality in towns in the vicinity of incinerators and installations for the recovery or disposal of hazardous waste — https://doi.org/10.1016/j.envint.2012.10.003</w:t>
      </w:r>
    </w:p>
    <w:p>
      <w:pPr/>
      <w:r>
        <w:rPr>
          <w:b/>
        </w:rPr>
        <w:t>Shared claim-specific concepts:</w:t>
      </w:r>
      <w:r>
        <w:t xml:space="preserve"> incinerators, cancer, due, exposure; EU scope not established. This is a provisional connection, not an outcome finding.</w:t>
      </w:r>
    </w:p>
    <w:p>
      <w:pPr>
        <w:pStyle w:val="SourceNote"/>
      </w:pPr>
      <w:r>
        <w:rPr>
          <w:b/>
        </w:rPr>
        <w:t>Available abstract (not full text):</w:t>
      </w:r>
      <w:r>
        <w:t xml:space="preserve">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944.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2020:</w:t>
      </w:r>
      <w:r>
        <w:t xml:space="preserve"> Broadsides as Sources: A Methodological Discussion and Overview of Key Findings — https://doi.org/10.1057/978-1-137-59789-2_2</w:t>
      </w:r>
    </w:p>
    <w:p>
      <w:pPr/>
      <w:r>
        <w:rPr>
          <w:b/>
        </w:rPr>
        <w:t>Shared claim-specific concepts:</w:t>
      </w:r>
      <w:r>
        <w:t xml:space="preserve"> findings, several, people; EU scope not established. This is a provisional connection, not an outcome finding.</w:t>
      </w:r>
    </w:p>
    <w:p>
      <w:pPr>
        <w:pStyle w:val="SourceNote"/>
      </w:pPr>
      <w:r>
        <w:rPr>
          <w:b/>
        </w:rPr>
        <w:t>Available abstract (not full text):</w:t>
      </w:r>
      <w:r>
        <w:t xml:space="preserve">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pPr/>
      <w:r>
        <w:rPr>
          <w:b/>
        </w:rPr>
        <w:t>POSSIBLE 2020:</w:t>
      </w:r>
      <w:r>
        <w:t xml:space="preserve"> Cloud Migration Methodologies Preliminary Findings — https://openalex.org/W3019771303</w:t>
      </w:r>
    </w:p>
    <w:p>
      <w:pPr/>
      <w:r>
        <w:rPr>
          <w:b/>
        </w:rPr>
        <w:t>Shared claim-specific concepts:</w:t>
      </w:r>
      <w:r>
        <w:t xml:space="preserve"> findings, several, methodologies; EU scope not established. This is a provisional connection, not an outcome finding.</w:t>
      </w:r>
    </w:p>
    <w:p>
      <w:pPr>
        <w:pStyle w:val="SourceNote"/>
      </w:pPr>
      <w:r>
        <w:rPr>
          <w:b/>
        </w:rPr>
        <w:t>Available abstract (not full text):</w:t>
      </w:r>
      <w:r>
        <w:t xml:space="preserve">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pPr/>
      <w:r>
        <w:rPr>
          <w:b/>
        </w:rPr>
        <w:t>POSSIBLE 2019:</w:t>
      </w:r>
      <w:r>
        <w:t xml:space="preserve"> Transcriptome-wide association study of attention deficit hyperactivity disorder identifies associated genes and phenotypes — https://doi.org/10.1038/s41467-019-12450-9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pPr/>
      <w:r>
        <w:rPr>
          <w:b/>
        </w:rPr>
        <w:t>POSSIBLE 2017:</w:t>
      </w:r>
      <w:r>
        <w:t xml:space="preserve"> Genome-wide association meta-analysis of 78,308 individuals identifies new loci and genes influencing human intelligence — https://doi.org/10.1038/ng.3869</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pPr/>
      <w:r>
        <w:rPr>
          <w:b/>
        </w:rPr>
        <w:t>POSSIBLE 2016:</w:t>
      </w:r>
      <w:r>
        <w:t xml:space="preserve"> Disaster Mental Health Epidemiology: Methodological Review and Interpretation of Research Findings — https://doi.org/10.1080/00332747.2016.1155926</w:t>
      </w:r>
    </w:p>
    <w:p>
      <w:pPr/>
      <w:r>
        <w:rPr>
          <w:b/>
        </w:rPr>
        <w:t>Shared claim-specific concepts:</w:t>
      </w:r>
      <w:r>
        <w:t xml:space="preserve"> findings, several; EU scope not established. This is a provisional connection, not an outcome finding.</w:t>
      </w:r>
    </w:p>
    <w:p>
      <w:pPr>
        <w:pStyle w:val="SourceNote"/>
      </w:pPr>
      <w:r>
        <w:rPr>
          <w:b/>
        </w:rPr>
        <w:t>Available abstract (not full text):</w:t>
      </w:r>
      <w:r>
        <w:t xml:space="preserve">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pPr/>
      <w:r>
        <w:rPr>
          <w:b/>
        </w:rPr>
        <w:t>POSSIBLE 2016:</w:t>
      </w:r>
      <w:r>
        <w:t xml:space="preserve"> Auditory Hallucinations and the Brain’s Resting-State Networks: Findings and Methodological Observations — https://doi.org/10.1093/schbul/sbw078</w:t>
      </w:r>
    </w:p>
    <w:p>
      <w:pPr/>
      <w:r>
        <w:rPr>
          <w:b/>
        </w:rPr>
        <w:t>Shared claim-specific concepts:</w:t>
      </w:r>
      <w:r>
        <w:t xml:space="preserve"> findings, control, well; EU scope not established. This is a provisional connection, not an outcome finding.</w:t>
      </w:r>
    </w:p>
    <w:p>
      <w:pPr>
        <w:pStyle w:val="SourceNote"/>
      </w:pPr>
      <w:r>
        <w:rPr>
          <w:b/>
        </w:rPr>
        <w:t>Available abstract (not full text):</w:t>
      </w:r>
      <w:r>
        <w:t xml:space="preserve">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pPr/>
      <w:r>
        <w:rPr>
          <w:b/>
        </w:rPr>
        <w:t>POSSIBLE 2016:</w:t>
      </w:r>
      <w:r>
        <w:t xml:space="preserve"> Methodological support for the further abstraction of and philosophical examination of empirical findings in the context of caring science — https://doi.org/10.3402/qhw.v11.30482</w:t>
      </w:r>
    </w:p>
    <w:p>
      <w:pPr/>
      <w:r>
        <w:rPr>
          <w:b/>
        </w:rPr>
        <w:t>Shared claim-specific concepts:</w:t>
      </w:r>
      <w:r>
        <w:t xml:space="preserve"> findings, several, present, well; EU scope not established. This is a provisional connection, not an outcome finding.</w:t>
      </w:r>
    </w:p>
    <w:p>
      <w:pPr>
        <w:pStyle w:val="SourceNote"/>
      </w:pPr>
      <w:r>
        <w:rPr>
          <w:b/>
        </w:rPr>
        <w:t>Available abstract (not full text):</w:t>
      </w:r>
      <w:r>
        <w:t xml:space="preserve">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945.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946.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r>
        <w:rPr>
          <w:b/>
        </w:rPr>
        <w:t>POSSIBLE 2020:</w:t>
      </w:r>
      <w:r>
        <w:t xml:space="preserve"> Critically reviewing smart home technology applications and business models in Europe — https://doi.org/10.1016/j.enpol.2020.111631</w:t>
      </w:r>
    </w:p>
    <w:p>
      <w:pPr/>
      <w:r>
        <w:rPr>
          <w:b/>
        </w:rPr>
        <w:t>Shared claim-specific concepts:</w:t>
      </w:r>
      <w:r>
        <w:t xml:space="preserve"> civil, because, they, guide, safety; EU scope visible. This is a provisional connection, not an outcome finding.</w:t>
      </w:r>
    </w:p>
    <w:p>
      <w:pPr>
        <w:pStyle w:val="SourceNote"/>
      </w:pPr>
      <w:r>
        <w:rPr>
          <w:b/>
        </w:rPr>
        <w:t>Available abstract (not full text):</w:t>
      </w:r>
      <w:r>
        <w:t xml:space="preserve">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pPr/>
      <w:r>
        <w:rPr>
          <w:b/>
        </w:rPr>
        <w:t>POSSIBLE 2018:</w:t>
      </w:r>
      <w:r>
        <w:t xml:space="preserve"> A changing economic vote in Western Europe? Long-term vs. short-term forces — https://doi.org/10.1017/s1755773918000231</w:t>
      </w:r>
    </w:p>
    <w:p>
      <w:pPr/>
      <w:r>
        <w:rPr>
          <w:b/>
        </w:rPr>
        <w:t>Shared claim-specific concepts:</w:t>
      </w:r>
      <w:r>
        <w:t xml:space="preserve"> long-term, against, because; EU scope visible. This is a provisional connection, not an outcome finding.</w:t>
      </w:r>
    </w:p>
    <w:p>
      <w:pPr>
        <w:pStyle w:val="SourceNote"/>
      </w:pPr>
      <w:r>
        <w:rPr>
          <w:b/>
        </w:rPr>
        <w:t>Available abstract (not full text):</w:t>
      </w:r>
      <w:r>
        <w:t xml:space="preserve">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pPr/>
      <w:r>
        <w:rPr>
          <w:b/>
        </w:rPr>
        <w:t>POSSIBLE 2018:</w:t>
      </w:r>
      <w:r>
        <w:t xml:space="preserve"> Mediterranean Civil Economy and the European System — https://doi.org/10.23756/sp.v6i1.403</w:t>
      </w:r>
    </w:p>
    <w:p>
      <w:pPr/>
      <w:r>
        <w:rPr>
          <w:b/>
        </w:rPr>
        <w:t>Shared claim-specific concepts:</w:t>
      </w:r>
      <w:r>
        <w:t xml:space="preserve"> currently, civil, against; EU scope visible. This is a provisional connection, not an outcome finding.</w:t>
      </w:r>
    </w:p>
    <w:p>
      <w:pPr>
        <w:pStyle w:val="SourceNote"/>
      </w:pPr>
      <w:r>
        <w:rPr>
          <w:b/>
        </w:rPr>
        <w:t>Available abstract (not full text):</w:t>
      </w:r>
      <w:r>
        <w:t xml:space="preserve">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947.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The role of land cover in the climate of glacial Europe — https://doi.org/10.5194/cp-17-1161-2021</w:t>
      </w:r>
    </w:p>
    <w:p>
      <w:pPr/>
      <w:r>
        <w:rPr>
          <w:b/>
        </w:rPr>
        <w:t>Shared claim-specific concepts:</w:t>
      </w:r>
      <w:r>
        <w:t xml:space="preserve"> climate, land, cover, vegetation, used, over; EU scope visible. This is a provisional connection, not an outcome finding.</w:t>
      </w:r>
    </w:p>
    <w:p>
      <w:pPr>
        <w:pStyle w:val="SourceNote"/>
      </w:pPr>
      <w:r>
        <w:rPr>
          <w:b/>
        </w:rPr>
        <w:t>Available abstract (not full text):</w:t>
      </w:r>
      <w:r>
        <w:t xml:space="preserve">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pPr/>
      <w:r>
        <w:rPr>
          <w:b/>
        </w:rPr>
        <w:t>POSSIBLE 2021:</w:t>
      </w:r>
      <w:r>
        <w:t xml:space="preserve"> High-resolution land-use land-cover change data for regional climate modelling applications over Europe – Part 2: Historical and future changes — https://doi.org/10.5194/essd-2021-252</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pPr/>
      <w:r>
        <w:rPr>
          <w:b/>
        </w:rPr>
        <w:t>POSSIBLE 2020:</w:t>
      </w:r>
      <w:r>
        <w:t xml:space="preserve"> Influence of climate, soil, and land cover on plant species distribution in the European Alps — https://doi.org/10.1002/ecm.1433</w:t>
      </w:r>
    </w:p>
    <w:p>
      <w:pPr/>
      <w:r>
        <w:rPr>
          <w:b/>
        </w:rPr>
        <w:t>Shared claim-specific concepts:</w:t>
      </w:r>
      <w:r>
        <w:t xml:space="preserve"> climate, land, cover; EU scope visible. This is a provisional connection, not an outcome finding.</w:t>
      </w:r>
    </w:p>
    <w:p>
      <w:pPr>
        <w:pStyle w:val="SourceNote"/>
      </w:pPr>
      <w:r>
        <w:rPr>
          <w:b/>
        </w:rPr>
        <w:t>Available abstract (not full text):</w:t>
      </w:r>
      <w:r>
        <w:t xml:space="preserve">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pPr/>
      <w:r>
        <w:rPr>
          <w:b/>
        </w:rPr>
        <w:t>POSSIBLE 2020:</w:t>
      </w:r>
      <w:r>
        <w:t xml:space="preserve"> Climate change will affect global water availability through compounding changes in seasonal precipitation and evaporation — https://doi.org/10.1038/s41467-020-16757-w</w:t>
      </w:r>
    </w:p>
    <w:p>
      <w:pPr/>
      <w:r>
        <w:rPr>
          <w:b/>
        </w:rPr>
        <w:t>Shared claim-specific concepts:</w:t>
      </w:r>
      <w:r>
        <w:t xml:space="preserve"> climate, land, precipitation, used; EU scope not established. This is a provisional connection, not an outcome finding.</w:t>
      </w:r>
    </w:p>
    <w:p>
      <w:pPr>
        <w:pStyle w:val="SourceNote"/>
      </w:pPr>
      <w:r>
        <w:rPr>
          <w:b/>
        </w:rPr>
        <w:t>Available abstract (not full text):</w:t>
      </w:r>
      <w:r>
        <w:t xml:space="preserve">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pPr/>
      <w:r>
        <w:rPr>
          <w:b/>
        </w:rPr>
        <w:t>POSSIBLE 2020:</w:t>
      </w:r>
      <w:r>
        <w:t xml:space="preserve"> Climate change impact on flood and extreme precipitation increases with water availability — https://doi.org/10.1038/s41598-020-70816-2</w:t>
      </w:r>
    </w:p>
    <w:p>
      <w:pPr/>
      <w:r>
        <w:rPr>
          <w:b/>
        </w:rPr>
        <w:t>Shared claim-specific concepts:</w:t>
      </w:r>
      <w:r>
        <w:t xml:space="preserve"> climate, precipitation, over; EU scope not established. This is a provisional connection, not an outcome finding.</w:t>
      </w:r>
    </w:p>
    <w:p>
      <w:pPr>
        <w:pStyle w:val="SourceNote"/>
      </w:pPr>
      <w:r>
        <w:rPr>
          <w:b/>
        </w:rPr>
        <w:t>Available abstract (not full text):</w:t>
      </w:r>
      <w:r>
        <w:t xml:space="preserve">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pPr/>
      <w:r>
        <w:rPr>
          <w:b/>
        </w:rPr>
        <w:t>POSSIBLE 2019:</w:t>
      </w:r>
      <w:r>
        <w:t xml:space="preserve"> Satellite Remote Sensing of Precipitation and the Terrestrial Water Cycle in a Changing Climate — https://doi.org/10.3390/rs11192301</w:t>
      </w:r>
    </w:p>
    <w:p>
      <w:pPr/>
      <w:r>
        <w:rPr>
          <w:b/>
        </w:rPr>
        <w:t>Shared claim-specific concepts:</w:t>
      </w:r>
      <w:r>
        <w:t xml:space="preserve"> climate, land, precipitation, environmental; EU scope not established. This is a provisional connection, not an outcome finding.</w:t>
      </w:r>
    </w:p>
    <w:p>
      <w:pPr>
        <w:pStyle w:val="SourceNote"/>
      </w:pPr>
      <w:r>
        <w:rPr>
          <w:b/>
        </w:rPr>
        <w:t>Available abstract (not full text):</w:t>
      </w:r>
      <w:r>
        <w:t xml:space="preserve">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948.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r>
        <w:rPr>
          <w:b/>
        </w:rPr>
        <w:t>POSSIBLE 2022:</w:t>
      </w:r>
      <w:r>
        <w:t xml:space="preserve"> Strategic partnerships and China’s diplomacy in Europe: Insights from Italy — https://doi.org/10.1177/13691481221127571</w:t>
      </w:r>
    </w:p>
    <w:p>
      <w:pPr/>
      <w:r>
        <w:rPr>
          <w:b/>
        </w:rPr>
        <w:t>Shared claim-specific concepts:</w:t>
      </w:r>
      <w:r>
        <w:t xml:space="preserve"> insights, strategic, ideational; EU scope visible. This is a provisional connection, not an outcome finding.</w:t>
      </w:r>
    </w:p>
    <w:p>
      <w:pPr>
        <w:pStyle w:val="SourceNote"/>
      </w:pPr>
      <w:r>
        <w:rPr>
          <w:b/>
        </w:rPr>
        <w:t>Available abstract (not full text):</w:t>
      </w:r>
      <w:r>
        <w:t xml:space="preserve">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pPr/>
      <w:r>
        <w:rPr>
          <w:b/>
        </w:rPr>
        <w:t>POSSIBLE 2022:</w:t>
      </w:r>
      <w:r>
        <w:t xml:space="preserve"> Strategic European counterterrorism? An empirical analysis — https://doi.org/10.1080/09662839.2022.2029847</w:t>
      </w:r>
    </w:p>
    <w:p>
      <w:pPr/>
      <w:r>
        <w:rPr>
          <w:b/>
        </w:rPr>
        <w:t>Shared claim-specific concepts:</w:t>
      </w:r>
      <w:r>
        <w:t xml:space="preserve"> insights, strategic, assessment; EU scope visible. This is a provisional connection, not an outcome finding.</w:t>
      </w:r>
    </w:p>
    <w:p>
      <w:pPr>
        <w:pStyle w:val="SourceNote"/>
      </w:pPr>
      <w:r>
        <w:rPr>
          <w:b/>
        </w:rPr>
        <w:t>Available abstract (not full text):</w:t>
      </w:r>
      <w:r>
        <w:t xml:space="preserve">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pPr/>
      <w:r>
        <w:rPr>
          <w:b/>
        </w:rPr>
        <w:t>POSSIBLE 2021:</w:t>
      </w:r>
      <w:r>
        <w:t xml:space="preserve"> Demystifying the modernized European data protection regime: Cross‐disciplinary insights from legal and regulatory governance scholarship — https://doi.org/10.1111/rego.12401</w:t>
      </w:r>
    </w:p>
    <w:p>
      <w:pPr/>
      <w:r>
        <w:rPr>
          <w:b/>
        </w:rPr>
        <w:t>Shared claim-specific concepts:</w:t>
      </w:r>
      <w:r>
        <w:t xml:space="preserve"> insights, key, uncertainties; EU scope visible. This is a provisional connection, not an outcome finding.</w:t>
      </w:r>
    </w:p>
    <w:p>
      <w:pPr>
        <w:pStyle w:val="SourceNote"/>
      </w:pPr>
      <w:r>
        <w:rPr>
          <w:b/>
        </w:rPr>
        <w:t>Available abstract (not full text):</w:t>
      </w:r>
      <w:r>
        <w:t xml:space="preserve">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949.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2022:</w:t>
      </w:r>
      <w:r>
        <w:t xml:space="preserve"> Supplying Critical Materials in a Time of Uncertainty — https://doi.org/10.31410/limen.2022.315</w:t>
      </w:r>
    </w:p>
    <w:p>
      <w:pPr/>
      <w:r>
        <w:rPr>
          <w:b/>
        </w:rPr>
        <w:t>Shared claim-specific concepts:</w:t>
      </w:r>
      <w:r>
        <w:t xml:space="preserve"> so-called, critical, climate; EU scope not established. This is a provisional connection, not an outcome finding.</w:t>
      </w:r>
    </w:p>
    <w:p>
      <w:pPr>
        <w:pStyle w:val="SourceNote"/>
      </w:pPr>
      <w:r>
        <w:rPr>
          <w:b/>
        </w:rPr>
        <w:t>Available abstract (not full text):</w:t>
      </w:r>
      <w:r>
        <w:t xml:space="preserve">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pPr/>
      <w:r>
        <w:rPr>
          <w:b/>
        </w:rPr>
        <w:t>POSSIBLE 2022:</w:t>
      </w:r>
      <w:r>
        <w:t xml:space="preserve"> Truth and uncertainty. A critical discussion of the error concept versus the uncertainty concept — https://doi.org/10.5194/amt-15-1145-2022</w:t>
      </w:r>
    </w:p>
    <w:p>
      <w:pPr/>
      <w:r>
        <w:rPr>
          <w:b/>
        </w:rPr>
        <w:t>Shared claim-specific concepts:</w:t>
      </w:r>
      <w:r>
        <w:t xml:space="preserve"> critical, uncertainties, found; EU scope not established. This is a provisional connection, not an outcome finding.</w:t>
      </w:r>
    </w:p>
    <w:p>
      <w:pPr>
        <w:pStyle w:val="SourceNote"/>
      </w:pPr>
      <w:r>
        <w:rPr>
          <w:b/>
        </w:rPr>
        <w:t>Available abstract (not full text):</w:t>
      </w:r>
      <w:r>
        <w:t xml:space="preserve">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pPr/>
      <w:r>
        <w:rPr>
          <w:b/>
        </w:rPr>
        <w:t>POSSIBLE 2022:</w:t>
      </w:r>
      <w:r>
        <w:t xml:space="preserve"> Last Call for 1.5 Degrees: — https://doi.org/10.21552/cclr/2022/4/4</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pPr/>
      <w:r>
        <w:rPr>
          <w:b/>
        </w:rPr>
        <w:t>POSSIBLE 2021:</w:t>
      </w:r>
      <w:r>
        <w:t xml:space="preserve"> Responsible prediction under critical uncertainty: an epistemic analysis of neuroprognostic innovation practices after cardiac arrest — https://doi.org/10.3990/1.9789036552349</w:t>
      </w:r>
    </w:p>
    <w:p>
      <w:pPr/>
      <w:r>
        <w:rPr>
          <w:b/>
        </w:rPr>
        <w:t>Shared claim-specific concepts:</w:t>
      </w:r>
      <w:r>
        <w:t xml:space="preserve"> critical, uncertainties, preferences; EU scope not established. This is a provisional connection, not an outcome finding.</w:t>
      </w:r>
    </w:p>
    <w:p>
      <w:pPr>
        <w:pStyle w:val="SourceNote"/>
      </w:pPr>
      <w:r>
        <w:rPr>
          <w:b/>
        </w:rPr>
        <w:t>Available abstract (not full text):</w:t>
      </w:r>
      <w:r>
        <w:t xml:space="preserve">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