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40 ideas to revisit</w:t>
      </w:r>
    </w:p>
    <w:p>
      <w:r>
        <w:rPr>
          <w:b/>
        </w:rPr>
        <w:t>20 strongest research trails  /  20 research trails to recheck (maximum 20 each)</w:t>
      </w:r>
    </w:p>
    <w:p>
      <w:r>
        <w:t>Based on World Radar's living atlas (2026-10-21 20:34 UTC). 1,366 older and newer research entries available. This shortlist updates when Radar 2 publishes new data.</w:t>
      </w:r>
    </w:p>
    <w:p>
      <w:r>
        <w:t>IMPORTANT: "Strongest" means comparatively useful, traceable later evidence; it does NOT mean a prediction came true. "Weakest" means the saved follow-up trail is sparse, old, or potentially unrelated; it does NOT mean the original research was wrong or irrelevant. An unreviewed item is not given a fake 1–100 grade.</w:t>
      </w:r>
    </w:p>
    <w:p>
      <w:pPr>
        <w:pStyle w:val="Heading1"/>
      </w:pPr>
      <w:r>
        <w:t>The strongest research trails (20 selected; maximum 20)</w:t>
      </w:r>
    </w:p>
    <w:p>
      <w:r>
        <w:t>These are the strongest automatically screened later-research trails, not verified successes. Withdrawn, retracted and repeated publications are excluded from positive evidence.</w:t>
      </w:r>
    </w:p>
    <w:p>
      <w:pPr>
        <w:pStyle w:val="Heading2"/>
        <w:keepNext/>
      </w:pPr>
      <w:r>
        <w:t>01.  Forecasting Loan Default in Europe with Machine Learning  (2020)</w:t>
      </w:r>
    </w:p>
    <w:p>
      <w:r>
        <w:rPr>
          <w:b/>
        </w:rPr>
        <w:t xml:space="preserve">NOW  </w:t>
      </w:r>
      <w:r>
        <w:t>Newer research (2022) discusses: Available open-source data on loan defaults has been used to train a variety of machine learning models from statistical models to complex neural networks.</w:t>
      </w:r>
    </w:p>
    <w:p>
      <w:r>
        <w:rPr>
          <w:b/>
        </w:rPr>
        <w:t xml:space="preserve">WHY HERE  </w:t>
      </w:r>
      <w:r>
        <w:t>This is a same-question research trail (8 linked publication(s)). It shows continuing work, not necessarily a measured outcome.</w:t>
      </w:r>
    </w:p>
    <w:p>
      <w:pPr>
        <w:spacing w:after="160"/>
      </w:pPr>
      <w:hyperlink r:id="rId11">
        <w:r>
          <w:rPr>
            <w:color w:val="000000"/>
            <w:u w:val="single"/>
          </w:rPr>
          <w:t>Original publication</w:t>
        </w:r>
      </w:hyperlink>
      <w:r>
        <w:t xml:space="preserve">   ·   </w:t>
      </w:r>
      <w:hyperlink r:id="rId12">
        <w:r>
          <w:rPr>
            <w:color w:val="000000"/>
            <w:u w:val="single"/>
          </w:rPr>
          <w:t>Later publication</w:t>
        </w:r>
      </w:hyperlink>
    </w:p>
    <w:p>
      <w:pPr>
        <w:pStyle w:val="Heading2"/>
        <w:keepNext/>
      </w:pPr>
      <w:r>
        <w:t>02.  Forecasting GDP in Europe with Textual Data  (2021)</w:t>
      </w:r>
    </w:p>
    <w:p>
      <w:r>
        <w:rPr>
          <w:b/>
        </w:rPr>
        <w:t xml:space="preserve">NOW  </w:t>
      </w:r>
      <w:r>
        <w:t>Newer research (2023) discusses: Replication files and data for "Forecasting GDP in Europe with textual data" by L.</w:t>
      </w:r>
    </w:p>
    <w:p>
      <w:r>
        <w:rPr>
          <w:b/>
        </w:rPr>
        <w:t xml:space="preserve">WHY HERE  </w:t>
      </w:r>
      <w:r>
        <w:t>This is a same-question research trail (7 linked publication(s)). It shows continuing work, not necessarily a measured outcome.</w:t>
      </w:r>
    </w:p>
    <w:p>
      <w:pPr>
        <w:spacing w:after="160"/>
      </w:pPr>
      <w:hyperlink r:id="rId13">
        <w:r>
          <w:rPr>
            <w:color w:val="000000"/>
            <w:u w:val="single"/>
          </w:rPr>
          <w:t>Original publication</w:t>
        </w:r>
      </w:hyperlink>
      <w:r>
        <w:t xml:space="preserve">   ·   </w:t>
      </w:r>
      <w:hyperlink r:id="rId14">
        <w:r>
          <w:rPr>
            <w:color w:val="000000"/>
            <w:u w:val="single"/>
          </w:rPr>
          <w:t>Later publication</w:t>
        </w:r>
      </w:hyperlink>
    </w:p>
    <w:p>
      <w:pPr>
        <w:pStyle w:val="Heading2"/>
        <w:keepNext/>
      </w:pPr>
      <w:r>
        <w:t>03.  Mobility partnerships - the future of European migration policy?  (2012)</w:t>
      </w:r>
    </w:p>
    <w:p>
      <w:r>
        <w:rPr>
          <w:b/>
        </w:rPr>
        <w:t xml:space="preserve">NOW  </w:t>
      </w:r>
      <w:r>
        <w:t>Newer research (2026) discusses: This article applies a spatial approach to examine the transformation of German migration policy driven by contemporary megatrends such as demographic transition, decarbonization and digitalization.</w:t>
      </w:r>
    </w:p>
    <w:p>
      <w:r>
        <w:rPr>
          <w:b/>
        </w:rPr>
        <w:t xml:space="preserve">WHY HERE  </w:t>
      </w:r>
      <w:r>
        <w:t>This is a same-question research trail (8 linked publication(s)). It shows continuing work, not necessarily a measured outcome.</w:t>
      </w:r>
    </w:p>
    <w:p>
      <w:pPr>
        <w:spacing w:after="160"/>
      </w:pPr>
      <w:hyperlink r:id="rId15">
        <w:r>
          <w:rPr>
            <w:color w:val="000000"/>
            <w:u w:val="single"/>
          </w:rPr>
          <w:t>Original publication</w:t>
        </w:r>
      </w:hyperlink>
      <w:r>
        <w:t xml:space="preserve">   ·   </w:t>
      </w:r>
      <w:hyperlink r:id="rId16">
        <w:r>
          <w:rPr>
            <w:color w:val="000000"/>
            <w:u w:val="single"/>
          </w:rPr>
          <w:t>Later publication</w:t>
        </w:r>
      </w:hyperlink>
    </w:p>
    <w:p>
      <w:pPr>
        <w:pStyle w:val="Heading2"/>
        <w:keepNext/>
      </w:pPr>
      <w:r>
        <w:t>04.  Scenarios for population health inequalities in 2030 in Europe  (2020)</w:t>
      </w:r>
    </w:p>
    <w:p>
      <w:r>
        <w:rPr>
          <w:b/>
        </w:rPr>
        <w:t xml:space="preserve">NOW  </w:t>
      </w:r>
      <w:r>
        <w:t>A 2024 paper reports: This model combines individual-level data on demographics, health and mortality from linked administrative data for primary and secondary care with survey responses on individual-level risk factors and epidemiological evidence on the associations between risk factors an</w:t>
      </w:r>
    </w:p>
    <w:p>
      <w:r>
        <w:rPr>
          <w:b/>
        </w:rPr>
        <w:t xml:space="preserve">WHY HERE  </w:t>
      </w:r>
      <w:r>
        <w:t>This is a same-question research trail (3 linked publication(s)). It shows continuing work, not necessarily a measured outcome.</w:t>
      </w:r>
    </w:p>
    <w:p>
      <w:pPr>
        <w:spacing w:after="160"/>
      </w:pPr>
      <w:hyperlink r:id="rId17">
        <w:r>
          <w:rPr>
            <w:color w:val="000000"/>
            <w:u w:val="single"/>
          </w:rPr>
          <w:t>Original publication</w:t>
        </w:r>
      </w:hyperlink>
      <w:r>
        <w:t xml:space="preserve">   ·   </w:t>
      </w:r>
      <w:hyperlink r:id="rId18">
        <w:r>
          <w:rPr>
            <w:color w:val="000000"/>
            <w:u w:val="single"/>
          </w:rPr>
          <w:t>Later publication</w:t>
        </w:r>
      </w:hyperlink>
    </w:p>
    <w:p>
      <w:pPr>
        <w:pStyle w:val="Heading2"/>
        <w:keepNext/>
      </w:pPr>
      <w:r>
        <w:t>05.  Urban energy futures: a comparative analysis  (2018)</w:t>
      </w:r>
    </w:p>
    <w:p>
      <w:r>
        <w:rPr>
          <w:b/>
        </w:rPr>
        <w:t xml:space="preserve">NOW  </w:t>
      </w:r>
      <w:r>
        <w:t>A 2025 paper reports: Accurate short-term forecasting of urban electricity demand is essential for operational planning and climate-resilient energy management.</w:t>
      </w:r>
    </w:p>
    <w:p>
      <w:r>
        <w:rPr>
          <w:b/>
        </w:rPr>
        <w:t xml:space="preserve">WHY HERE  </w:t>
      </w:r>
      <w:r>
        <w:t>This is a same-question research trail (8 linked publication(s)). It shows continuing work, not necessarily a measured outcome.</w:t>
      </w:r>
    </w:p>
    <w:p>
      <w:pPr>
        <w:spacing w:after="160"/>
      </w:pPr>
      <w:hyperlink r:id="rId19">
        <w:r>
          <w:rPr>
            <w:color w:val="000000"/>
            <w:u w:val="single"/>
          </w:rPr>
          <w:t>Original publication</w:t>
        </w:r>
      </w:hyperlink>
      <w:r>
        <w:t xml:space="preserve">   ·   </w:t>
      </w:r>
      <w:hyperlink r:id="rId20">
        <w:r>
          <w:rPr>
            <w:color w:val="000000"/>
            <w:u w:val="single"/>
          </w:rPr>
          <w:t>Later publication</w:t>
        </w:r>
      </w:hyperlink>
    </w:p>
    <w:p>
      <w:pPr>
        <w:pStyle w:val="Heading2"/>
        <w:keepNext/>
      </w:pPr>
      <w:r>
        <w:t>06.  Extreme Floods and Droughts under Future Climate Scenarios  (2019)</w:t>
      </w:r>
    </w:p>
    <w:p>
      <w:r>
        <w:rPr>
          <w:b/>
        </w:rPr>
        <w:t xml:space="preserve">NOW  </w:t>
      </w:r>
      <w:r>
        <w:t xml:space="preserve">A 2024 paper reports: The modelling chain provides a large set of plausible events including extremes outside the range from use of observed data, with the lowest flows around 28 % lower on average for the Summer 2022 drought study and the highest flows around 42 % higher on average for the </w:t>
      </w:r>
    </w:p>
    <w:p>
      <w:r>
        <w:rPr>
          <w:b/>
        </w:rPr>
        <w:t xml:space="preserve">WHY HERE  </w:t>
      </w:r>
      <w:r>
        <w:t>This is a same-question research trail (9 linked publication(s)). It shows continuing work, not necessarily a measured outcome.</w:t>
      </w:r>
    </w:p>
    <w:p>
      <w:pPr>
        <w:spacing w:after="160"/>
      </w:pPr>
      <w:hyperlink r:id="rId21">
        <w:r>
          <w:rPr>
            <w:color w:val="000000"/>
            <w:u w:val="single"/>
          </w:rPr>
          <w:t>Original publication</w:t>
        </w:r>
      </w:hyperlink>
      <w:r>
        <w:t xml:space="preserve">   ·   </w:t>
      </w:r>
      <w:hyperlink r:id="rId22">
        <w:r>
          <w:rPr>
            <w:color w:val="000000"/>
            <w:u w:val="single"/>
          </w:rPr>
          <w:t>Later publication</w:t>
        </w:r>
      </w:hyperlink>
    </w:p>
    <w:p>
      <w:pPr>
        <w:pStyle w:val="Heading2"/>
        <w:keepNext/>
      </w:pPr>
      <w:r>
        <w:t>07.  The Future of Internationalization of Higher Education in Europe  (2015)</w:t>
      </w:r>
    </w:p>
    <w:p>
      <w:r>
        <w:rPr>
          <w:b/>
        </w:rPr>
        <w:t xml:space="preserve">NOW  </w:t>
      </w:r>
      <w:r>
        <w:t>Newer research (2024) discusses: The results show that three patterns can be recognized: A first group of Universities of Applied Sciences tackle the issue of internationalization by providing degree programs in English with a clear international focus.</w:t>
      </w:r>
    </w:p>
    <w:p>
      <w:r>
        <w:rPr>
          <w:b/>
        </w:rPr>
        <w:t xml:space="preserve">WHY HERE  </w:t>
      </w:r>
      <w:r>
        <w:t>This is a same-question research trail (9 linked publication(s)). It shows continuing work, not necessarily a measured outcome.</w:t>
      </w:r>
    </w:p>
    <w:p>
      <w:pPr>
        <w:spacing w:after="160"/>
      </w:pPr>
      <w:hyperlink r:id="rId23">
        <w:r>
          <w:rPr>
            <w:color w:val="000000"/>
            <w:u w:val="single"/>
          </w:rPr>
          <w:t>Original publication</w:t>
        </w:r>
      </w:hyperlink>
      <w:r>
        <w:t xml:space="preserve">   ·   </w:t>
      </w:r>
      <w:hyperlink r:id="rId24">
        <w:r>
          <w:rPr>
            <w:color w:val="000000"/>
            <w:u w:val="single"/>
          </w:rPr>
          <w:t>Later publication</w:t>
        </w:r>
      </w:hyperlink>
    </w:p>
    <w:p>
      <w:pPr>
        <w:pStyle w:val="Heading2"/>
        <w:keepNext/>
      </w:pPr>
      <w:r>
        <w:t>08.  Sea level rise projections for northern Europe under RCP8.5  (2015)</w:t>
      </w:r>
    </w:p>
    <w:p>
      <w:r>
        <w:rPr>
          <w:b/>
        </w:rPr>
        <w:t xml:space="preserve">NOW  </w:t>
      </w:r>
      <w:r>
        <w:t>Newer research (2025) discusses: Sea level rise is an inevitable consequence and one of the most significant threats posed by climate change, increasing the risk of flooding in low-lying areas along the German coast.</w:t>
      </w:r>
    </w:p>
    <w:p>
      <w:r>
        <w:rPr>
          <w:b/>
        </w:rPr>
        <w:t xml:space="preserve">WHY HERE  </w:t>
      </w:r>
      <w:r>
        <w:t>This is a same-question research trail (6 linked publication(s)). It shows continuing work, not necessarily a measured outcome.</w:t>
      </w:r>
    </w:p>
    <w:p>
      <w:pPr>
        <w:spacing w:after="160"/>
      </w:pPr>
      <w:hyperlink r:id="rId25">
        <w:r>
          <w:rPr>
            <w:color w:val="000000"/>
            <w:u w:val="single"/>
          </w:rPr>
          <w:t>Original publication</w:t>
        </w:r>
      </w:hyperlink>
      <w:r>
        <w:t xml:space="preserve">   ·   </w:t>
      </w:r>
      <w:hyperlink r:id="rId26">
        <w:r>
          <w:rPr>
            <w:color w:val="000000"/>
            <w:u w:val="single"/>
          </w:rPr>
          <w:t>Later publication</w:t>
        </w:r>
      </w:hyperlink>
    </w:p>
    <w:p>
      <w:pPr>
        <w:pStyle w:val="Heading2"/>
        <w:keepNext/>
      </w:pPr>
      <w:r>
        <w:t>09.  Financing Innovations for the Renewable Energy Transition in Europe  (2016)</w:t>
      </w:r>
    </w:p>
    <w:p>
      <w:r>
        <w:rPr>
          <w:b/>
        </w:rPr>
        <w:t xml:space="preserve">NOW  </w:t>
      </w:r>
      <w:r>
        <w:t>A 2021 paper reports: The affordability, ease of availability and technological maturity of oil in some regions has contributed to the slow uptake of investment in renewable energy projects.</w:t>
      </w:r>
    </w:p>
    <w:p>
      <w:r>
        <w:rPr>
          <w:b/>
        </w:rPr>
        <w:t xml:space="preserve">WHY HERE  </w:t>
      </w:r>
      <w:r>
        <w:t>This is a same-question research trail (7 linked publication(s)). It shows continuing work, not necessarily a measured outcome.</w:t>
      </w:r>
    </w:p>
    <w:p>
      <w:pPr>
        <w:spacing w:after="160"/>
      </w:pPr>
      <w:hyperlink r:id="rId27">
        <w:r>
          <w:rPr>
            <w:color w:val="000000"/>
            <w:u w:val="single"/>
          </w:rPr>
          <w:t>Original publication</w:t>
        </w:r>
      </w:hyperlink>
      <w:r>
        <w:t xml:space="preserve">   ·   </w:t>
      </w:r>
      <w:hyperlink r:id="rId28">
        <w:r>
          <w:rPr>
            <w:color w:val="000000"/>
            <w:u w:val="single"/>
          </w:rPr>
          <w:t>Later publication</w:t>
        </w:r>
      </w:hyperlink>
    </w:p>
    <w:p>
      <w:pPr>
        <w:pStyle w:val="Heading2"/>
        <w:keepNext/>
      </w:pPr>
      <w:r>
        <w:t>10.  Sustainable fashion supply chain management: the European scenario  (2014)</w:t>
      </w:r>
    </w:p>
    <w:p>
      <w:r>
        <w:rPr>
          <w:b/>
        </w:rPr>
        <w:t xml:space="preserve">NOW  </w:t>
      </w:r>
      <w:r>
        <w:t>Newer research (2017) discusses: In the present competitive world, the dynamics of market does not allow any deviation in quality of end product.Therefore, the importance of quality management is universally espoused by the researchers and practicing managers wor</w:t>
      </w:r>
    </w:p>
    <w:p>
      <w:r>
        <w:rPr>
          <w:b/>
        </w:rPr>
        <w:t xml:space="preserve">WHY HERE  </w:t>
      </w:r>
      <w:r>
        <w:t>This is a same-question research trail (10 linked publication(s)). It shows continuing work, not necessarily a measured outcome.</w:t>
      </w:r>
    </w:p>
    <w:p>
      <w:pPr>
        <w:spacing w:after="160"/>
      </w:pPr>
      <w:hyperlink r:id="rId29">
        <w:r>
          <w:rPr>
            <w:color w:val="000000"/>
            <w:u w:val="single"/>
          </w:rPr>
          <w:t>Original publication</w:t>
        </w:r>
      </w:hyperlink>
      <w:r>
        <w:t xml:space="preserve">   ·   </w:t>
      </w:r>
      <w:hyperlink r:id="rId30">
        <w:r>
          <w:rPr>
            <w:color w:val="000000"/>
            <w:u w:val="single"/>
          </w:rPr>
          <w:t>Later publication</w:t>
        </w:r>
      </w:hyperlink>
    </w:p>
    <w:p>
      <w:pPr>
        <w:pStyle w:val="Heading2"/>
        <w:keepNext/>
      </w:pPr>
      <w:r>
        <w:t>11.  Three scenarios for industrial relations in Europe  (2015)</w:t>
      </w:r>
    </w:p>
    <w:p>
      <w:r>
        <w:rPr>
          <w:b/>
        </w:rPr>
        <w:t xml:space="preserve">NOW  </w:t>
      </w:r>
      <w:r>
        <w:t>Newer research (2018) discusses: Three levers are identified: negotiation power, collective agreements and general regulation that facilitate negotiation and social partnership.</w:t>
      </w:r>
    </w:p>
    <w:p>
      <w:r>
        <w:rPr>
          <w:b/>
        </w:rPr>
        <w:t xml:space="preserve">WHY HERE  </w:t>
      </w:r>
      <w:r>
        <w:t>This is a same-question research trail (7 linked publication(s)). It shows continuing work, not necessarily a measured outcome.</w:t>
      </w:r>
    </w:p>
    <w:p>
      <w:pPr>
        <w:spacing w:after="160"/>
      </w:pPr>
      <w:hyperlink r:id="rId31">
        <w:r>
          <w:rPr>
            <w:color w:val="000000"/>
            <w:u w:val="single"/>
          </w:rPr>
          <w:t>Original publication</w:t>
        </w:r>
      </w:hyperlink>
      <w:r>
        <w:t xml:space="preserve">   ·   </w:t>
      </w:r>
      <w:hyperlink r:id="rId32">
        <w:r>
          <w:rPr>
            <w:color w:val="000000"/>
            <w:u w:val="single"/>
          </w:rPr>
          <w:t>Later publication</w:t>
        </w:r>
      </w:hyperlink>
    </w:p>
    <w:p>
      <w:pPr>
        <w:pStyle w:val="Heading2"/>
        <w:keepNext/>
      </w:pPr>
      <w:r>
        <w:t>12.  Scenarios of the organic food market in Europe  (2012)</w:t>
      </w:r>
    </w:p>
    <w:p>
      <w:r>
        <w:rPr>
          <w:b/>
        </w:rPr>
        <w:t xml:space="preserve">NOW  </w:t>
      </w:r>
      <w:r>
        <w:t>Newer research (2020) discusses: Consumers' concerns in the direction of maintaining personal health and environmental protection, together with the revaluation of these trends by worldwide organizations, have led to the intensification of entrepreneurial initiat</w:t>
      </w:r>
    </w:p>
    <w:p>
      <w:r>
        <w:rPr>
          <w:b/>
        </w:rPr>
        <w:t xml:space="preserve">WHY HERE  </w:t>
      </w:r>
      <w:r>
        <w:t>This is a same-question research trail (7 linked publication(s)). It shows continuing work, not necessarily a measured outcome.</w:t>
      </w:r>
    </w:p>
    <w:p>
      <w:pPr>
        <w:spacing w:after="160"/>
      </w:pPr>
      <w:hyperlink r:id="rId33">
        <w:r>
          <w:rPr>
            <w:color w:val="000000"/>
            <w:u w:val="single"/>
          </w:rPr>
          <w:t>Original publication</w:t>
        </w:r>
      </w:hyperlink>
      <w:r>
        <w:t xml:space="preserve">   ·   </w:t>
      </w:r>
      <w:hyperlink r:id="rId34">
        <w:r>
          <w:rPr>
            <w:color w:val="000000"/>
            <w:u w:val="single"/>
          </w:rPr>
          <w:t>Later publication</w:t>
        </w:r>
      </w:hyperlink>
    </w:p>
    <w:p>
      <w:pPr>
        <w:pStyle w:val="Heading2"/>
        <w:keepNext/>
      </w:pPr>
      <w:r>
        <w:t>13.  International migration by 2030: impact of immigration policies scenarios on growth and employment  (2014)</w:t>
      </w:r>
    </w:p>
    <w:p>
      <w:r>
        <w:rPr>
          <w:b/>
        </w:rPr>
        <w:t xml:space="preserve">NOW  </w:t>
      </w:r>
      <w:r>
        <w:t>A 2017 paper reports: From July 2011 to July 2016, employment in Australia increased by 738,800.</w:t>
      </w:r>
    </w:p>
    <w:p>
      <w:r>
        <w:rPr>
          <w:b/>
        </w:rPr>
        <w:t xml:space="preserve">WHY HERE  </w:t>
      </w:r>
      <w:r>
        <w:t>This is a same-question research trail (5 linked publication(s)). It shows continuing work, not necessarily a measured outcome.</w:t>
      </w:r>
    </w:p>
    <w:p>
      <w:pPr>
        <w:spacing w:after="160"/>
      </w:pPr>
      <w:hyperlink r:id="rId35">
        <w:r>
          <w:rPr>
            <w:color w:val="000000"/>
            <w:u w:val="single"/>
          </w:rPr>
          <w:t>Original publication</w:t>
        </w:r>
      </w:hyperlink>
      <w:r>
        <w:t xml:space="preserve">   ·   </w:t>
      </w:r>
      <w:hyperlink r:id="rId36">
        <w:r>
          <w:rPr>
            <w:color w:val="000000"/>
            <w:u w:val="single"/>
          </w:rPr>
          <w:t>Later publication</w:t>
        </w:r>
      </w:hyperlink>
    </w:p>
    <w:p>
      <w:pPr>
        <w:pStyle w:val="Heading2"/>
        <w:keepNext/>
      </w:pPr>
      <w:r>
        <w:t>14.  How to finance the transition to low-carbon energy in Europe?  (2020)</w:t>
      </w:r>
    </w:p>
    <w:p>
      <w:r>
        <w:rPr>
          <w:b/>
        </w:rPr>
        <w:t xml:space="preserve">NOW  </w:t>
      </w:r>
      <w:r>
        <w:t>Newer research (2024) discusses: For this reason, central banks, financial supervisors, governments, and other relevant policy actors need to provide investors with adequate instruments and policy frameworks to generate the necessary investments for “making finan</w:t>
      </w:r>
    </w:p>
    <w:p>
      <w:r>
        <w:rPr>
          <w:b/>
        </w:rPr>
        <w:t xml:space="preserve">WHY HERE  </w:t>
      </w:r>
      <w:r>
        <w:t>This is a same-question research trail (8 linked publication(s)). It shows continuing work, not necessarily a measured outcome.</w:t>
      </w:r>
    </w:p>
    <w:p>
      <w:pPr>
        <w:spacing w:after="160"/>
      </w:pPr>
      <w:hyperlink r:id="rId37">
        <w:r>
          <w:rPr>
            <w:color w:val="000000"/>
            <w:u w:val="single"/>
          </w:rPr>
          <w:t>Original publication</w:t>
        </w:r>
      </w:hyperlink>
      <w:r>
        <w:t xml:space="preserve">   ·   </w:t>
      </w:r>
      <w:hyperlink r:id="rId38">
        <w:r>
          <w:rPr>
            <w:color w:val="000000"/>
            <w:u w:val="single"/>
          </w:rPr>
          <w:t>Later publication</w:t>
        </w:r>
      </w:hyperlink>
    </w:p>
    <w:p>
      <w:pPr>
        <w:pStyle w:val="Heading2"/>
        <w:keepNext/>
      </w:pPr>
      <w:r>
        <w:t>15.  MIGRATION AND MIGRANT WORKERS IN EUROPE  (2013)</w:t>
      </w:r>
    </w:p>
    <w:p>
      <w:r>
        <w:rPr>
          <w:b/>
        </w:rPr>
        <w:t xml:space="preserve">NOW  </w:t>
      </w:r>
      <w:r>
        <w:t>Newer research (2022) discusses: Migration is a need based priority for people who seek better opportunity and to improve their socio-economic conditions.</w:t>
      </w:r>
    </w:p>
    <w:p>
      <w:r>
        <w:rPr>
          <w:b/>
        </w:rPr>
        <w:t xml:space="preserve">WHY HERE  </w:t>
      </w:r>
      <w:r>
        <w:t>This is a same-question research trail (6 linked publication(s)). It shows continuing work, not necessarily a measured outcome.</w:t>
      </w:r>
    </w:p>
    <w:p>
      <w:pPr>
        <w:spacing w:after="160"/>
      </w:pPr>
      <w:hyperlink r:id="rId39">
        <w:r>
          <w:rPr>
            <w:color w:val="000000"/>
            <w:u w:val="single"/>
          </w:rPr>
          <w:t>Original publication</w:t>
        </w:r>
      </w:hyperlink>
      <w:r>
        <w:t xml:space="preserve">   ·   </w:t>
      </w:r>
      <w:hyperlink r:id="rId40">
        <w:r>
          <w:rPr>
            <w:color w:val="000000"/>
            <w:u w:val="single"/>
          </w:rPr>
          <w:t>Later publication</w:t>
        </w:r>
      </w:hyperlink>
    </w:p>
    <w:p>
      <w:pPr>
        <w:pStyle w:val="Heading2"/>
        <w:keepNext/>
      </w:pPr>
      <w:r>
        <w:t>16.  Global food security: assessing trends in view of guiding future EU policies  (2016)</w:t>
      </w:r>
    </w:p>
    <w:p>
      <w:r>
        <w:rPr>
          <w:b/>
        </w:rPr>
        <w:t xml:space="preserve">NOW  </w:t>
      </w:r>
      <w:r>
        <w:t>Newer research (2022) discusses: Due to the stopping of Ukrainian exports, record food prices were observed, which significantly worsened the access of the low-income population to food products.</w:t>
      </w:r>
    </w:p>
    <w:p>
      <w:r>
        <w:rPr>
          <w:b/>
        </w:rPr>
        <w:t xml:space="preserve">WHY HERE  </w:t>
      </w:r>
      <w:r>
        <w:t>This is a same-question research trail (4 linked publication(s)). It shows continuing work, not necessarily a measured outcome.</w:t>
      </w:r>
    </w:p>
    <w:p>
      <w:pPr>
        <w:spacing w:after="160"/>
      </w:pPr>
      <w:hyperlink r:id="rId41">
        <w:r>
          <w:rPr>
            <w:color w:val="000000"/>
            <w:u w:val="single"/>
          </w:rPr>
          <w:t>Original publication</w:t>
        </w:r>
      </w:hyperlink>
      <w:r>
        <w:t xml:space="preserve">   ·   </w:t>
      </w:r>
      <w:hyperlink r:id="rId42">
        <w:r>
          <w:rPr>
            <w:color w:val="000000"/>
            <w:u w:val="single"/>
          </w:rPr>
          <w:t>Later publication</w:t>
        </w:r>
      </w:hyperlink>
    </w:p>
    <w:p>
      <w:pPr>
        <w:pStyle w:val="Heading2"/>
        <w:keepNext/>
      </w:pPr>
      <w:r>
        <w:t>17.  Demographic changes in Europe - new challenges for the European labour market  (2013)</w:t>
      </w:r>
    </w:p>
    <w:p>
      <w:r>
        <w:rPr>
          <w:b/>
        </w:rPr>
        <w:t xml:space="preserve">NOW  </w:t>
      </w:r>
      <w:r>
        <w:t>A 2018 paper reports: The older people’s integration opportunities into the labor market, their activity, employment and observed situation differences are examined in this article.</w:t>
      </w:r>
    </w:p>
    <w:p>
      <w:r>
        <w:rPr>
          <w:b/>
        </w:rPr>
        <w:t xml:space="preserve">WHY HERE  </w:t>
      </w:r>
      <w:r>
        <w:t>This is a same-question research trail (6 linked publication(s)). It shows continuing work, not necessarily a measured outcome.</w:t>
      </w:r>
    </w:p>
    <w:p>
      <w:pPr>
        <w:spacing w:after="160"/>
      </w:pPr>
      <w:hyperlink r:id="rId43">
        <w:r>
          <w:rPr>
            <w:color w:val="000000"/>
            <w:u w:val="single"/>
          </w:rPr>
          <w:t>Original publication</w:t>
        </w:r>
      </w:hyperlink>
      <w:r>
        <w:t xml:space="preserve">   ·   </w:t>
      </w:r>
      <w:hyperlink r:id="rId44">
        <w:r>
          <w:rPr>
            <w:color w:val="000000"/>
            <w:u w:val="single"/>
          </w:rPr>
          <w:t>Later publication</w:t>
        </w:r>
      </w:hyperlink>
    </w:p>
    <w:p>
      <w:pPr>
        <w:pStyle w:val="Heading2"/>
        <w:keepNext/>
      </w:pPr>
      <w:r>
        <w:t>18.  Gas futures as a factor of the Ukrainian capital market development  (2022)</w:t>
      </w:r>
    </w:p>
    <w:p>
      <w:r>
        <w:rPr>
          <w:b/>
        </w:rPr>
        <w:t xml:space="preserve">NOW  </w:t>
      </w:r>
      <w:r>
        <w:t>A 2025 paper reports: Digitalization changes the logic of managerial decision-making, the structure of operational processes, and the interaction between market participants.</w:t>
      </w:r>
    </w:p>
    <w:p>
      <w:r>
        <w:rPr>
          <w:b/>
        </w:rPr>
        <w:t xml:space="preserve">WHY HERE  </w:t>
      </w:r>
      <w:r>
        <w:t>This is a same-question research trail (4 linked publication(s)). It shows continuing work, not necessarily a measured outcome.</w:t>
      </w:r>
    </w:p>
    <w:p>
      <w:pPr>
        <w:spacing w:after="160"/>
      </w:pPr>
      <w:hyperlink r:id="rId45">
        <w:r>
          <w:rPr>
            <w:color w:val="000000"/>
            <w:u w:val="single"/>
          </w:rPr>
          <w:t>Original publication</w:t>
        </w:r>
      </w:hyperlink>
      <w:r>
        <w:t xml:space="preserve">   ·   </w:t>
      </w:r>
      <w:hyperlink r:id="rId46">
        <w:r>
          <w:rPr>
            <w:color w:val="000000"/>
            <w:u w:val="single"/>
          </w:rPr>
          <w:t>Later publication</w:t>
        </w:r>
      </w:hyperlink>
    </w:p>
    <w:p>
      <w:pPr>
        <w:pStyle w:val="Heading2"/>
        <w:keepNext/>
      </w:pPr>
      <w:r>
        <w:t>19.  Foresight of evolving security threats posed by emerging technologies  (2013)</w:t>
      </w:r>
    </w:p>
    <w:p>
      <w:r>
        <w:rPr>
          <w:b/>
        </w:rPr>
        <w:t xml:space="preserve">NOW  </w:t>
      </w:r>
      <w:r>
        <w:t>Newer research (2024) discusses: By executing well on the preceding steps, you will address most of your identity security needs, eliminate or mitigate many identity attack vectors, and vastly reduce your threat surface.</w:t>
      </w:r>
    </w:p>
    <w:p>
      <w:r>
        <w:rPr>
          <w:b/>
        </w:rPr>
        <w:t xml:space="preserve">WHY HERE  </w:t>
      </w:r>
      <w:r>
        <w:t>This is a same-question research trail (6 linked publication(s)). It shows continuing work, not necessarily a measured outcome.</w:t>
      </w:r>
    </w:p>
    <w:p>
      <w:pPr>
        <w:spacing w:after="160"/>
      </w:pPr>
      <w:hyperlink r:id="rId47">
        <w:r>
          <w:rPr>
            <w:color w:val="000000"/>
            <w:u w:val="single"/>
          </w:rPr>
          <w:t>Original publication</w:t>
        </w:r>
      </w:hyperlink>
      <w:r>
        <w:t xml:space="preserve">   ·   </w:t>
      </w:r>
      <w:hyperlink r:id="rId48">
        <w:r>
          <w:rPr>
            <w:color w:val="000000"/>
            <w:u w:val="single"/>
          </w:rPr>
          <w:t>Later publication</w:t>
        </w:r>
      </w:hyperlink>
    </w:p>
    <w:p>
      <w:pPr>
        <w:pStyle w:val="Heading2"/>
        <w:keepNext/>
      </w:pPr>
      <w:r>
        <w:t>20.  A mountain food label for Europe?  (2015)</w:t>
      </w:r>
    </w:p>
    <w:p>
      <w:r>
        <w:rPr>
          <w:b/>
        </w:rPr>
        <w:t xml:space="preserve">NOW  </w:t>
      </w:r>
      <w:r>
        <w:t>Newer research (2022) discusses: As part of the European rural development strategy, the European Union created Regulation (EU) 1151/2012 and its Delegated Act 665/2014, establishing the quality scheme for mountain products.</w:t>
      </w:r>
    </w:p>
    <w:p>
      <w:r>
        <w:rPr>
          <w:b/>
        </w:rPr>
        <w:t xml:space="preserve">WHY HERE  </w:t>
      </w:r>
      <w:r>
        <w:t>This is a same-question research trail (3 linked publication(s)). It shows continuing work, not necessarily a measured outcome.</w:t>
      </w:r>
    </w:p>
    <w:p>
      <w:pPr>
        <w:spacing w:after="160"/>
      </w:pPr>
      <w:hyperlink r:id="rId49">
        <w:r>
          <w:rPr>
            <w:color w:val="000000"/>
            <w:u w:val="single"/>
          </w:rPr>
          <w:t>Original publication</w:t>
        </w:r>
      </w:hyperlink>
      <w:r>
        <w:t xml:space="preserve">   ·   </w:t>
      </w:r>
      <w:hyperlink r:id="rId50">
        <w:r>
          <w:rPr>
            <w:color w:val="000000"/>
            <w:u w:val="single"/>
          </w:rPr>
          <w:t>Later publication</w:t>
        </w:r>
      </w:hyperlink>
    </w:p>
    <w:p>
      <w:pPr>
        <w:pStyle w:val="Heading1"/>
      </w:pPr>
      <w:r>
        <w:t>Weakest / possibly outdated trails (20 selected; maximum 20)</w:t>
      </w:r>
    </w:p>
    <w:p>
      <w:r>
        <w:t>These are search-quality or publication-status warnings. A missing or poor link does not mean the original idea is obsolete, false or irrelevant.</w:t>
      </w:r>
    </w:p>
    <w:p>
      <w:pPr>
        <w:pStyle w:val="Heading2"/>
        <w:keepNext/>
      </w:pPr>
      <w:r>
        <w:t>01.  Withdrawn: Fossil Futures in Europe  (2023)</w:t>
      </w:r>
    </w:p>
    <w:p>
      <w:r>
        <w:rPr>
          <w:b/>
        </w:rPr>
        <w:t xml:space="preserve">WHY HERE  </w:t>
      </w:r>
      <w:r>
        <w:t>The original record is explicitly marked withdrawn or retracted. Retained for historical transparency, not treated as reliable evidence.</w:t>
      </w:r>
    </w:p>
    <w:p>
      <w:r>
        <w:rPr>
          <w:b/>
        </w:rPr>
        <w:t xml:space="preserve">OPEN  </w:t>
      </w:r>
      <w:r>
        <w:t>Still relevant, superseded, or simply under-researched? A source-based review is needed.</w:t>
      </w:r>
    </w:p>
    <w:p>
      <w:pPr>
        <w:spacing w:after="160"/>
      </w:pPr>
      <w:hyperlink r:id="rId51">
        <w:r>
          <w:rPr>
            <w:color w:val="000000"/>
            <w:u w:val="single"/>
          </w:rPr>
          <w:t>Original publication</w:t>
        </w:r>
      </w:hyperlink>
    </w:p>
    <w:p>
      <w:pPr>
        <w:pStyle w:val="Heading2"/>
        <w:keepNext/>
      </w:pPr>
      <w:r>
        <w:t>02.  RETRACTED ARTICLE: Sustainable development economy and the development of green economy in the European Union  (2023)</w:t>
      </w:r>
    </w:p>
    <w:p>
      <w:r>
        <w:rPr>
          <w:b/>
        </w:rPr>
        <w:t xml:space="preserve">WHY HERE  </w:t>
      </w:r>
      <w:r>
        <w:t>The original record is explicitly marked withdrawn or retracted. Retained for historical transparency, not treated as reliable evidence.</w:t>
      </w:r>
    </w:p>
    <w:p>
      <w:r>
        <w:rPr>
          <w:b/>
        </w:rPr>
        <w:t xml:space="preserve">OPEN  </w:t>
      </w:r>
      <w:r>
        <w:t>Still relevant, superseded, or simply under-researched? A source-based review is needed.</w:t>
      </w:r>
    </w:p>
    <w:p>
      <w:pPr>
        <w:spacing w:after="160"/>
      </w:pPr>
      <w:hyperlink r:id="rId52">
        <w:r>
          <w:rPr>
            <w:color w:val="000000"/>
            <w:u w:val="single"/>
          </w:rPr>
          <w:t>Original publication</w:t>
        </w:r>
      </w:hyperlink>
      <w:r>
        <w:t xml:space="preserve">   ·   </w:t>
      </w:r>
      <w:hyperlink r:id="rId53">
        <w:r>
          <w:rPr>
            <w:color w:val="000000"/>
            <w:u w:val="single"/>
          </w:rPr>
          <w:t>Later publication (check status)</w:t>
        </w:r>
      </w:hyperlink>
    </w:p>
    <w:p>
      <w:pPr>
        <w:pStyle w:val="Heading2"/>
        <w:keepNext/>
      </w:pPr>
      <w:r>
        <w:t>03.  Benchmarking del programa colombiano de prospectiva ante prácticas en Europa y Sur América (título original: Benchmarking the coloIombian foresight programme against practices in Europe and South America)  (2011)</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54">
        <w:r>
          <w:rPr>
            <w:color w:val="000000"/>
            <w:u w:val="single"/>
          </w:rPr>
          <w:t>Original publication</w:t>
        </w:r>
      </w:hyperlink>
      <w:r>
        <w:t xml:space="preserve">   ·   </w:t>
      </w:r>
      <w:hyperlink r:id="rId55">
        <w:r>
          <w:rPr>
            <w:color w:val="000000"/>
            <w:u w:val="single"/>
          </w:rPr>
          <w:t>Later publication (check status)</w:t>
        </w:r>
      </w:hyperlink>
    </w:p>
    <w:p>
      <w:pPr>
        <w:pStyle w:val="Heading2"/>
        <w:keepNext/>
      </w:pPr>
      <w:r>
        <w:t>04.  Review: Projections of Power: The United States and Europe in Colonial Southeast Asia, 1919–1941 , by Anne L. Foster  (2012)</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56">
        <w:r>
          <w:rPr>
            <w:color w:val="000000"/>
            <w:u w:val="single"/>
          </w:rPr>
          <w:t>Original publication</w:t>
        </w:r>
      </w:hyperlink>
      <w:r>
        <w:t xml:space="preserve">   ·   </w:t>
      </w:r>
      <w:hyperlink r:id="rId57">
        <w:r>
          <w:rPr>
            <w:color w:val="000000"/>
            <w:u w:val="single"/>
          </w:rPr>
          <w:t>Later publication (check status)</w:t>
        </w:r>
      </w:hyperlink>
    </w:p>
    <w:p>
      <w:pPr>
        <w:pStyle w:val="Heading2"/>
        <w:keepNext/>
      </w:pPr>
      <w:r>
        <w:t>05.  Projections of Power: The United States and Europe in Colonial Southeast Asia, 1919–1941  (2012)</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57">
        <w:r>
          <w:rPr>
            <w:color w:val="000000"/>
            <w:u w:val="single"/>
          </w:rPr>
          <w:t>Original publication</w:t>
        </w:r>
      </w:hyperlink>
      <w:r>
        <w:t xml:space="preserve">   ·   </w:t>
      </w:r>
      <w:hyperlink r:id="rId58">
        <w:r>
          <w:rPr>
            <w:color w:val="000000"/>
            <w:u w:val="single"/>
          </w:rPr>
          <w:t>Later publication (check status)</w:t>
        </w:r>
      </w:hyperlink>
    </w:p>
    <w:p>
      <w:pPr>
        <w:pStyle w:val="Heading2"/>
        <w:keepNext/>
      </w:pPr>
      <w:r>
        <w:t>06.  FORECASTED TRENDS IN CHANGES OF VEGETATION IN THE EUROPEAN PART OF RUSSIA IN CONNECTION WITH GLOBAL WARMING  (2012)</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59">
        <w:r>
          <w:rPr>
            <w:color w:val="000000"/>
            <w:u w:val="single"/>
          </w:rPr>
          <w:t>Original publication</w:t>
        </w:r>
      </w:hyperlink>
      <w:r>
        <w:t xml:space="preserve">   ·   </w:t>
      </w:r>
      <w:hyperlink r:id="rId60">
        <w:r>
          <w:rPr>
            <w:color w:val="000000"/>
            <w:u w:val="single"/>
          </w:rPr>
          <w:t>Later publication (check status)</w:t>
        </w:r>
      </w:hyperlink>
    </w:p>
    <w:p>
      <w:pPr>
        <w:pStyle w:val="Heading2"/>
        <w:keepNext/>
      </w:pPr>
      <w:r>
        <w:t>07.  INTRODUCTION OF THE GRAIN FUTURES MARKET IN THE BLACK SEA REGION  (2013)</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61">
        <w:r>
          <w:rPr>
            <w:color w:val="000000"/>
            <w:u w:val="single"/>
          </w:rPr>
          <w:t>Original publication</w:t>
        </w:r>
      </w:hyperlink>
      <w:r>
        <w:t xml:space="preserve">   ·   </w:t>
      </w:r>
      <w:hyperlink r:id="rId62">
        <w:r>
          <w:rPr>
            <w:color w:val="000000"/>
            <w:u w:val="single"/>
          </w:rPr>
          <w:t>Later publication (check status)</w:t>
        </w:r>
      </w:hyperlink>
    </w:p>
    <w:p>
      <w:pPr>
        <w:pStyle w:val="Heading2"/>
        <w:keepNext/>
      </w:pPr>
      <w:r>
        <w:t>08.  Twitter data analysis as contribution to strategic foresight-The case of the EU Research Project “Foresight and Modelling for European Health Policy and Regulations” (FRESHER)  (2016)</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63">
        <w:r>
          <w:rPr>
            <w:color w:val="000000"/>
            <w:u w:val="single"/>
          </w:rPr>
          <w:t>Original publication</w:t>
        </w:r>
      </w:hyperlink>
      <w:r>
        <w:t xml:space="preserve">   ·   </w:t>
      </w:r>
      <w:hyperlink r:id="rId64">
        <w:r>
          <w:rPr>
            <w:color w:val="000000"/>
            <w:u w:val="single"/>
          </w:rPr>
          <w:t>Later publication (check status)</w:t>
        </w:r>
      </w:hyperlink>
    </w:p>
    <w:p>
      <w:pPr>
        <w:pStyle w:val="Heading2"/>
        <w:keepNext/>
      </w:pPr>
      <w:r>
        <w:t>09.  New forms of innovation: critical issues for future pathways  (2016)</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65">
        <w:r>
          <w:rPr>
            <w:color w:val="000000"/>
            <w:u w:val="single"/>
          </w:rPr>
          <w:t>Original publication</w:t>
        </w:r>
      </w:hyperlink>
      <w:r>
        <w:t xml:space="preserve">   ·   </w:t>
      </w:r>
      <w:hyperlink r:id="rId66">
        <w:r>
          <w:rPr>
            <w:color w:val="000000"/>
            <w:u w:val="single"/>
          </w:rPr>
          <w:t>Later publication (check status)</w:t>
        </w:r>
      </w:hyperlink>
    </w:p>
    <w:p>
      <w:pPr>
        <w:pStyle w:val="Heading2"/>
        <w:keepNext/>
      </w:pPr>
      <w:r>
        <w:t>10.  Energy system impacts and policy implications of the European Intended Nationally Determined Contribution and low-carbon pathway to 2050  (2016)</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67">
        <w:r>
          <w:rPr>
            <w:color w:val="000000"/>
            <w:u w:val="single"/>
          </w:rPr>
          <w:t>Original publication</w:t>
        </w:r>
      </w:hyperlink>
      <w:r>
        <w:t xml:space="preserve">   ·   </w:t>
      </w:r>
      <w:hyperlink r:id="rId68">
        <w:r>
          <w:rPr>
            <w:color w:val="000000"/>
            <w:u w:val="single"/>
          </w:rPr>
          <w:t>Later publication (check status)</w:t>
        </w:r>
      </w:hyperlink>
    </w:p>
    <w:p>
      <w:pPr>
        <w:pStyle w:val="Heading2"/>
        <w:keepNext/>
      </w:pPr>
      <w:r>
        <w:t>11.  Convenience Yields and Risk Premiums in the EU‐ETS—Evidence from the Kyoto Commitment Period  (2016)</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69">
        <w:r>
          <w:rPr>
            <w:color w:val="000000"/>
            <w:u w:val="single"/>
          </w:rPr>
          <w:t>Original publication</w:t>
        </w:r>
      </w:hyperlink>
      <w:r>
        <w:t xml:space="preserve">   ·   </w:t>
      </w:r>
      <w:hyperlink r:id="rId70">
        <w:r>
          <w:rPr>
            <w:color w:val="000000"/>
            <w:u w:val="single"/>
          </w:rPr>
          <w:t>Later publication (check status)</w:t>
        </w:r>
      </w:hyperlink>
    </w:p>
    <w:p>
      <w:pPr>
        <w:pStyle w:val="Heading2"/>
        <w:keepNext/>
      </w:pPr>
      <w:r>
        <w:t>12.  Potential impacts of climate change on European wind energy resource under the CMIP5 future climate projections  (2017)</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71">
        <w:r>
          <w:rPr>
            <w:color w:val="000000"/>
            <w:u w:val="single"/>
          </w:rPr>
          <w:t>Original publication</w:t>
        </w:r>
      </w:hyperlink>
      <w:r>
        <w:t xml:space="preserve">   ·   </w:t>
      </w:r>
      <w:hyperlink r:id="rId72">
        <w:r>
          <w:rPr>
            <w:color w:val="000000"/>
            <w:u w:val="single"/>
          </w:rPr>
          <w:t>Later publication (check status)</w:t>
        </w:r>
      </w:hyperlink>
    </w:p>
    <w:p>
      <w:pPr>
        <w:pStyle w:val="Heading2"/>
        <w:keepNext/>
      </w:pPr>
      <w:r>
        <w:t>13.  European Security Architecture after the United Kingdom’s Withdrawal from the European Union: Future Scenarios  (2019)</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73">
        <w:r>
          <w:rPr>
            <w:color w:val="000000"/>
            <w:u w:val="single"/>
          </w:rPr>
          <w:t>Original publication</w:t>
        </w:r>
      </w:hyperlink>
      <w:r>
        <w:t xml:space="preserve">   ·   </w:t>
      </w:r>
      <w:hyperlink r:id="rId74">
        <w:r>
          <w:rPr>
            <w:color w:val="000000"/>
            <w:u w:val="single"/>
          </w:rPr>
          <w:t>Later publication (check status)</w:t>
        </w:r>
      </w:hyperlink>
    </w:p>
    <w:p>
      <w:pPr>
        <w:pStyle w:val="Heading2"/>
        <w:keepNext/>
      </w:pPr>
      <w:r>
        <w:t>14.  The Impact of Decarbonization Scenarios on Air Quality and Human Health in Poland—Analysis of Scenarios up to 2050  (2020)</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75">
        <w:r>
          <w:rPr>
            <w:color w:val="000000"/>
            <w:u w:val="single"/>
          </w:rPr>
          <w:t>Original publication</w:t>
        </w:r>
      </w:hyperlink>
      <w:r>
        <w:t xml:space="preserve">   ·   </w:t>
      </w:r>
      <w:hyperlink r:id="rId76">
        <w:r>
          <w:rPr>
            <w:color w:val="000000"/>
            <w:u w:val="single"/>
          </w:rPr>
          <w:t>Later publication (check status)</w:t>
        </w:r>
      </w:hyperlink>
    </w:p>
    <w:p>
      <w:pPr>
        <w:pStyle w:val="Heading2"/>
        <w:keepNext/>
      </w:pPr>
      <w:r>
        <w:t>15.  Disaggregation of official demographic projections in sub-groups by education level: the neglected “composition effect” in the future path of life expectancy  (2021)</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77">
        <w:r>
          <w:rPr>
            <w:color w:val="000000"/>
            <w:u w:val="single"/>
          </w:rPr>
          <w:t>Original publication</w:t>
        </w:r>
      </w:hyperlink>
      <w:r>
        <w:t xml:space="preserve">   ·   </w:t>
      </w:r>
      <w:hyperlink r:id="rId78">
        <w:r>
          <w:rPr>
            <w:color w:val="000000"/>
            <w:u w:val="single"/>
          </w:rPr>
          <w:t>Later publication (check status)</w:t>
        </w:r>
      </w:hyperlink>
    </w:p>
    <w:p>
      <w:pPr>
        <w:pStyle w:val="Heading2"/>
        <w:keepNext/>
      </w:pPr>
      <w:r>
        <w:t>16.  Ensuring sustainable agriculture by analyzing the European Union and Romanian legislation on soil resources protection  (2022)</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79">
        <w:r>
          <w:rPr>
            <w:color w:val="000000"/>
            <w:u w:val="single"/>
          </w:rPr>
          <w:t>Original publication</w:t>
        </w:r>
      </w:hyperlink>
      <w:r>
        <w:t xml:space="preserve">   ·   </w:t>
      </w:r>
      <w:hyperlink r:id="rId80">
        <w:r>
          <w:rPr>
            <w:color w:val="000000"/>
            <w:u w:val="single"/>
          </w:rPr>
          <w:t>Later publication (check status)</w:t>
        </w:r>
      </w:hyperlink>
    </w:p>
    <w:p>
      <w:pPr>
        <w:pStyle w:val="Heading2"/>
        <w:keepNext/>
      </w:pPr>
      <w:r>
        <w:t>17.  Thematic Issue Presentation: Perspectives on innovation governance - challenges and dilemmas  (2023)</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81">
        <w:r>
          <w:rPr>
            <w:color w:val="000000"/>
            <w:u w:val="single"/>
          </w:rPr>
          <w:t>Original publication</w:t>
        </w:r>
      </w:hyperlink>
      <w:r>
        <w:t xml:space="preserve">   ·   </w:t>
      </w:r>
      <w:hyperlink r:id="rId82">
        <w:r>
          <w:rPr>
            <w:color w:val="000000"/>
            <w:u w:val="single"/>
          </w:rPr>
          <w:t>Later publication (check status)</w:t>
        </w:r>
      </w:hyperlink>
    </w:p>
    <w:p>
      <w:pPr>
        <w:pStyle w:val="Heading2"/>
        <w:keepNext/>
      </w:pPr>
      <w:r>
        <w:t>18.  Strategic routes for wastewater treatment plant upgrades to reduce micropollutants in European surface water bodies  (2023)</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83">
        <w:r>
          <w:rPr>
            <w:color w:val="000000"/>
            <w:u w:val="single"/>
          </w:rPr>
          <w:t>Original publication</w:t>
        </w:r>
      </w:hyperlink>
      <w:r>
        <w:t xml:space="preserve">   ·   </w:t>
      </w:r>
      <w:hyperlink r:id="rId84">
        <w:r>
          <w:rPr>
            <w:color w:val="000000"/>
            <w:u w:val="single"/>
          </w:rPr>
          <w:t>Later publication (check status)</w:t>
        </w:r>
      </w:hyperlink>
    </w:p>
    <w:p>
      <w:pPr>
        <w:pStyle w:val="Heading2"/>
        <w:keepNext/>
      </w:pPr>
      <w:r>
        <w:t>19.  A future EU overall strategy for agriculture and forest genetic resources management: Finding consensus through policymakers’ participation  (2023)</w:t>
      </w:r>
    </w:p>
    <w:p>
      <w:r>
        <w:rPr>
          <w:b/>
        </w:rPr>
        <w:t xml:space="preserve">WHY HERE  </w:t>
      </w:r>
      <w:r>
        <w:t>The apparent later evidence closely repeats the original or another linked publication. An independent follow-up has not been established.</w:t>
      </w:r>
    </w:p>
    <w:p>
      <w:r>
        <w:rPr>
          <w:b/>
        </w:rPr>
        <w:t xml:space="preserve">OPEN  </w:t>
      </w:r>
      <w:r>
        <w:t>Still relevant, superseded, or simply under-researched? A source-based review is needed.</w:t>
      </w:r>
    </w:p>
    <w:p>
      <w:pPr>
        <w:spacing w:after="160"/>
      </w:pPr>
      <w:hyperlink r:id="rId85">
        <w:r>
          <w:rPr>
            <w:color w:val="000000"/>
            <w:u w:val="single"/>
          </w:rPr>
          <w:t>Original publication</w:t>
        </w:r>
      </w:hyperlink>
      <w:r>
        <w:t xml:space="preserve">   ·   </w:t>
      </w:r>
      <w:hyperlink r:id="rId86">
        <w:r>
          <w:rPr>
            <w:color w:val="000000"/>
            <w:u w:val="single"/>
          </w:rPr>
          <w:t>Later publication (check status)</w:t>
        </w:r>
      </w:hyperlink>
    </w:p>
    <w:p>
      <w:pPr>
        <w:pStyle w:val="Heading2"/>
        <w:keepNext/>
      </w:pPr>
      <w:r>
        <w:t>20.  Long-term projections and acclimatization scenarios of temperature-related mortality in Europe  (2011)</w:t>
      </w:r>
    </w:p>
    <w:p>
      <w:r>
        <w:rPr>
          <w:b/>
        </w:rPr>
        <w:t xml:space="preserve">WHY HERE  </w:t>
      </w:r>
      <w:r>
        <w:t>The available newer titles do not establish a close subject match. The link could be tangential and needs checking.</w:t>
      </w:r>
    </w:p>
    <w:p>
      <w:r>
        <w:rPr>
          <w:b/>
        </w:rPr>
        <w:t xml:space="preserve">OPEN  </w:t>
      </w:r>
      <w:r>
        <w:t>Still relevant, superseded, or simply under-researched? A source-based review is needed.</w:t>
      </w:r>
    </w:p>
    <w:p>
      <w:pPr>
        <w:spacing w:after="160"/>
      </w:pPr>
      <w:hyperlink r:id="rId87">
        <w:r>
          <w:rPr>
            <w:color w:val="000000"/>
            <w:u w:val="single"/>
          </w:rPr>
          <w:t>Original publication</w:t>
        </w:r>
      </w:hyperlink>
      <w:r>
        <w:t xml:space="preserve">   ·   </w:t>
      </w:r>
      <w:hyperlink r:id="rId88">
        <w:r>
          <w:rPr>
            <w:color w:val="000000"/>
            <w:u w:val="single"/>
          </w:rPr>
          <w:t>Later publication (check status)</w:t>
        </w:r>
      </w:hyperlink>
    </w:p>
    <w:p>
      <w:pPr>
        <w:pStyle w:val="Heading1"/>
      </w:pPr>
      <w:r>
        <w:t>How this list updates</w:t>
      </w:r>
    </w:p>
    <w:p>
      <w:r>
        <w:t>Each successful Radar 2 run refreshes living-atlas.json. The companion Word workflow then builds this file again from those saved entries. It selects candidates by source-linked review, same-question follow-ups, freshness and diversity of subjects. It does not perform an extra paid research scan.</w:t>
      </w:r>
    </w:p>
    <w:p>
      <w:r>
        <w:t>A proper best/worst judgement requires reading the original claim and checking independent later observations. Where that review is missing, the shortlist is a research triage list rather than a verdict.</w:t>
      </w:r>
    </w:p>
    <w:sectPr w:rsidR="00FC693F" w:rsidRPr="0006063C" w:rsidSect="00034616">
      <w:headerReference w:type="default" r:id="rId9"/>
      <w:footerReference w:type="default" r:id="rId10"/>
      <w:pgSz w:w="12240" w:h="15840"/>
      <w:pgMar w:top="936" w:right="1109" w:bottom="950" w:left="110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World Radar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sz w:val="15"/>
      </w:rPr>
      <w:t>WORLD RADAR   /   SHORT EDITION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pBdr>
        <w:bottom w:val="single" w:sz="8" w:space="4" w:color="000000"/>
      </w:pBdr>
      <w:spacing w:after="100" w:line="240" w:lineRule="auto" w:before="200"/>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000000"/>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000000"/>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000000"/>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000000"/>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000000"/>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000000"/>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000000"/>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000000"/>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000000"/>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000000"/>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000000"/>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000000"/>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000000"/>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000000"/>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000000"/>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000000"/>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000000"/>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000000"/>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000000"/>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000000"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000000"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000000"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000000"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000000"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000000"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000000"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themeColor="text1"/>
          <w:bottom w:val="single" w:sz="8" w:space="0" w:color="000000"/>
        </w:tcBorders>
      </w:tcPr>
    </w:tblStylePr>
    <w:tblStylePr w:type="firstCol">
      <w:rPr>
        <w:b/>
        <w:bCs/>
      </w:rPr>
    </w:tblStylePr>
    <w:tblStylePr w:type="lastCol">
      <w:rPr>
        <w:b/>
        <w:bCs/>
      </w:rPr>
      <w:tblPr/>
      <w:tcPr>
        <w:tcBorders>
          <w:top w:val="single" w:sz="8" w:space="0" w:color="000000" w:themeColor="text1"/>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4F81BD" w:themeColor="accent1"/>
          <w:bottom w:val="single" w:sz="8" w:space="0" w:color="000000"/>
        </w:tcBorders>
      </w:tcPr>
    </w:tblStylePr>
    <w:tblStylePr w:type="firstCol">
      <w:rPr>
        <w:b/>
        <w:bCs/>
      </w:rPr>
    </w:tblStylePr>
    <w:tblStylePr w:type="lastCol">
      <w:rPr>
        <w:b/>
        <w:bCs/>
      </w:rPr>
      <w:tblPr/>
      <w:tcPr>
        <w:tcBorders>
          <w:top w:val="single" w:sz="8" w:space="0" w:color="4F81BD" w:themeColor="accent1"/>
          <w:bottom w:val="single" w:sz="8" w:space="0" w:color="00000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C0504D" w:themeColor="accent2"/>
          <w:bottom w:val="single" w:sz="8" w:space="0" w:color="000000"/>
        </w:tcBorders>
      </w:tcPr>
    </w:tblStylePr>
    <w:tblStylePr w:type="firstCol">
      <w:rPr>
        <w:b/>
        <w:bCs/>
      </w:rPr>
    </w:tblStylePr>
    <w:tblStylePr w:type="lastCol">
      <w:rPr>
        <w:b/>
        <w:bCs/>
      </w:rPr>
      <w:tblPr/>
      <w:tcPr>
        <w:tcBorders>
          <w:top w:val="single" w:sz="8" w:space="0" w:color="C0504D" w:themeColor="accent2"/>
          <w:bottom w:val="single" w:sz="8" w:space="0" w:color="00000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9BBB59" w:themeColor="accent3"/>
          <w:bottom w:val="single" w:sz="8" w:space="0" w:color="000000"/>
        </w:tcBorders>
      </w:tcPr>
    </w:tblStylePr>
    <w:tblStylePr w:type="firstCol">
      <w:rPr>
        <w:b/>
        <w:bCs/>
      </w:rPr>
    </w:tblStylePr>
    <w:tblStylePr w:type="lastCol">
      <w:rPr>
        <w:b/>
        <w:bCs/>
      </w:rPr>
      <w:tblPr/>
      <w:tcPr>
        <w:tcBorders>
          <w:top w:val="single" w:sz="8" w:space="0" w:color="9BBB59" w:themeColor="accent3"/>
          <w:bottom w:val="single" w:sz="8" w:space="0" w:color="00000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8064A2" w:themeColor="accent4"/>
          <w:bottom w:val="single" w:sz="8" w:space="0" w:color="000000"/>
        </w:tcBorders>
      </w:tcPr>
    </w:tblStylePr>
    <w:tblStylePr w:type="firstCol">
      <w:rPr>
        <w:b/>
        <w:bCs/>
      </w:rPr>
    </w:tblStylePr>
    <w:tblStylePr w:type="lastCol">
      <w:rPr>
        <w:b/>
        <w:bCs/>
      </w:rPr>
      <w:tblPr/>
      <w:tcPr>
        <w:tcBorders>
          <w:top w:val="single" w:sz="8" w:space="0" w:color="8064A2" w:themeColor="accent4"/>
          <w:bottom w:val="single" w:sz="8" w:space="0" w:color="00000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4BACC6" w:themeColor="accent5"/>
          <w:bottom w:val="single" w:sz="8" w:space="0" w:color="000000"/>
        </w:tcBorders>
      </w:tcPr>
    </w:tblStylePr>
    <w:tblStylePr w:type="firstCol">
      <w:rPr>
        <w:b/>
        <w:bCs/>
      </w:rPr>
    </w:tblStylePr>
    <w:tblStylePr w:type="lastCol">
      <w:rPr>
        <w:b/>
        <w:bCs/>
      </w:rPr>
      <w:tblPr/>
      <w:tcPr>
        <w:tcBorders>
          <w:top w:val="single" w:sz="8" w:space="0" w:color="4BACC6" w:themeColor="accent5"/>
          <w:bottom w:val="single" w:sz="8" w:space="0" w:color="00000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F79646" w:themeColor="accent6"/>
          <w:bottom w:val="single" w:sz="8" w:space="0" w:color="000000"/>
        </w:tcBorders>
      </w:tcPr>
    </w:tblStylePr>
    <w:tblStylePr w:type="firstCol">
      <w:rPr>
        <w:b/>
        <w:bCs/>
      </w:rPr>
    </w:tblStylePr>
    <w:tblStylePr w:type="lastCol">
      <w:rPr>
        <w:b/>
        <w:bCs/>
      </w:rPr>
      <w:tblPr/>
      <w:tcPr>
        <w:tcBorders>
          <w:top w:val="single" w:sz="8" w:space="0" w:color="F79646" w:themeColor="accent6"/>
          <w:bottom w:val="single" w:sz="8" w:space="0" w:color="00000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000000"/>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000000"/>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000000"/>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000000"/>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000000"/>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000000"/>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000000"/>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000000"/>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000000"/>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000000"/>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2139/ssrn.3605449" TargetMode="External"/><Relationship Id="rId12" Type="http://schemas.openxmlformats.org/officeDocument/2006/relationships/hyperlink" Target="https://doi.org/10.63282/3050-9262.ijaidsml-v3i4p114" TargetMode="External"/><Relationship Id="rId13" Type="http://schemas.openxmlformats.org/officeDocument/2006/relationships/hyperlink" Target="https://doi.org/10.2139/ssrn.3898680" TargetMode="External"/><Relationship Id="rId14" Type="http://schemas.openxmlformats.org/officeDocument/2006/relationships/hyperlink" Target="https://doi.org/10.15456/jae.2023282.0824420622" TargetMode="External"/><Relationship Id="rId15" Type="http://schemas.openxmlformats.org/officeDocument/2006/relationships/hyperlink" Target="https://doi.org/10.1080/21632324.2012.740851" TargetMode="External"/><Relationship Id="rId16" Type="http://schemas.openxmlformats.org/officeDocument/2006/relationships/hyperlink" Target="https://doi.org/10.7868/s3034599526020177" TargetMode="External"/><Relationship Id="rId17" Type="http://schemas.openxmlformats.org/officeDocument/2006/relationships/hyperlink" Target="https://doi.org/10.1093/eurpub/ckaa165.1288" TargetMode="External"/><Relationship Id="rId18" Type="http://schemas.openxmlformats.org/officeDocument/2006/relationships/hyperlink" Target="https://doi.org/10.1093/eurpub/ckae144.628" TargetMode="External"/><Relationship Id="rId19" Type="http://schemas.openxmlformats.org/officeDocument/2006/relationships/hyperlink" Target="https://doi.org/10.1186/s40309-018-0146-8" TargetMode="External"/><Relationship Id="rId20" Type="http://schemas.openxmlformats.org/officeDocument/2006/relationships/hyperlink" Target="https://doi.org/10.3390/en19010176" TargetMode="External"/><Relationship Id="rId21" Type="http://schemas.openxmlformats.org/officeDocument/2006/relationships/hyperlink" Target="https://doi.org/10.3390/w11081720" TargetMode="External"/><Relationship Id="rId22" Type="http://schemas.openxmlformats.org/officeDocument/2006/relationships/hyperlink" Target="https://doi.org/10.5194/nhess-24-2953-2024" TargetMode="External"/><Relationship Id="rId23" Type="http://schemas.openxmlformats.org/officeDocument/2006/relationships/hyperlink" Target="https://doi.org/10.6017/ihe.2015.83.9073" TargetMode="External"/><Relationship Id="rId24" Type="http://schemas.openxmlformats.org/officeDocument/2006/relationships/hyperlink" Target="https://doi.org/10.1007/978-3-031-78361-6_9" TargetMode="External"/><Relationship Id="rId25" Type="http://schemas.openxmlformats.org/officeDocument/2006/relationships/hyperlink" Target="https://doi.org/10.3354/cr01309" TargetMode="External"/><Relationship Id="rId26" Type="http://schemas.openxmlformats.org/officeDocument/2006/relationships/hyperlink" Target="https://doi.org/10.31223/x5tj24" TargetMode="External"/><Relationship Id="rId27" Type="http://schemas.openxmlformats.org/officeDocument/2006/relationships/hyperlink" Target="https://doi.org/10.3390/en9120990" TargetMode="External"/><Relationship Id="rId28" Type="http://schemas.openxmlformats.org/officeDocument/2006/relationships/hyperlink" Target="https://doi.org/10.1016/j.egyr.2021.06.041" TargetMode="External"/><Relationship Id="rId29" Type="http://schemas.openxmlformats.org/officeDocument/2006/relationships/hyperlink" Target="https://doi.org/10.1016/j.emj.2014.05.003" TargetMode="External"/><Relationship Id="rId30" Type="http://schemas.openxmlformats.org/officeDocument/2006/relationships/hyperlink" Target="https://doi.org/10.24327/ijrsr.2017.0803.0085" TargetMode="External"/><Relationship Id="rId31" Type="http://schemas.openxmlformats.org/officeDocument/2006/relationships/hyperlink" Target="https://doi.org/10.1111/j.1564-913x.2015.00221.x" TargetMode="External"/><Relationship Id="rId32" Type="http://schemas.openxmlformats.org/officeDocument/2006/relationships/hyperlink" Target="https://doi.org/10.1111/irj.12213" TargetMode="External"/><Relationship Id="rId33" Type="http://schemas.openxmlformats.org/officeDocument/2006/relationships/hyperlink" Target="https://doi.org/10.1016/j.foodpol.2011.10.003" TargetMode="External"/><Relationship Id="rId34" Type="http://schemas.openxmlformats.org/officeDocument/2006/relationships/hyperlink" Target="https://openalex.org/W3158777761" TargetMode="External"/><Relationship Id="rId35" Type="http://schemas.openxmlformats.org/officeDocument/2006/relationships/hyperlink" Target="https://doi.org/10.1108/fs-06-2012-0045" TargetMode="External"/><Relationship Id="rId36" Type="http://schemas.openxmlformats.org/officeDocument/2006/relationships/hyperlink" Target="https://doi.org/10.37970/aps.v1i1.8" TargetMode="External"/><Relationship Id="rId37" Type="http://schemas.openxmlformats.org/officeDocument/2006/relationships/hyperlink" Target="https://doi.org/10.1016/j.enpol.2020.111863" TargetMode="External"/><Relationship Id="rId38" Type="http://schemas.openxmlformats.org/officeDocument/2006/relationships/hyperlink" Target="https://doi.org/10.4337/9781035307494.00034" TargetMode="External"/><Relationship Id="rId39" Type="http://schemas.openxmlformats.org/officeDocument/2006/relationships/hyperlink" Target="https://doi.org/10.25142/aak.2013.045" TargetMode="External"/><Relationship Id="rId40" Type="http://schemas.openxmlformats.org/officeDocument/2006/relationships/hyperlink" Target="https://doi.org/10.5281/zenodo.7451318" TargetMode="External"/><Relationship Id="rId41" Type="http://schemas.openxmlformats.org/officeDocument/2006/relationships/hyperlink" Target="https://doi.org/10.1108/fs-07-2015-0040" TargetMode="External"/><Relationship Id="rId42" Type="http://schemas.openxmlformats.org/officeDocument/2006/relationships/hyperlink" Target="https://doi.org/10.26565/2310-9513-2022-16-04" TargetMode="External"/><Relationship Id="rId43" Type="http://schemas.openxmlformats.org/officeDocument/2006/relationships/hyperlink" Target="https://doi.org/10.11118/actaun201260020051" TargetMode="External"/><Relationship Id="rId44" Type="http://schemas.openxmlformats.org/officeDocument/2006/relationships/hyperlink" Target="https://openalex.org/W7132712745" TargetMode="External"/><Relationship Id="rId45" Type="http://schemas.openxmlformats.org/officeDocument/2006/relationships/hyperlink" Target="https://doi.org/10.21511/imfi.19(4).2022.16" TargetMode="External"/><Relationship Id="rId46" Type="http://schemas.openxmlformats.org/officeDocument/2006/relationships/hyperlink" Target="https://doi.org/10.32782/business-navigator.83-19" TargetMode="External"/><Relationship Id="rId47" Type="http://schemas.openxmlformats.org/officeDocument/2006/relationships/hyperlink" Target="https://doi.org/10.1108/fs-05-2012-0036" TargetMode="External"/><Relationship Id="rId48" Type="http://schemas.openxmlformats.org/officeDocument/2006/relationships/hyperlink" Target="https://doi.org/10.1007/979-8-8688-0233-1_14" TargetMode="External"/><Relationship Id="rId49" Type="http://schemas.openxmlformats.org/officeDocument/2006/relationships/hyperlink" Target="https://doi.org/10.4000/rga.2654" TargetMode="External"/><Relationship Id="rId50" Type="http://schemas.openxmlformats.org/officeDocument/2006/relationships/hyperlink" Target="https://openalex.org/W7081712985" TargetMode="External"/><Relationship Id="rId51" Type="http://schemas.openxmlformats.org/officeDocument/2006/relationships/hyperlink" Target="https://doi.org/10.1111/an.1610" TargetMode="External"/><Relationship Id="rId52" Type="http://schemas.openxmlformats.org/officeDocument/2006/relationships/hyperlink" Target="https://doi.org/10.1186/s13705-023-00410-7" TargetMode="External"/><Relationship Id="rId53" Type="http://schemas.openxmlformats.org/officeDocument/2006/relationships/hyperlink" Target="https://doi.org/10.1016/b978-0-443-41575-3.00018-6" TargetMode="External"/><Relationship Id="rId54" Type="http://schemas.openxmlformats.org/officeDocument/2006/relationships/hyperlink" Target="https://doi.org/10.25100/cdea.v24i40.400" TargetMode="External"/><Relationship Id="rId55" Type="http://schemas.openxmlformats.org/officeDocument/2006/relationships/hyperlink" Target="https://doi.org/10.1596/1813-9450-8783" TargetMode="External"/><Relationship Id="rId56" Type="http://schemas.openxmlformats.org/officeDocument/2006/relationships/hyperlink" Target="https://doi.org/10.1525/phr.2012.81.1.133" TargetMode="External"/><Relationship Id="rId57" Type="http://schemas.openxmlformats.org/officeDocument/2006/relationships/hyperlink" Target="https://doi.org/10.1080/07075332.2012.697330" TargetMode="External"/><Relationship Id="rId58" Type="http://schemas.openxmlformats.org/officeDocument/2006/relationships/hyperlink" Target="https://doi.org/10.1088/1748-9326/aabe9d" TargetMode="External"/><Relationship Id="rId59" Type="http://schemas.openxmlformats.org/officeDocument/2006/relationships/hyperlink" Target="https://doi.org/10.24057/2071-9388-2012-5-4-4-16" TargetMode="External"/><Relationship Id="rId60" Type="http://schemas.openxmlformats.org/officeDocument/2006/relationships/hyperlink" Target="https://doi.org/10.14738/aivp.1303.18912" TargetMode="External"/><Relationship Id="rId61" Type="http://schemas.openxmlformats.org/officeDocument/2006/relationships/hyperlink" Target="https://doi.org/10.22004/ag.econ.162027" TargetMode="External"/><Relationship Id="rId62" Type="http://schemas.openxmlformats.org/officeDocument/2006/relationships/hyperlink" Target="https://doi.org/10.3389/fpls.2026.1880606" TargetMode="External"/><Relationship Id="rId63" Type="http://schemas.openxmlformats.org/officeDocument/2006/relationships/hyperlink" Target="https://doi.org/10.1007/s40309-016-0102-4" TargetMode="External"/><Relationship Id="rId64" Type="http://schemas.openxmlformats.org/officeDocument/2006/relationships/hyperlink" Target="https://doi.org/10.18154/rwth-2019-01287" TargetMode="External"/><Relationship Id="rId65" Type="http://schemas.openxmlformats.org/officeDocument/2006/relationships/hyperlink" Target="https://doi.org/10.1108/fs-07-2014-0050" TargetMode="External"/><Relationship Id="rId66" Type="http://schemas.openxmlformats.org/officeDocument/2006/relationships/hyperlink" Target="https://openalex.org/W7222377215" TargetMode="External"/><Relationship Id="rId67" Type="http://schemas.openxmlformats.org/officeDocument/2006/relationships/hyperlink" Target="https://doi.org/10.1016/j.enpol.2016.10.023" TargetMode="External"/><Relationship Id="rId68" Type="http://schemas.openxmlformats.org/officeDocument/2006/relationships/hyperlink" Target="https://doi.org/10.1051/978-2-7598-2250-8.c009" TargetMode="External"/><Relationship Id="rId69" Type="http://schemas.openxmlformats.org/officeDocument/2006/relationships/hyperlink" Target="https://doi.org/10.1002/fut.21780" TargetMode="External"/><Relationship Id="rId70" Type="http://schemas.openxmlformats.org/officeDocument/2006/relationships/hyperlink" Target="https://openalex.org/W2952497623" TargetMode="External"/><Relationship Id="rId71" Type="http://schemas.openxmlformats.org/officeDocument/2006/relationships/hyperlink" Target="https://doi.org/10.1016/j.renene.2016.08.036" TargetMode="External"/><Relationship Id="rId72" Type="http://schemas.openxmlformats.org/officeDocument/2006/relationships/hyperlink" Target="https://doi.org/10.1038/s41598-022-16264-6" TargetMode="External"/><Relationship Id="rId73" Type="http://schemas.openxmlformats.org/officeDocument/2006/relationships/hyperlink" Target="https://doi.org/10.2478/lasr-2019-0007" TargetMode="External"/><Relationship Id="rId74" Type="http://schemas.openxmlformats.org/officeDocument/2006/relationships/hyperlink" Target="https://doi.org/10.18522/2687-0770-2026-1-87-93" TargetMode="External"/><Relationship Id="rId75" Type="http://schemas.openxmlformats.org/officeDocument/2006/relationships/hyperlink" Target="https://doi.org/10.3390/atmos11111222" TargetMode="External"/><Relationship Id="rId76" Type="http://schemas.openxmlformats.org/officeDocument/2006/relationships/hyperlink" Target="https://doi.org/10.3389/fpubh.2020.563358" TargetMode="External"/><Relationship Id="rId77" Type="http://schemas.openxmlformats.org/officeDocument/2006/relationships/hyperlink" Target="https://doi.org/10.1186/s41118-020-00113-3" TargetMode="External"/><Relationship Id="rId78" Type="http://schemas.openxmlformats.org/officeDocument/2006/relationships/hyperlink" Target="https://doi.org/10.1007/s11135-023-01818-1" TargetMode="External"/><Relationship Id="rId79" Type="http://schemas.openxmlformats.org/officeDocument/2006/relationships/hyperlink" Target="https://doi.org/10.46676/ij-fanres.v3i2.65" TargetMode="External"/><Relationship Id="rId80" Type="http://schemas.openxmlformats.org/officeDocument/2006/relationships/hyperlink" Target="https://doi.org/10.32628/ijsrst26131155" TargetMode="External"/><Relationship Id="rId81" Type="http://schemas.openxmlformats.org/officeDocument/2006/relationships/hyperlink" Target="https://doi.org/10.5380/nocsi.v0i5.93600" TargetMode="External"/><Relationship Id="rId82" Type="http://schemas.openxmlformats.org/officeDocument/2006/relationships/hyperlink" Target="https://doi.org/10.24857/rgsa.v18n2-194" TargetMode="External"/><Relationship Id="rId83" Type="http://schemas.openxmlformats.org/officeDocument/2006/relationships/hyperlink" Target="https://doi.org/10.1016/j.jclepro.2023.137867" TargetMode="External"/><Relationship Id="rId84" Type="http://schemas.openxmlformats.org/officeDocument/2006/relationships/hyperlink" Target="https://doi.org/10.66021/pakmcr1487" TargetMode="External"/><Relationship Id="rId85" Type="http://schemas.openxmlformats.org/officeDocument/2006/relationships/hyperlink" Target="https://doi.org/10.1016/j.futures.2023.103179" TargetMode="External"/><Relationship Id="rId86" Type="http://schemas.openxmlformats.org/officeDocument/2006/relationships/hyperlink" Target="https://doi.org/10.5281/zenodo.22744094" TargetMode="External"/><Relationship Id="rId87" Type="http://schemas.openxmlformats.org/officeDocument/2006/relationships/hyperlink" Target="https://doi.org/10.1038/ncomms1360" TargetMode="External"/><Relationship Id="rId88" Type="http://schemas.openxmlformats.org/officeDocument/2006/relationships/hyperlink" Target="https://doi.org/10.1093/gerona/glae29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